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before="6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E5090"/>
          <w:sz w:val="20"/>
          <w:szCs w:val="20"/>
        </w:rPr>
        <w:t xml:space="preserve">CONFIDENTIAL — Trade Secret Reference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6"/>
          <w:szCs w:val="36"/>
        </w:rPr>
        <w:t xml:space="preserve">Information Physics — ChatAIO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2"/>
          <w:szCs w:val="32"/>
        </w:rPr>
        <w:t xml:space="preserve">V4.5 Release Notes</w:t>
      </w:r>
    </w:p>
    <w:p>
      <w:pPr>
        <w:spacing w:after="220" w:before="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2E5090"/>
          <w:sz w:val="22"/>
          <w:szCs w:val="22"/>
        </w:rPr>
        <w:t xml:space="preserve">Operator-facing changelog: retrieval correctness, operability, distribution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2E5090"/>
          <w:sz w:val="20"/>
          <w:szCs w:val="20"/>
        </w:rPr>
        <w:t xml:space="preserve">V4.5 · April 2026</w:t>
      </w:r>
    </w:p>
    <w:p>
      <w:pPr>
        <w:spacing w:after="320" w:before="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06060"/>
          <w:sz w:val="18"/>
          <w:szCs w:val="18"/>
        </w:rPr>
        <w:t xml:space="preserve">Subject to NDA on file. Not for redistribution.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1. Headline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V4.5 is a retrieval-quality + operability release. The four ChatAIO modes (Recall, Live, Broad, Raw) and the underlying three-layer architecture (AIO / HSL / MRO) are unchanged. Everything new is in service of two goals: keep retrieval honest at scale, and give operators in-app controls for the things that previously required SQL or source edits.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2. Retrieval Correctness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2.1 Migration 029 — HSL inverted index population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Backstory: ier_refresh_hsl() in migration 017 only parsed hsl_data.hsl_element_1..100 columns, which carry AIO row references like `acc_rfis.csv - Row 162` rather than bracket tokens. The actual `[Key.Value]` token lives in hsl_data.hsl_name (e.g. `[Project ID.PRJ-003].hsl`). The bracket parser silently no-op'd on the row-ref strings, so the inverted index gained zero rows — every cue → HSL probe in production had been returning zero hits since the index was introduced.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Fix: extend ier_refresh_hsl() to parse hsl_name (after stripping the `.hsl` suffix), keep the element-column scan for `[MRO.&lt;id&gt;]` back-pointer references, and re-run migration 017's backfill so existing HSL rows become indexable.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2.2 Cap-by-CSV Diversity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Backstory: AIA305 Sample.csv is 80% of the demo corpus; the flat top-N AIO cap filled with AIA305 records by traversal score alone, starving operational CSVs (acc_rfis, acc_issues, acc_submittals, acc_vendors, acc_cost_codes). Multi-CSV joins (Benchmark 1) failed.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Fix: diversifyByCSV (frontend, lib/aio-math.ts) and diversify_by_csv (backend, api/search_helpers.py). Bucket by OriginalCSV, take floor(total / numCsvs) from each bucket, backfill from highest-ranked leftovers. Both implementations are bytewise equivalent.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2.3 HSL Aliasing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Backstory: header spellings vary across CSVs — Project_ID (AIA305) vs. Project ID (acc_rfis/issues/submittals) vs. Projects Assigned (acc_vendors) vs. Applicable Projects (acc_cost_codes) vs. Active Projects (acc_customers). A cue extracted from one CSV's header could not match an HSL anchored on another CSV's header even when both referred to the same field semantically.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Fix: lib/hsl-aliases.ts exports canonicalField(name: string) → string. Every cue is folded to its canonical key (`Project`) before raw-form construction. Frontend-only in V1; promotion to backend planned for V4.6.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2.4 Migration 031 — pg_trgm Trigram Fuzzy Match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Backstory: equality on value_lower had no tolerance for any deviation from stored strings — typos (Mitchel→Mitchell), declensions (Sara→Sarah), case-shifted hyphens (PRJ‑003→PRJ-003), variant orderings (Mitchell, Sarah → Sarah Mitchell).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Fix: migration 031 adds the pg_trgm extension and a GIN index on (value_lower) using gin_trgm_ops. find-by-needles-full accepts `fuzzy: bool` and `similarity: float`. When fuzzy=true the WHERE clause uses the `%` similarity operator with a per-transaction set_limit() controlling the threshold. Frontend defaults to fuzzy=true.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2.5 Element-set Jaccard Dedup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Backstory: cross-CSV duplicates of the same entity (e.g. PRJ-003 in acc_projects.csv and AIA305 Sample.csv with ~85% overlapping bracket-element sets) reached the LLM as redundant context.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Fix: dedupByJaccard (lib/aio-math.ts) drops near-duplicates after the cap. Provenance keys (OriginalCSV, FileDate, FileTime) are excluded so cross-CSV duplicates collapse correctly. Default threshold 0.85; tunable per call.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3. Operability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3.1 System Management → Models tab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Runtime LLM model selection. Two slots: a default model (used by all four modes plus summarize / entity-resolution) and an optional parse-phase override for Live Search. Saved to system_settings; takes effect on the next request. Removes ~22 hardcoded `claude-sonnet-4-6` strings from chat.py and routes them through get_default_model() / get_parse_model() with resolution order system_settings → env var → fallback.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3.2 Daily Token Budget pane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Live progress bar (green / amber at 80% / red at 100%) plus per-tenant override and global default integer inputs. Eliminates the SQL-only path. Backed by GET/PUT /v1/settings/budget.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3.3 R&amp;D → Benchmark dropdown + Benchmark Guide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10-entry catalog of saved prompts in lib/benchmarks.ts. Dropdown picks → full-screen runner runs all four modes side-by-side with metrics + verbatim replies + Print/Save-as-PDF. Benchmark Guide button (BookOpen) opens a print-friendly reference card. CLI parity via BENCHMARK=N pnpm dlx tsx scripts/measure_modes.ts.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3.4 References tab — embedded inline viewer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Technical reports and traces now open as full-screen pages instead of triggering .docx downloads. mammoth converts the .docx to HTML in the browser on click; original .docx files still live in public/docs/.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3.5 MRO ↔ HSL Linkage view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System Management → MRO Data → Linkage button. Symmetric audit of seed_hsls vs. hsl_member back-pointers. Surfaces silent linkMroToHsl write failures (and the Next.js 16 Promise-params bug that caused them silently for weeks).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3.6 Fix Broken MROs button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Two-pass admin repair: corrupted seed_hsls fields (Pass A — recover from back-pointers or clear) and missing back-pointers (Pass B — INSERT [MRO.&lt;uuid&gt;] for each seed UUID that's not already linked). Idempotent.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3.7 Cache bypass on interactive Live Search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aioSearchChat / aioSearchChatStream accept bypassCache: true, forwarded as ?bypass_cache=true to the backend. Chat dialog and benchmark runner pass true so users iterating through the UI never see a stale cached reply mask a deployed retrieval fix.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4. UI Polish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Edge-to-edge "Information Physics Standard Model" banner on the home page (responsive type scale to text-7xl). ChatAIO header recentered with serif title, centered button group, Close pinned to the upper-right. "Quantum Cognition Architecture" tagline replaces the prior CSV/AIO descriptor.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5. Distribution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5.1 macOS code signing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electron/package.json wired with hardenedRuntime + entitlements.mac.plist + notarize.teamId (P4CWP6XFVD). electron/.env.example documents the APPLE_ID / APPLE_APP_SPECIFIC_PASSWORD / APPLE_TEAM_ID triple. With a Developer ID Application certificate in Keychain and .env populated, npm run dist produces signed + notarized + stapled DMGs that launch with no Gatekeeper warning.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5.2 Three DMG variants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1500"/>
        <w:gridCol w:w="4360"/>
      </w:tblGrid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Variant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Build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CLOUD_MODE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Use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Full (default)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npm run dist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true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Cloud-connected, ships unused Postgres/Python/backend (133 MB on-disk wedge)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Cloud-stripped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npm run dist:cloud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true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Same behavior as Full but strips the unused embedded services. ~22% smaller on-disk install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Local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npm run dist:local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Fully self-contained — embedded Postgres + FastAPI + Python. Each Mac becomes its own tenant. No internet required at runtime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5.3 Local DMG seeded with default admin + API key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Migration 030 seeds a default System Admin user (michael@informationphysics.ai / Admin&amp;123). build-local-dmg.sh optionally bakes ANTHROPIC_API_KEY at build time via a generated migration 990 (gitignored, deleted post-build). Locale-fix in pgExecEnv (LC_ALL=C) prevents the 'postmaster became multithreaded' Postgres failure on macOS.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6. Migrations Shipped in V4.5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5360"/>
      </w:tblGrid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#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Title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Effect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029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fix_hsl_ier_index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ier_refresh_hsl() parses hsl_name; backfills existing HSLs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030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seed_default_admin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Default System Admin user (idempotent; ON CONFLICT email)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031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information_element_refs_trigram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pg_trgm extension + GIN index on value_lower for fuzzy retrieval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990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seed_anthropic_api_key (generated, build-time only)</w:t>
            </w:r>
          </w:p>
        </w:tc>
        <w:tc>
          <w:tcPr>
            <w:tcW w:type="dxa" w:w="5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Optional bake of ANTHROPIC_API_KEY into local DMG; never committed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7. New API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Endpoint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GET  /v1/settings/models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Read default + parse model selection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PUT  /v1/settings/models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Save default + parse model selection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GET  /v1/settings/budget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Live token-usage status + raw setting values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PUT  /v1/settings/budget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Upsert daily_token_budget_per_tenant and per-tenant override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GET  /v1/mro-objects/{id}/hsls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MRO linkage audit (seed vs. back-pointer)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POST /v1/mro-objects/repair-seed-hsls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Two-pass admin repair (Pass A: corrupted seed_hsls; Pass B: missing back-pointers)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8. Bugs Fixed (silent regressions)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W w:type="dxa" w:w="6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Bug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Fix Commit</w:t>
            </w:r>
          </w:p>
        </w:tc>
      </w:tr>
      <w:tr>
        <w:tc>
          <w:tcPr>
            <w:tcW w:type="dxa" w:w="6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linkMroToHsl proxy sent 'undefined' as hsl_id (Next.js 16 Promise params)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1fbfdaf</w:t>
            </w:r>
          </w:p>
        </w:tc>
      </w:tr>
      <w:tr>
        <w:tc>
          <w:tcPr>
            <w:tcW w:type="dxa" w:w="6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MRO Save button wrote display string into seed_hsls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d3b2116</w:t>
            </w:r>
          </w:p>
        </w:tc>
      </w:tr>
      <w:tr>
        <w:tc>
          <w:tcPr>
            <w:tcW w:type="dxa" w:w="6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Live Search bundle had no diversity cap (mirror of the Recall fix)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085ef66</w:t>
            </w:r>
          </w:p>
        </w:tc>
      </w:tr>
      <w:tr>
        <w:tc>
          <w:tcPr>
            <w:tcW w:type="dxa" w:w="6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TDZ crash on MRO Data tab (handleRepairBrokenMros declared before `load`)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c1cc01e</w:t>
            </w:r>
          </w:p>
        </w:tc>
      </w:tr>
      <w:tr>
        <w:tc>
          <w:tcPr>
            <w:tcW w:type="dxa" w:w="6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BenchmarkRunner React error #31 on budget-exceeded envelope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3cb75fa</w:t>
            </w:r>
          </w:p>
        </w:tc>
      </w:tr>
      <w:tr>
        <w:tc>
          <w:tcPr>
            <w:tcW w:type="dxa" w:w="6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chat-aio-dialog crash on object-shaped backend errors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15cabe1</w:t>
            </w:r>
          </w:p>
        </w:tc>
      </w:tr>
      <w:tr>
        <w:tc>
          <w:tcPr>
            <w:tcW w:type="dxa" w:w="6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pipeline error rendering crash for non-string error envelopes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9baac32</w:t>
            </w:r>
          </w:p>
        </w:tc>
      </w:tr>
      <w:tr>
        <w:tc>
          <w:tcPr>
            <w:tcW w:type="dxa" w:w="6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Postgres 'postmaster became multithreaded' on macOS local DMG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8d7cf37 (LC_ALL=C in pgExecEnv)</w:t>
            </w:r>
          </w:p>
        </w:tc>
      </w:tr>
    </w:tbl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32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2E5090"/>
          <w:sz w:val="20"/>
          <w:szCs w:val="20"/>
        </w:rPr>
        <w:t xml:space="preserve">End of document.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808080"/>
          <w:sz w:val="16"/>
          <w:szCs w:val="16"/>
        </w:rPr>
        <w:t xml:space="preserve">Generated 2026-04-29T16:42:01.964Z · Information Physics V4.5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Calibri" w:cs="Calibri" w:eastAsia="Calibri" w:hAnsi="Calibri"/>
      <w:b/>
      <w:bCs/>
      <w:color w:val="2E509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2E50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2026-04-29T16:42:01.964Z</dcterms:created>
  <dcterms:modified xsi:type="dcterms:W3CDTF">2026-04-29T16:42:01.964Z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