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single" w:color="E11D48" w:sz="18"/>
              <w:left w:val="single" w:color="E11D48" w:sz="18"/>
              <w:bottom w:val="single" w:color="E11D48" w:sz="18"/>
              <w:right w:val="single" w:color="E11D48" w:sz="18"/>
            </w:tcBorders>
            <w:shd w:fill="FFF1F2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BE123C"/>
                <w:sz w:val="22"/>
                <w:szCs w:val="22"/>
              </w:rPr>
              <w:t xml:space="preserve">⚠  CONFIDENTIAL — TRADE SECRET</w:t>
            </w:r>
          </w:p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color w:val="BE123C"/>
                <w:sz w:val="20"/>
                <w:szCs w:val="20"/>
              </w:rPr>
              <w:t xml:space="preserve">This document describes the internal logic, data structures, and operational behavior of a proprietary subsystem of the Information Physics Demo System. It contains confidential information and trade secrets of InformationPhysics.ai, LLC, including algorithmic detail not present in public-facing materials. Subject to the Transaction-Grade One-Way Non-Disclosure Agreement on file. Unauthorized use, disclosure, or reproduction is strictly prohibited and may result in civil and criminal liability.</w:t>
            </w:r>
          </w:p>
        </w:tc>
      </w:tr>
    </w:tbl>
    <w:p>
      <w:pPr>
        <w:spacing w:after="60" w:before="60" w:line="2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0F172A"/>
          <w:sz w:val="21"/>
          <w:szCs w:val="21"/>
        </w:rPr>
        <w:t xml:space="preserve"/>
      </w:r>
    </w:p>
    <w:p>
      <w:pPr>
        <w:spacing w:after="60" w:before="60" w:line="2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0F172A"/>
          <w:sz w:val="21"/>
          <w:szCs w:val="21"/>
        </w:rPr>
        <w:t xml:space="preserve"/>
      </w:r>
    </w:p>
    <w:p>
      <w:pPr>
        <w:spacing w:after="160" w:before="60" w:line="28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/>
          <w:color w:val="94A3B8"/>
          <w:sz w:val="17"/>
          <w:szCs w:val="17"/>
        </w:rPr>
        <w:t xml:space="preserve">Engineering Reference — Internal / NDA-Restricted</w:t>
      </w:r>
    </w:p>
    <w:p>
      <w:pPr>
        <w:spacing w:after="80" w:before="60" w:line="280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0F172A"/>
          <w:sz w:val="36"/>
          <w:szCs w:val="36"/>
        </w:rPr>
        <w:t xml:space="preserve">Architecture Overview</w:t>
      </w:r>
    </w:p>
    <w:p>
      <w:pPr>
        <w:spacing w:after="200" w:before="60" w:line="280"/>
        <w:jc w:val="center"/>
      </w:pP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475569"/>
          <w:sz w:val="22"/>
          <w:szCs w:val="22"/>
        </w:rPr>
        <w:t xml:space="preserve">Three-layer model, four ChatAIO modes, and the trade-secret invariants</w:t>
      </w:r>
    </w:p>
    <w:p>
      <w:pPr>
        <w:spacing w:after="40" w:before="60" w:line="280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0F172A"/>
          <w:sz w:val="22"/>
          <w:szCs w:val="22"/>
        </w:rPr>
        <w:t xml:space="preserve">Michael Simon Bodner, Ph.D.</w:t>
      </w:r>
    </w:p>
    <w:p>
      <w:pPr>
        <w:spacing w:after="40" w:before="60" w:line="28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0F3460"/>
          <w:sz w:val="18"/>
          <w:szCs w:val="18"/>
        </w:rPr>
        <w:t xml:space="preserve">Founder &amp; Chief Scientist, InformationPhysics.ai</w:t>
      </w:r>
    </w:p>
    <w:p>
      <w:pPr>
        <w:spacing w:after="40" w:before="60" w:line="28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475569"/>
          <w:sz w:val="18"/>
          <w:szCs w:val="18"/>
        </w:rPr>
        <w:t xml:space="preserve">April 2026 — Software Version V4.5.0</w:t>
      </w:r>
    </w:p>
    <w:p>
      <w:pPr>
        <w:spacing w:after="40" w:before="60" w:line="280"/>
        <w:jc w:val="center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aps w:val="false"/>
          <w:color w:val="475569"/>
          <w:sz w:val="16"/>
          <w:szCs w:val="16"/>
        </w:rPr>
        <w:t xml:space="preserve">Frontend  ·  FastAPI  ·  PostgreSQL 15 + pg_trgm  ·  Anthropic Claude</w:t>
      </w:r>
    </w:p>
    <w:p>
      <w:pPr>
        <w:spacing w:after="240" w:before="60" w:line="28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94A3B8"/>
          <w:sz w:val="16"/>
          <w:szCs w:val="16"/>
        </w:rPr>
        <w:t xml:space="preserve">© 2026 InformationPhysics.ai, LLC. All rights reserved.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4"/>
                <w:szCs w:val="24"/>
              </w:rPr>
              <w:t xml:space="preserve">Abstract</w:t>
            </w:r>
          </w:p>
          <w:p>
            <w:pPr>
              <w:spacing w:after="100" w:before="0" w:line="300"/>
            </w:pPr>
            <w:r>
              <w:rPr>
                <w:rFonts w:ascii="Calibri" w:cs="Calibri" w:eastAsia="Calibri" w:hAnsi="Calibri"/>
                <w:color w:val="475569"/>
                <w:sz w:val="21"/>
                <w:szCs w:val="21"/>
              </w:rPr>
              <w:t xml:space="preserve">The three-layer model (AIO/HSL/MRO), the four ChatAIO retrieval modes (Recall/Live/Broad/Raw), and the three trade-secret invariants that distinguish this system from a conventional embedding-RAG implementation.</w:t>
            </w:r>
          </w:p>
          <w:p>
            <w:pPr>
              <w:spacing w:after="0" w:before="0" w:line="300"/>
            </w:pPr>
            <w:r>
              <w:rPr>
                <w:rFonts w:ascii="Calibri" w:cs="Calibri" w:eastAsia="Calibri" w:hAnsi="Calibri"/>
                <w:color w:val="475569"/>
                <w:sz w:val="21"/>
                <w:szCs w:val="21"/>
              </w:rPr>
              <w:t xml:space="preserve">Buyer-side and counsel-friendly framing alongside the engineering substance — useful as the canonical first read for technical evaluators, due-diligence reviewers, and new engineers onboarding to the codebase.</w:t>
            </w:r>
          </w:p>
        </w:tc>
      </w:tr>
    </w:tbl>
    <w:p>
      <w:pPr>
        <w:spacing w:after="60" w:before="60" w:line="2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0F172A"/>
          <w:sz w:val="21"/>
          <w:szCs w:val="21"/>
        </w:rPr>
        <w:t xml:space="preserve"/>
      </w:r>
    </w:p>
    <w:p>
      <w:pPr>
        <w:pStyle w:val="Heading1"/>
        <w:pBdr>
          <w:bottom w:val="single" w:color="1F3864" w:sz="6" w:space="4"/>
        </w:pBdr>
        <w:spacing w:after="160" w:before="360" w:line="32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1.  The Three Layers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400"/>
        <w:gridCol w:w="4400"/>
      </w:tblGrid>
      <w:tr>
        <w:trPr>
          <w:tblHeader/>
        </w:trPr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F346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Layer</w:t>
            </w:r>
          </w:p>
        </w:tc>
        <w:tc>
          <w:tcPr>
            <w:tcW w:type="dxa" w:w="3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F346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Storage</w:t>
            </w:r>
          </w:p>
        </w:tc>
        <w:tc>
          <w:tcPr>
            <w:tcW w:type="dxa" w:w="4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F346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Role</w:t>
            </w:r>
          </w:p>
        </w:tc>
      </w:tr>
      <w:tr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AIO (Layer 1)</w:t>
            </w:r>
          </w:p>
        </w:tc>
        <w:tc>
          <w:tcPr>
            <w:tcW w:type="dxa" w:w="3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aio_data — aio_name + 50 element columns</w:t>
            </w:r>
          </w:p>
        </w:tc>
        <w:tc>
          <w:tcPr>
            <w:tcW w:type="dxa" w:w="4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Self-describing observation. Bracket-notation tokens. The atom of the system.</w:t>
            </w:r>
          </w:p>
        </w:tc>
      </w:tr>
      <w:tr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HSL (Relational)</w:t>
            </w:r>
          </w:p>
        </w:tc>
        <w:tc>
          <w:tcPr>
            <w:tcW w:type="dxa" w:w="3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hsl_data + hsl_member — hsl_name + member list</w:t>
            </w:r>
          </w:p>
        </w:tc>
        <w:tc>
          <w:tcPr>
            <w:tcW w:type="dxa" w:w="4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Precomputed pointer set: "all AIOs sharing [Key.Value]". A denormalized inverted-index row, not a graph edge.</w:t>
            </w:r>
          </w:p>
        </w:tc>
      </w:tr>
      <w:tr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MRO (Layer 2)</w:t>
            </w:r>
          </w:p>
        </w:tc>
        <w:tc>
          <w:tcPr>
            <w:tcW w:type="dxa" w:w="3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mro_objects — query, result, lineage, trust score</w:t>
            </w:r>
          </w:p>
        </w:tc>
        <w:tc>
          <w:tcPr>
            <w:tcW w:type="dxa" w:w="4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Persisted retrieval episode. Used as short-circuit cache and prior-episode hint for fresh retrievals.</w:t>
            </w:r>
          </w:p>
        </w:tc>
      </w:tr>
    </w:tbl>
    <w:p>
      <w:pPr>
        <w:pStyle w:val="Heading1"/>
        <w:pBdr>
          <w:bottom w:val="single" w:color="1F3864" w:sz="6" w:space="4"/>
        </w:pBdr>
        <w:spacing w:after="160" w:before="360" w:line="32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2.  Four ChatAIO Modes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400"/>
        <w:gridCol w:w="5000"/>
      </w:tblGrid>
      <w:tr>
        <w:trPr>
          <w:tblHeader/>
        </w:trPr>
        <w:tc>
          <w:tcPr>
            <w:tcW w:type="dxa" w:w="1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F346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Mode</w:t>
            </w:r>
          </w:p>
        </w:tc>
        <w:tc>
          <w:tcPr>
            <w:tcW w:type="dxa" w:w="3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F346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Endpoint</w:t>
            </w:r>
          </w:p>
        </w:tc>
        <w:tc>
          <w:tcPr>
            <w:tcW w:type="dxa" w:w="5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F346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Retrieval</w:t>
            </w:r>
          </w:p>
        </w:tc>
      </w:tr>
      <w:tr>
        <w:tc>
          <w:tcPr>
            <w:tcW w:type="dxa" w:w="1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Recall</w:t>
            </w:r>
          </w:p>
        </w:tc>
        <w:tc>
          <w:tcPr>
            <w:tcW w:type="dxa" w:w="3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POST /v1/op/substrate-chat[/stream]</w:t>
            </w:r>
          </w:p>
        </w:tc>
        <w:tc>
          <w:tcPr>
            <w:tcW w:type="dxa" w:w="5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Client-assembled substrate envelope. MRO short-circuit at score ≥ 0.85</w:t>
            </w:r>
          </w:p>
        </w:tc>
      </w:tr>
      <w:tr>
        <w:tc>
          <w:tcPr>
            <w:tcW w:type="dxa" w:w="1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Live</w:t>
            </w:r>
          </w:p>
        </w:tc>
        <w:tc>
          <w:tcPr>
            <w:tcW w:type="dxa" w:w="3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POST /v1/op/aio-search[/stream]</w:t>
            </w:r>
          </w:p>
        </w:tc>
        <w:tc>
          <w:tcPr>
            <w:tcW w:type="dxa" w:w="5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Server-assembled four-phase: parse → match HSLs → gather AIOs → synthesize</w:t>
            </w:r>
          </w:p>
        </w:tc>
      </w:tr>
      <w:tr>
        <w:tc>
          <w:tcPr>
            <w:tcW w:type="dxa" w:w="1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Broad</w:t>
            </w:r>
          </w:p>
        </w:tc>
        <w:tc>
          <w:tcPr>
            <w:tcW w:type="dxa" w:w="3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POST /v1/op/chat</w:t>
            </w:r>
          </w:p>
        </w:tc>
        <w:tc>
          <w:tcPr>
            <w:tcW w:type="dxa" w:w="5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Dump every AIO/HSL/CSV (capped at 1,000) into the LLM prompt</w:t>
            </w:r>
          </w:p>
        </w:tc>
      </w:tr>
      <w:tr>
        <w:tc>
          <w:tcPr>
            <w:tcW w:type="dxa" w:w="1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Raw</w:t>
            </w:r>
          </w:p>
        </w:tc>
        <w:tc>
          <w:tcPr>
            <w:tcW w:type="dxa" w:w="3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POST /v1/op/pure-llm</w:t>
            </w:r>
          </w:p>
        </w:tc>
        <w:tc>
          <w:tcPr>
            <w:tcW w:type="dxa" w:w="5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Send raw CSV files to the LLM — no AIO/HSL/MRO processing</w:t>
            </w:r>
          </w:p>
        </w:tc>
      </w:tr>
    </w:tbl>
    <w:p>
      <w:pPr>
        <w:pStyle w:val="Heading1"/>
        <w:pBdr>
          <w:bottom w:val="single" w:color="1F3864" w:sz="6" w:space="4"/>
        </w:pBdr>
        <w:spacing w:after="160" w:before="360" w:line="32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3.  Trade-Secret Invariants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nil" w:color="FFFFFF" w:sz="1"/>
              <w:left w:val="single" w:color="FB7185" w:sz="18"/>
              <w:bottom w:val="nil" w:color="FFFFFF" w:sz="1"/>
              <w:right w:val="nil" w:color="FFFFFF" w:sz="1"/>
            </w:tcBorders>
            <w:tcMar>
              <w:top w:type="dxa" w:w="80"/>
              <w:left w:type="dxa" w:w="240"/>
              <w:bottom w:type="dxa" w:w="120"/>
              <w:right w:type="dxa" w:w="100"/>
            </w:tcMar>
          </w:tcPr>
          <w:p>
            <w:pPr>
              <w:spacing w:after="80" w:before="0" w:line="280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22"/>
                <w:szCs w:val="22"/>
              </w:rPr>
              <w:t xml:space="preserve">3.1  Determinism is load-bearing</w:t>
            </w:r>
          </w:p>
          <w:p>
            <w:pPr>
              <w:spacing w:after="60" w:before="60" w:line="2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0F172A"/>
                <w:sz w:val="21"/>
                <w:szCs w:val="21"/>
              </w:rPr>
              <w:t xml:space="preserve">Every step from query → Cue Set → HSL ids → AIO scope is deterministic. Embedding RAG calls a model to produce a query embedding; we do not. The Cue Set is reproducible across runs, machines, and operators — same query against same corpus always lights the same HSLs. This makes regression testing tractable and makes the retrieval graph an auditable artifact.</w:t>
            </w:r>
          </w:p>
        </w:tc>
      </w:tr>
    </w:tbl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nil" w:color="FFFFFF" w:sz="1"/>
              <w:left w:val="single" w:color="FB7185" w:sz="18"/>
              <w:bottom w:val="nil" w:color="FFFFFF" w:sz="1"/>
              <w:right w:val="nil" w:color="FFFFFF" w:sz="1"/>
            </w:tcBorders>
            <w:tcMar>
              <w:top w:type="dxa" w:w="80"/>
              <w:left w:type="dxa" w:w="240"/>
              <w:bottom w:type="dxa" w:w="120"/>
              <w:right w:type="dxa" w:w="100"/>
            </w:tcMar>
          </w:tcPr>
          <w:p>
            <w:pPr>
              <w:spacing w:after="80" w:before="0" w:line="280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22"/>
                <w:szCs w:val="22"/>
              </w:rPr>
              <w:t xml:space="preserve">3.2  Cues carry concrete keys whenever possible</w:t>
            </w:r>
          </w:p>
          <w:p>
            <w:pPr>
              <w:spacing w:after="60" w:before="60" w:line="2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0F172A"/>
                <w:sz w:val="21"/>
                <w:szCs w:val="21"/>
              </w:rPr>
              <w:t xml:space="preserve">The HSL catalog (sourced from /v1/hsl-data/key-value-pairs) lets cue extraction emit cues with their original key — [Project.PRJ-003] rather than [*.PRJ-003]. The wildcard form is a fallback. SQL pruning by field equality first, value match second; on the demo corpus this is a 5–20× speed-up vs. the wildcard path.</w:t>
            </w:r>
          </w:p>
        </w:tc>
      </w:tr>
    </w:tbl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nil" w:color="FFFFFF" w:sz="1"/>
              <w:left w:val="single" w:color="FB7185" w:sz="18"/>
              <w:bottom w:val="nil" w:color="FFFFFF" w:sz="1"/>
              <w:right w:val="nil" w:color="FFFFFF" w:sz="1"/>
            </w:tcBorders>
            <w:tcMar>
              <w:top w:type="dxa" w:w="80"/>
              <w:left w:type="dxa" w:w="240"/>
              <w:bottom w:type="dxa" w:w="120"/>
              <w:right w:type="dxa" w:w="100"/>
            </w:tcMar>
          </w:tcPr>
          <w:p>
            <w:pPr>
              <w:spacing w:after="80" w:before="0" w:line="280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22"/>
                <w:szCs w:val="22"/>
              </w:rPr>
              <w:t xml:space="preserve">3.3  The HSL catalog IS the substrate</w:t>
            </w:r>
          </w:p>
          <w:p>
            <w:pPr>
              <w:spacing w:after="60" w:before="60" w:line="2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0F172A"/>
                <w:sz w:val="21"/>
                <w:szCs w:val="21"/>
              </w:rPr>
              <w:t xml:space="preserve">Embedding RAG treats vectors as a derived index — they accelerate lookup, but truth is in the source documents. Information Physics inverts this: the HSL anchors ARE the truth. Every HSL is a deterministic function of the AIO set, computed offline by synth_hsls_for_aio, and used at query time as a lookup, not a computation.</w:t>
            </w:r>
          </w:p>
        </w:tc>
      </w:tr>
    </w:tbl>
    <w:p>
      <w:pPr>
        <w:pStyle w:val="Heading1"/>
        <w:pBdr>
          <w:bottom w:val="single" w:color="1F3864" w:sz="6" w:space="4"/>
        </w:pBdr>
        <w:spacing w:after="160" w:before="360" w:line="32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4.  Why This Matters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nil" w:color="FFFFFF" w:sz="1"/>
              <w:left w:val="single" w:color="FB7185" w:sz="18"/>
              <w:bottom w:val="nil" w:color="FFFFFF" w:sz="1"/>
              <w:right w:val="nil" w:color="FFFFFF" w:sz="1"/>
            </w:tcBorders>
            <w:tcMar>
              <w:top w:type="dxa" w:w="80"/>
              <w:left w:type="dxa" w:w="240"/>
              <w:bottom w:type="dxa" w:w="120"/>
              <w:right w:type="dxa" w:w="100"/>
            </w:tcMar>
          </w:tcPr>
          <w:p>
            <w:pPr>
              <w:spacing w:after="80" w:before="0" w:line="280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22"/>
                <w:szCs w:val="22"/>
              </w:rPr>
              <w:t xml:space="preserve">4.1  Audit-grade reproducibility</w:t>
            </w:r>
          </w:p>
          <w:p>
            <w:pPr>
              <w:spacing w:after="60" w:before="60" w:line="2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0F172A"/>
                <w:sz w:val="21"/>
                <w:szCs w:val="21"/>
              </w:rPr>
              <w:t xml:space="preserve">A regulator, an internal auditor, or a counterparty can ask "why did the system answer X?" and the answer is a deterministic graph traversal — not a similarity score against an opaque embedding. Same query, same data, same cue set, same HSLs, same answer. Every time.</w:t>
            </w:r>
          </w:p>
        </w:tc>
      </w:tr>
    </w:tbl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nil" w:color="FFFFFF" w:sz="1"/>
              <w:left w:val="single" w:color="FB7185" w:sz="18"/>
              <w:bottom w:val="nil" w:color="FFFFFF" w:sz="1"/>
              <w:right w:val="nil" w:color="FFFFFF" w:sz="1"/>
            </w:tcBorders>
            <w:tcMar>
              <w:top w:type="dxa" w:w="80"/>
              <w:left w:type="dxa" w:w="240"/>
              <w:bottom w:type="dxa" w:w="120"/>
              <w:right w:type="dxa" w:w="100"/>
            </w:tcMar>
          </w:tcPr>
          <w:p>
            <w:pPr>
              <w:spacing w:after="80" w:before="0" w:line="280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22"/>
                <w:szCs w:val="22"/>
              </w:rPr>
              <w:t xml:space="preserve">4.2  Cost discipline</w:t>
            </w:r>
          </w:p>
          <w:p>
            <w:pPr>
              <w:spacing w:after="60" w:before="60" w:line="2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0F172A"/>
                <w:sz w:val="21"/>
                <w:szCs w:val="21"/>
              </w:rPr>
              <w:t xml:space="preserve">MRO short-circuit means repeated queries cost zero LLM tokens after first run. Cap-by-CSV diversity ensures we never pay for redundant context just because one CSV is larger. Element-set Jaccard dedup collapses cross-CSV duplicates. On the demo corpus, multi-CSV joins use 60–70% fewer tokens than the equivalent embedding-RAG implementation.</w:t>
            </w:r>
          </w:p>
        </w:tc>
      </w:tr>
    </w:tbl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nil" w:color="FFFFFF" w:sz="1"/>
              <w:left w:val="single" w:color="FB7185" w:sz="18"/>
              <w:bottom w:val="nil" w:color="FFFFFF" w:sz="1"/>
              <w:right w:val="nil" w:color="FFFFFF" w:sz="1"/>
            </w:tcBorders>
            <w:tcMar>
              <w:top w:type="dxa" w:w="80"/>
              <w:left w:type="dxa" w:w="240"/>
              <w:bottom w:type="dxa" w:w="120"/>
              <w:right w:type="dxa" w:w="100"/>
            </w:tcMar>
          </w:tcPr>
          <w:p>
            <w:pPr>
              <w:spacing w:after="80" w:before="0" w:line="280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22"/>
                <w:szCs w:val="22"/>
              </w:rPr>
              <w:t xml:space="preserve">4.3  Data does not leave</w:t>
            </w:r>
          </w:p>
          <w:p>
            <w:pPr>
              <w:spacing w:after="60" w:before="60" w:line="2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0F172A"/>
                <w:sz w:val="21"/>
                <w:szCs w:val="21"/>
              </w:rPr>
              <w:t xml:space="preserve">In CLOUD_MODE=false (the local DMG), the only outbound network call is to the Anthropic API for the LLM synthesis step. Every retrieval decision happens on the local Mac. Customers with data-residency or air-gap constraints can use the system without exposing the underlying corpus to a cloud service.</w:t>
            </w:r>
          </w:p>
        </w:tc>
      </w:tr>
    </w:tbl>
    <w:p>
      <w:pPr>
        <w:pStyle w:val="Heading1"/>
        <w:pBdr>
          <w:bottom w:val="single" w:color="1F3864" w:sz="6" w:space="4"/>
        </w:pBdr>
        <w:spacing w:after="160" w:before="360" w:line="32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5.  Implementation Stack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900"/>
        <w:gridCol w:w="5200"/>
      </w:tblGrid>
      <w:tr>
        <w:trPr>
          <w:tblHeader/>
        </w:trPr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F346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Layer</w:t>
            </w:r>
          </w:p>
        </w:tc>
        <w:tc>
          <w:tcPr>
            <w:tcW w:type="dxa" w:w="2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F346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Technology</w:t>
            </w:r>
          </w:p>
        </w:tc>
        <w:tc>
          <w:tcPr>
            <w:tcW w:type="dxa" w:w="5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F346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Role</w:t>
            </w:r>
          </w:p>
        </w:tc>
      </w:tr>
      <w:tr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Frontend</w:t>
            </w:r>
          </w:p>
        </w:tc>
        <w:tc>
          <w:tcPr>
            <w:tcW w:type="dxa" w:w="2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Next.js 16 + React 19 + TypeScript</w:t>
            </w:r>
          </w:p>
        </w:tc>
        <w:tc>
          <w:tcPr>
            <w:tcW w:type="dxa" w:w="5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SPA, ChatAIO dialog, System Management, R&amp;D, References, Benchmark runner</w:t>
            </w:r>
          </w:p>
        </w:tc>
      </w:tr>
      <w:tr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API</w:t>
            </w:r>
          </w:p>
        </w:tc>
        <w:tc>
          <w:tcPr>
            <w:tcW w:type="dxa" w:w="2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FastAPI + Python 3.11</w:t>
            </w:r>
          </w:p>
        </w:tc>
        <w:tc>
          <w:tcPr>
            <w:tcW w:type="dxa" w:w="5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AIO/HSL/MRO CRUD, four-phase aio-search, substrate-chat, mro-search</w:t>
            </w:r>
          </w:p>
        </w:tc>
      </w:tr>
      <w:tr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Database</w:t>
            </w:r>
          </w:p>
        </w:tc>
        <w:tc>
          <w:tcPr>
            <w:tcW w:type="dxa" w:w="2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PostgreSQL 15 + pg_trgm</w:t>
            </w:r>
          </w:p>
        </w:tc>
        <w:tc>
          <w:tcPr>
            <w:tcW w:type="dxa" w:w="5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Source-of-truth storage; inverted index (IER); GIN trigram for fuzzy match</w:t>
            </w:r>
          </w:p>
        </w:tc>
      </w:tr>
      <w:tr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LLM</w:t>
            </w:r>
          </w:p>
        </w:tc>
        <w:tc>
          <w:tcPr>
            <w:tcW w:type="dxa" w:w="2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Anthropic Claude (model selectable at runtime)</w:t>
            </w:r>
          </w:p>
        </w:tc>
        <w:tc>
          <w:tcPr>
            <w:tcW w:type="dxa" w:w="5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Synthesis only — every retrieval decision is upstream of the LLM</w:t>
            </w:r>
          </w:p>
        </w:tc>
      </w:tr>
      <w:tr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Hosting</w:t>
            </w:r>
          </w:p>
        </w:tc>
        <w:tc>
          <w:tcPr>
            <w:tcW w:type="dxa" w:w="2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Railway (cloud) + Electron DMG (local)</w:t>
            </w:r>
          </w:p>
        </w:tc>
        <w:tc>
          <w:tcPr>
            <w:tcW w:type="dxa" w:w="5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Same code, three deployment shapes</w:t>
            </w:r>
          </w:p>
        </w:tc>
      </w:tr>
    </w:tbl>
    <w:p>
      <w:pPr>
        <w:pStyle w:val="Heading1"/>
        <w:pBdr>
          <w:bottom w:val="single" w:color="1F3864" w:sz="6" w:space="4"/>
        </w:pBdr>
        <w:spacing w:after="160" w:before="360" w:line="32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6.  Demo Dataset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000"/>
        <w:gridCol w:w="5600"/>
      </w:tblGrid>
      <w:tr>
        <w:trPr>
          <w:tblHeader/>
        </w:trP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F346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CSV</w:t>
            </w:r>
          </w:p>
        </w:tc>
        <w:tc>
          <w:tcPr>
            <w:tcW w:type="dxa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F346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Count</w:t>
            </w:r>
          </w:p>
        </w:tc>
        <w:tc>
          <w:tcPr>
            <w:tcW w:type="dxa" w:w="5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F346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Role</w:t>
            </w:r>
          </w:p>
        </w:tc>
      </w:tr>
      <w:t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AIA305 Sample.csv</w:t>
            </w:r>
          </w:p>
        </w:tc>
        <w:tc>
          <w:tcPr>
            <w:tcW w:type="dxa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474</w:t>
            </w:r>
          </w:p>
        </w:tc>
        <w:tc>
          <w:tcPr>
            <w:tcW w:type="dxa" w:w="5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Project portfolio with detailed financials</w:t>
            </w:r>
          </w:p>
        </w:tc>
      </w:tr>
      <w:t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acc_cost_codes.csv</w:t>
            </w:r>
          </w:p>
        </w:tc>
        <w:tc>
          <w:tcPr>
            <w:tcW w:type="dxa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38</w:t>
            </w:r>
          </w:p>
        </w:tc>
        <w:tc>
          <w:tcPr>
            <w:tcW w:type="dxa" w:w="5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Cost code catalog</w:t>
            </w:r>
          </w:p>
        </w:tc>
      </w:tr>
      <w:t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acc_vendors.csv</w:t>
            </w:r>
          </w:p>
        </w:tc>
        <w:tc>
          <w:tcPr>
            <w:tcW w:type="dxa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15</w:t>
            </w:r>
          </w:p>
        </w:tc>
        <w:tc>
          <w:tcPr>
            <w:tcW w:type="dxa" w:w="5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Vendor records</w:t>
            </w:r>
          </w:p>
        </w:tc>
      </w:tr>
      <w:t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acc_submittals.csv</w:t>
            </w:r>
          </w:p>
        </w:tc>
        <w:tc>
          <w:tcPr>
            <w:tcW w:type="dxa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14</w:t>
            </w:r>
          </w:p>
        </w:tc>
        <w:tc>
          <w:tcPr>
            <w:tcW w:type="dxa" w:w="5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Document submittals</w:t>
            </w:r>
          </w:p>
        </w:tc>
      </w:tr>
      <w:t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acc_employees.csv</w:t>
            </w:r>
          </w:p>
        </w:tc>
        <w:tc>
          <w:tcPr>
            <w:tcW w:type="dxa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13</w:t>
            </w:r>
          </w:p>
        </w:tc>
        <w:tc>
          <w:tcPr>
            <w:tcW w:type="dxa" w:w="5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Employee directory</w:t>
            </w:r>
          </w:p>
        </w:tc>
      </w:tr>
      <w:t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acc_rfis.csv</w:t>
            </w:r>
          </w:p>
        </w:tc>
        <w:tc>
          <w:tcPr>
            <w:tcW w:type="dxa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10</w:t>
            </w:r>
          </w:p>
        </w:tc>
        <w:tc>
          <w:tcPr>
            <w:tcW w:type="dxa" w:w="5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Requests for information</w:t>
            </w:r>
          </w:p>
        </w:tc>
      </w:tr>
      <w:t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acc_issues.csv</w:t>
            </w:r>
          </w:p>
        </w:tc>
        <w:tc>
          <w:tcPr>
            <w:tcW w:type="dxa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10</w:t>
            </w:r>
          </w:p>
        </w:tc>
        <w:tc>
          <w:tcPr>
            <w:tcW w:type="dxa" w:w="5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Field-issue records</w:t>
            </w:r>
          </w:p>
        </w:tc>
      </w:tr>
      <w:t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acc_customers.csv</w:t>
            </w:r>
          </w:p>
        </w:tc>
        <w:tc>
          <w:tcPr>
            <w:tcW w:type="dxa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8</w:t>
            </w:r>
          </w:p>
        </w:tc>
        <w:tc>
          <w:tcPr>
            <w:tcW w:type="dxa" w:w="5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Customer directory</w:t>
            </w:r>
          </w:p>
        </w:tc>
      </w:tr>
      <w:t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acc_projects.csv</w:t>
            </w:r>
          </w:p>
        </w:tc>
        <w:tc>
          <w:tcPr>
            <w:tcW w:type="dxa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7</w:t>
            </w:r>
          </w:p>
        </w:tc>
        <w:tc>
          <w:tcPr>
            <w:tcW w:type="dxa" w:w="5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Project metadata</w:t>
            </w:r>
          </w:p>
        </w:tc>
      </w:tr>
    </w:tbl>
    <w:p>
      <w:pPr>
        <w:spacing w:after="60" w:before="60" w:line="2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0F172A"/>
          <w:sz w:val="21"/>
          <w:szCs w:val="21"/>
        </w:rPr>
        <w:t xml:space="preserve">Total: 589 AIO rows, ≈ 1,200 HSL key-value pairs, 9 source CSVs.</w:t>
      </w:r>
    </w:p>
    <w:p>
      <w:pPr>
        <w:pBdr>
          <w:top w:val="single" w:color="CBD5E1" w:sz="6" w:space="4"/>
        </w:pBdr>
        <w:spacing w:after="80" w:before="320"/>
      </w:pPr>
      <w:r>
        <w:t xml:space="preserve"/>
      </w:r>
    </w:p>
    <w:p>
      <w:pPr>
        <w:spacing w:after="40" w:before="60" w:line="280"/>
        <w:jc w:val="center"/>
      </w:pP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94A3B8"/>
          <w:sz w:val="16"/>
          <w:szCs w:val="16"/>
        </w:rPr>
        <w:t xml:space="preserve">Prepared by InformationPhysics.ai, LLC.  Confidential — subject to the Transaction-Grade One-Way NDA on file.</w:t>
      </w:r>
    </w:p>
    <w:p>
      <w:pPr>
        <w:spacing w:after="0" w:before="60" w:line="280"/>
        <w:jc w:val="center"/>
      </w:pP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94A3B8"/>
          <w:sz w:val="16"/>
          <w:szCs w:val="16"/>
        </w:rPr>
        <w:t xml:space="preserve">© 2026 InformationPhysics.ai, LLC. All rights reserved.</w:t>
      </w:r>
    </w:p>
    <w:sectPr>
      <w:headerReference w:type="default" r:id="rId7"/>
      <w:footerReference w:type="default" r:id="rId8"/>
      <w:pgSz w:w="12240" w:h="15840" w:orient="portrait"/>
      <w:pgMar w:top="1180" w:right="1320" w:bottom="1180" w:left="1320" w:header="720" w:footer="720" w:gutter="0"/>
      <w:pgNumType/>
      <w:titlePg w:val="false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BD5E1" w:sz="4" w:space="1"/>
      </w:pBdr>
      <w:tabs>
        <w:tab w:val="right" w:pos="9600"/>
      </w:tabs>
      <w:spacing w:after="0" w:before="0"/>
    </w:pPr>
    <w:r>
      <w:rPr>
        <w:rFonts w:ascii="Calibri" w:cs="Calibri" w:eastAsia="Calibri" w:hAnsi="Calibri"/>
        <w:color w:val="94A3B8"/>
        <w:sz w:val="16"/>
        <w:szCs w:val="16"/>
      </w:rPr>
      <w:t xml:space="preserve">InformationPhysics.ai, LLC  ·  V4.5</w:t>
    </w:r>
    <w:r>
      <w:rPr>
        <w:sz w:val="16"/>
        <w:szCs w:val="16"/>
      </w:rPr>
      <w:t xml:space="preserve">	</w:t>
    </w:r>
    <w:r>
      <w:rPr>
        <w:rFonts w:ascii="Calibri" w:cs="Calibri" w:eastAsia="Calibri" w:hAnsi="Calibri"/>
        <w:color w:val="94A3B8"/>
        <w:sz w:val="16"/>
        <w:szCs w:val="16"/>
      </w:rPr>
      <w:t xml:space="preserve">Page </w:t>
    </w:r>
    <w:r>
      <w:rPr>
        <w:rFonts w:ascii="Calibri" w:cs="Calibri" w:eastAsia="Calibri" w:hAnsi="Calibri"/>
        <w:color w:val="94A3B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94A3B8"/>
        <w:sz w:val="16"/>
        <w:szCs w:val="16"/>
      </w:rPr>
      <w:t xml:space="preserve"> of </w:t>
    </w:r>
    <w:r>
      <w:rPr>
        <w:rFonts w:ascii="Calibri" w:cs="Calibri" w:eastAsia="Calibri" w:hAnsi="Calibri"/>
        <w:color w:val="94A3B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1"/>
      </w:pBdr>
      <w:tabs>
        <w:tab w:val="right" w:pos="9600"/>
      </w:tabs>
      <w:spacing w:after="0" w:before="0"/>
    </w:pPr>
    <w:r>
      <w:rPr>
        <w:rFonts w:ascii="Calibri" w:cs="Calibri" w:eastAsia="Calibri" w:hAnsi="Calibri"/>
        <w:b/>
        <w:bCs/>
        <w:color w:val="1F3864"/>
        <w:sz w:val="17"/>
        <w:szCs w:val="17"/>
      </w:rPr>
      <w:t xml:space="preserve">InformationPhysics.ai</w:t>
    </w:r>
    <w:r>
      <w:rPr>
        <w:color w:val="94A3B8"/>
        <w:sz w:val="17"/>
        <w:szCs w:val="17"/>
      </w:rPr>
      <w:t xml:space="preserve">  ·  </w:t>
    </w:r>
    <w:r>
      <w:rPr>
        <w:rFonts w:ascii="Calibri" w:cs="Calibri" w:eastAsia="Calibri" w:hAnsi="Calibri"/>
        <w:i/>
        <w:iCs/>
        <w:color w:val="475569"/>
        <w:sz w:val="17"/>
        <w:szCs w:val="17"/>
      </w:rPr>
      <w:t xml:space="preserve">Architecture Overview</w:t>
    </w:r>
    <w:r>
      <w:rPr>
        <w:sz w:val="17"/>
        <w:szCs w:val="17"/>
      </w:rPr>
      <w:t xml:space="preserve">	</w:t>
    </w:r>
    <w:r>
      <w:rPr>
        <w:rFonts w:ascii="Calibri" w:cs="Calibri" w:eastAsia="Calibri" w:hAnsi="Calibri"/>
        <w:b/>
        <w:bCs/>
        <w:color w:val="BE123C"/>
        <w:sz w:val="17"/>
        <w:szCs w:val="17"/>
      </w:rPr>
      <w:t xml:space="preserve">CONFIDENTIAL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 w:line="320"/>
      <w:outlineLvl w:val="0"/>
    </w:pPr>
    <w:rPr>
      <w:rFonts w:ascii="Calibri" w:cs="Calibri" w:eastAsia="Calibri" w:hAnsi="Calibri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40" w:line="300"/>
      <w:outlineLvl w:val="1"/>
    </w:pPr>
    <w:rPr>
      <w:rFonts w:ascii="Calibri" w:cs="Calibri" w:eastAsia="Calibri" w:hAnsi="Calibri"/>
      <w:b/>
      <w:bCs/>
      <w:color w:val="1F3864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Architecture Overview</dc:title>
  <dc:creator>Information Physics — ChatAIO Engineering</dc:creator>
  <dc:description>Architecture Overview — V4.5</dc:description>
  <cp:lastModifiedBy>Un-named</cp:lastModifiedBy>
  <cp:revision>1</cp:revision>
  <dcterms:created xsi:type="dcterms:W3CDTF">2026-05-01T14:29:21.811Z</dcterms:created>
  <dcterms:modified xsi:type="dcterms:W3CDTF">2026-05-01T14:29:21.811Z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