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E11D48" w:sz="18"/><w:left w:val="single" w:color="E11D48" w:sz="18"/><w:bottom w:val="single" w:color="E11D48" w:sz="18"/><w:right w:val="single" w:color="E11D48" w:sz="18"/></w:tcBorders><w:shd w:fill="FFF1F2" w:val="clear"/><w:tcMar><w:top w:type="dxa" w:w="160"/><w:left w:type="dxa" w:w="240"/><w:bottom w:type="dxa" w:w="160"/><w:right w:type="dxa" w:w="240"/></w:tcMar></w:tcPr><w:p><w:pPr><w:spacing w:after="80" w:before="0"/></w:pPr><w:r><w:rPr><w:rFonts w:ascii="Calibri" w:cs="Calibri" w:eastAsia="Calibri" w:hAnsi="Calibri"/><w:b/><w:bCs/><w:color w:val="BE123C"/><w:sz w:val="22"/><w:szCs w:val="22"/></w:rPr><w:t xml:space="preserve">⚠  CONFIDENTIAL — TRADE SECRET</w:t></w:r></w:p><w:p><w:pPr><w:spacing w:after="0" w:before="0" w:line="280"/></w:pPr><w:r><w:rPr><w:rFonts w:ascii="Calibri" w:cs="Calibri" w:eastAsia="Calibri" w:hAnsi="Calibri"/><w:color w:val="BE123C"/><w:sz w:val="20"/><w:szCs w:val="20"/></w:rPr>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160" w:before="60" w:line="280"/><w:jc w:val="center"/></w:pPr><w:r><w:rPr><w:rFonts w:ascii="Calibri" w:cs="Calibri" w:eastAsia="Calibri" w:hAnsi="Calibri"/><w:b w:val="false"/><w:bCs w:val="false"/><w:i w:val="false"/><w:iCs w:val="false"/><w:caps/><w:color w:val="94A3B8"/><w:sz w:val="17"/><w:szCs w:val="17"/></w:rPr><w:t xml:space="preserve">Engineering Reference — Internal / NDA-Restricted</w:t></w:r></w:p><w:p><w:pPr><w:spacing w:after="80" w:before="60" w:line="280"/><w:jc w:val="center"/></w:pPr><w:r><w:rPr><w:rFonts w:ascii="Calibri" w:cs="Calibri" w:eastAsia="Calibri" w:hAnsi="Calibri"/><w:b/><w:bCs/><w:i w:val="false"/><w:iCs w:val="false"/><w:caps w:val="false"/><w:color w:val="0F172A"/><w:sz w:val="36"/><w:szCs w:val="36"/></w:rPr><w:t xml:space="preserve">Substrate Diversity &amp; Dedup</w:t></w:r></w:p><w:p><w:pPr><w:spacing w:after="200" w:before="60" w:line="280"/><w:jc w:val="center"/></w:pPr><w:r><w:rPr><w:rFonts w:ascii="Calibri" w:cs="Calibri" w:eastAsia="Calibri" w:hAnsi="Calibri"/><w:b w:val="false"/><w:bCs w:val="false"/><w:i/><w:iCs/><w:caps w:val="false"/><w:color w:val="475569"/><w:sz w:val="22"/><w:szCs w:val="22"/></w:rPr><w:t xml:space="preserve">Cap-by-CSV diversity and element-set Jaccard dedup at substrate-build time</w:t></w:r></w:p><w:p><w:pPr><w:spacing w:after="40" w:before="60" w:line="280"/><w:jc w:val="center"/></w:pPr><w:r><w:rPr><w:rFonts w:ascii="Calibri" w:cs="Calibri" w:eastAsia="Calibri" w:hAnsi="Calibri"/><w:b/><w:bCs/><w:i w:val="false"/><w:iCs w:val="false"/><w:caps w:val="false"/><w:color w:val="0F172A"/><w:sz w:val="22"/><w:szCs w:val="22"/></w:rPr><w:t xml:space="preserve">Michael Simon Bodner, Ph.D.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0F3460"/><w:sz w:val="18"/><w:szCs w:val="18"/></w:rPr><w:t xml:space="preserve">Founder &amp; Chief Scientist, InformationPhysics.ai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475569"/><w:sz w:val="18"/><w:szCs w:val="18"/></w:rPr><w:t xml:space="preserve">April 2026 — Software Version V4.5.0</w:t></w:r></w:p><w:p><w:pPr><w:spacing w:after="40" w:before="60" w:line="280"/><w:jc w:val="center"/></w:pPr><w:r><w:rPr><w:rFonts w:ascii="Consolas" w:cs="Consolas" w:eastAsia="Consolas" w:hAnsi="Consolas"/><w:b w:val="false"/><w:bCs w:val="false"/><w:i w:val="false"/><w:iCs w:val="false"/><w:caps w:val="false"/><w:color w:val="475569"/><w:sz w:val="16"/><w:szCs w:val="16"/></w:rPr><w:t xml:space="preserve">lib/aio-math.ts  ·  infophysics_impl_grade/api/search_helpers.py</w:t></w:r></w:p><w:p><w:pPr><w:spacing w:after="2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94A3B8"/><w:sz w:val="16"/><w:szCs w:val="16"/></w:rPr><w:t xml:space="preserve">© 2026 InformationPhysics.ai, LLC. All rights reserved.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tcMar><w:top w:type="dxa" w:w="200"/><w:left w:type="dxa" w:w="240"/><w:bottom w:type="dxa" w:w="200"/><w:right w:type="dxa" w:w="240"/></w:tcMar></w:tcPr><w:p><w:pPr><w:spacing w:after="120" w:before="0"/></w:pPr><w:r><w:rPr><w:rFonts w:ascii="Calibri" w:cs="Calibri" w:eastAsia="Calibri" w:hAnsi="Calibri"/><w:b/><w:bCs/><w:color w:val="1F3864"/><w:sz w:val="24"/><w:szCs w:val="24"/></w:rPr><w:t xml:space="preserve">Abstract</w:t></w:r></w:p><w:p><w:pPr><w:spacing w:after="0" w:before="0" w:line="300"/></w:pPr><w:r><w:rPr><w:rFonts w:ascii="Calibri" w:cs="Calibri" w:eastAsia="Calibri" w:hAnsi="Calibri"/><w:color w:val="475569"/><w:sz w:val="21"/><w:szCs w:val="21"/></w:rPr><w:t xml:space="preserve">Documents two substrate-build-time fixes that landed in V4.5 to keep the LLM&apos;s input bundle balanced and non-redundant: cap-by-CSV diversity (replacing a flat top-N cap that let one CSV crowd out the others) and element-set Jaccard dedup (collapsing near-duplicates that survived from cross-CSV reposts of the same entity).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1.  The Failure Mode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Pre-V4.5, the substrate cap was a flat &quot;top N AIOs by score&quot; pass. On the demo corpus AIA305 Sample.csv supplies 474 of 589 AIOs (≈80%), and AIA305 rows score consistently high on most queries because they&apos;re long, dense, and contain many cues. Result: the cap filled with AIA305 records and starved the operational CSVs (acc_rfis, acc_issues, acc_submittals, acc_vendors, acc_cost_codes). Multi-CSV joins on a shared key failed silently with &quot;no matching records&quot; — the records existed, they just never reached the LLM.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2.  Cap-by-CSV Diversity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fix has the same end-state token budget but a different distribution rule:</w:t></w:r></w:p><0/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Mirrored on the frontend Recall path (lib/aio-math.ts diversifyByCSV) and the backend Live path (api/search_helpers.py diversify_by_csv) so both modes produce comparable substrates.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2.1  Worked example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Query: &quot;Show me the project where Sarah Mitchell is Superintendent and list its open RFIs&quot;. Matched: 18 AIA305 + 4 acc_rfis + 1 acc_employees = 23 AIOs. Cap = 12.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1500"/><w:gridCol w:w="1500"/><w:gridCol w:w="1800"/><w:gridCol w:w="1800"/></w:tblGrid><w:tr><w:trPr><w:tblHeader/></w:trP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Step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AIA305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acc_rfis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acc_employees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Total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Pre-V4.5 flat top-12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12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12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V4.5 fair share = ⌈12/3⌉ = 4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4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4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9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Backfill from leftovers (3 slots)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+3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+0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+0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12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Final substrate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7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4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12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Pre-V4.5 the LLM never sees an acc_rfis row and answers &quot;there are no open RFIs on that project.&quot; V4.5 sees all 4 RFIs and answers correctly.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3.  Element-Set Jaccard Dedup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Two AIOs that describe the same entity from different CSVs frequently share most of their [Key.Value] tokens. Without dedup, the substrate carries both rows and the LLM either ignores the duplication (wasting tokens) or double-counts in aggregations.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3.1  Algorithm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Each AIO is hashed as a multiset of (Key, Value) tuples. The provenance key — (OriginalCSV, RowNumber) — is excluded from the comparison so identical content from two CSVs is correctly identified as duplicate.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100"/><w:left w:type="dxa" w:w="200"/><w:bottom w:type="dxa" w:w="100"/><w:right w:type="dxa" w:w="200"/></w:tcMar></w:tcPr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function jaccard(a: Set&lt;KV&gt;, b: Set&lt;KV&gt;): number {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  const inter = new Set([...a].filter(x =&gt; b.has(x))).size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  const union = new Set([...a, ...b]).size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  return inter / union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}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// Pairs with jaccard ≥ 0.85 collapse to the higher-ranked AIO.</w:t></w:r></w:p></w:tc></w:tr></w:tbl><w:p/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3.2  Threshold tuning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500"/><w:gridCol w:w="3500"/><w:gridCol w:w="4600"/></w:tblGrid><w:tr><w:trPr><w:tblHeader/></w:trP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Threshold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Behavior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Trade-off</w:t></w:r></w:p></w:tc></w:tr><w:t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0.50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Aggressive — collapses any AIOs sharing half their tokens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Drops legitimate variants of the same entity (different status, different date)</w:t></w:r></w:p></w:tc></w:tr><w:t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0.70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Moderate — collapses near-clones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Some legitimate near-duplicates still slip through</w:t></w:r></w:p></w:tc></w:tr><w:t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0.85 (V4.5 default)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Conservative — only true clones collapse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Best balance on demo corpus</w:t></w:r></w:p></w:tc></w:tr><w:t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0.95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Very conservative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Effectively a no-op; near-clones survive</w:t></w:r></w:p></w:tc></w:tr></w:tbl><w:p/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4.  Why Both Are Needed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Diversity-by-CSV ensures every CSV that has a hit gets representation in the substrate. Jaccard dedup ensures within-CSV near-clones don&apos;t waste those slots. The two passes compose: diversity runs first (to spread the budget across CSVs), then dedup runs within each CSV&apos;s sub-bucket (to keep each bucket&apos;s content non-redundant).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5.  Provenance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6600"/></w:tblGrid><w:tr><w:trPr><w:tblHeader/></w:trP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Topic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Source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Frontend diversifyByCSV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lib/aio-math.ts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Backend diversify_by_csv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infophysics_impl_grade/api/search_helpers.py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Jaccard dedup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lib/aio-math.ts (jaccardDedupe)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Provenance-key exclusion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lib/aio-math.ts (PROVENANCE_KEYS)</w:t></w:r></w:p></w:tc></w:tr></w:tbl><w:p><w:pPr><w:pBdr><w:top w:val="single" w:color="CBD5E1" w:sz="6" w:space="4"/></w:pBdr><w:spacing w:after="80" w:before="320"/></w:pPr><w:r><w:t xml:space="preserve"></w:t></w:r></w:p><w:p><w:pPr><w:spacing w:after="4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Prepared by InformationPhysics.ai, LLC.  Confidential — subject to the Transaction-Grade One-Way NDA on file.</w:t></w:r></w:p><w:p><w:pPr><w:spacing w:after="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© 2026 InformationPhysics.ai, LLC. All rights reserved.</w:t></w:r></w:p><w:sectPr><w:headerReference w:type="default" r:id="rId7"/><w:footerReference w:type="default" r:id="rId8"/><w:pgSz w:w="12240" w:h="15840" w:orient="portrait"/><w:pgMar w:top="1180" w:right="1320" w:bottom="1180" w:left="1320" w:header="720" w:footer="720" w:gutter="0"/><w:pgNumType/><w:titlePg w:val="false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Substrate Diversity &amp; Dedup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Substrate Diversity &amp; Dedup</dc:title>
  <dc:creator>Information Physics — ChatAIO Engineering</dc:creator>
  <dc:description>Substrate Diversity &amp; Dedup — V4.5</dc:description>
  <cp:lastModifiedBy>Un-named</cp:lastModifiedBy>
  <cp:revision>1</cp:revision>
  <dcterms:created xsi:type="dcterms:W3CDTF">2026-05-01T14:29:21.775Z</dcterms:created>
  <dcterms:modified xsi:type="dcterms:W3CDTF">2026-05-01T14:29:21.775Z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