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E11D48" w:sz="18"/>
              <w:left w:val="single" w:color="E11D48" w:sz="18"/>
              <w:bottom w:val="single" w:color="E11D48" w:sz="18"/>
              <w:right w:val="single" w:color="E11D48" w:sz="18"/>
            </w:tcBorders>
            <w:shd w:fill="FFF1F2" w:val="clear"/>
            <w:tcMar>
              <w:top w:type="dxa" w:w="160"/>
              <w:left w:type="dxa" w:w="240"/>
              <w:bottom w:type="dxa" w:w="160"/>
              <w:right w:type="dxa" w:w="240"/>
            </w:tcMar>
          </w:tcPr>
          <w:p>
            <w:pPr>
              <w:spacing w:after="80" w:before="0"/>
            </w:pPr>
            <w:r>
              <w:rPr>
                <w:rFonts w:ascii="Calibri" w:cs="Calibri" w:eastAsia="Calibri" w:hAnsi="Calibri"/>
                <w:b/>
                <w:bCs/>
                <w:color w:val="BE123C"/>
                <w:sz w:val="22"/>
                <w:szCs w:val="22"/>
              </w:rPr>
              <w:t xml:space="preserve">⚠  CONFIDENTIAL — TRADE SECRET</w:t>
            </w:r>
          </w:p>
          <w:p>
            <w:pPr>
              <w:spacing w:after="0" w:before="0" w:line="280"/>
            </w:pPr>
            <w:r>
              <w:rPr>
                <w:rFonts w:ascii="Calibri" w:cs="Calibri" w:eastAsia="Calibri" w:hAnsi="Calibri"/>
                <w:color w:val="BE123C"/>
                <w:sz w:val="20"/>
                <w:szCs w:val="20"/>
              </w:rPr>
              <w:t xml:space="preserve">This document describes the internal logic, data structures, and operational behavior of a proprietary subsystem of the Information Physics Demo System. It contains confidential information and trade secrets of InformationPhysics.ai, LLC, including algorithmic detail not present in public-facing materials. Subject to the Transaction-Grade One-Way Non-Disclosure Agreement on file. Unauthorized use, disclosure, or reproduction is strictly prohibited and may result in civil and criminal liability.</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160" w:before="60" w:line="280"/>
        <w:jc w:val="center"/>
      </w:pPr>
      <w:r>
        <w:rPr>
          <w:rFonts w:ascii="Calibri" w:cs="Calibri" w:eastAsia="Calibri" w:hAnsi="Calibri"/>
          <w:b w:val="false"/>
          <w:bCs w:val="false"/>
          <w:i w:val="false"/>
          <w:iCs w:val="false"/>
          <w:caps/>
          <w:color w:val="94A3B8"/>
          <w:sz w:val="17"/>
          <w:szCs w:val="17"/>
        </w:rPr>
        <w:t xml:space="preserve">Engineering Reference — Internal / NDA-Restricted</w:t>
      </w:r>
    </w:p>
    <w:p>
      <w:pPr>
        <w:spacing w:after="80" w:before="60" w:line="280"/>
        <w:jc w:val="center"/>
      </w:pPr>
      <w:r>
        <w:rPr>
          <w:rFonts w:ascii="Calibri" w:cs="Calibri" w:eastAsia="Calibri" w:hAnsi="Calibri"/>
          <w:b/>
          <w:bCs/>
          <w:i w:val="false"/>
          <w:iCs w:val="false"/>
          <w:caps w:val="false"/>
          <w:color w:val="0F172A"/>
          <w:sz w:val="36"/>
          <w:szCs w:val="36"/>
        </w:rPr>
        <w:t xml:space="preserve">Recall Search — End-to-End Trace</w:t>
      </w:r>
    </w:p>
    <w:p>
      <w:pPr>
        <w:spacing w:after="200" w:before="60" w:line="280"/>
        <w:jc w:val="center"/>
      </w:pPr>
      <w:r>
        <w:rPr>
          <w:rFonts w:ascii="Calibri" w:cs="Calibri" w:eastAsia="Calibri" w:hAnsi="Calibri"/>
          <w:b w:val="false"/>
          <w:bCs w:val="false"/>
          <w:i/>
          <w:iCs/>
          <w:caps w:val="false"/>
          <w:color w:val="475569"/>
          <w:sz w:val="22"/>
          <w:szCs w:val="22"/>
        </w:rPr>
        <w:t xml:space="preserve">James Okafor query · every MRO probe · every cue · every HSL · every AIO sent to the LLM</w:t>
      </w:r>
    </w:p>
    <w:p>
      <w:pPr>
        <w:spacing w:after="40" w:before="60" w:line="280"/>
        <w:jc w:val="center"/>
      </w:pPr>
      <w:r>
        <w:rPr>
          <w:rFonts w:ascii="Calibri" w:cs="Calibri" w:eastAsia="Calibri" w:hAnsi="Calibri"/>
          <w:b/>
          <w:bCs/>
          <w:i w:val="false"/>
          <w:iCs w:val="false"/>
          <w:caps w:val="false"/>
          <w:color w:val="0F172A"/>
          <w:sz w:val="22"/>
          <w:szCs w:val="22"/>
        </w:rPr>
        <w:t xml:space="preserve">Michael Simon Bodner, Ph.D.</w:t>
      </w:r>
    </w:p>
    <w:p>
      <w:pPr>
        <w:spacing w:after="40" w:before="60" w:line="280"/>
        <w:jc w:val="center"/>
      </w:pPr>
      <w:r>
        <w:rPr>
          <w:rFonts w:ascii="Calibri" w:cs="Calibri" w:eastAsia="Calibri" w:hAnsi="Calibri"/>
          <w:b w:val="false"/>
          <w:bCs w:val="false"/>
          <w:i w:val="false"/>
          <w:iCs w:val="false"/>
          <w:caps w:val="false"/>
          <w:color w:val="0F3460"/>
          <w:sz w:val="18"/>
          <w:szCs w:val="18"/>
        </w:rPr>
        <w:t xml:space="preserve">Founder &amp; Chief Scientist, InformationPhysics.ai</w:t>
      </w:r>
    </w:p>
    <w:p>
      <w:pPr>
        <w:spacing w:after="40" w:before="60" w:line="280"/>
        <w:jc w:val="center"/>
      </w:pPr>
      <w:r>
        <w:rPr>
          <w:rFonts w:ascii="Calibri" w:cs="Calibri" w:eastAsia="Calibri" w:hAnsi="Calibri"/>
          <w:b w:val="false"/>
          <w:bCs w:val="false"/>
          <w:i w:val="false"/>
          <w:iCs w:val="false"/>
          <w:caps w:val="false"/>
          <w:color w:val="475569"/>
          <w:sz w:val="18"/>
          <w:szCs w:val="18"/>
        </w:rPr>
        <w:t xml:space="preserve">Run: 2026-04-27T18:56:46.811Z — Software Version V4.4.0</w:t>
      </w:r>
    </w:p>
    <w:p>
      <w:pPr>
        <w:spacing w:after="40" w:before="60" w:line="280"/>
        <w:jc w:val="center"/>
      </w:pPr>
      <w:r>
        <w:rPr>
          <w:rFonts w:ascii="Consolas" w:cs="Consolas" w:eastAsia="Consolas" w:hAnsi="Consolas"/>
          <w:b w:val="false"/>
          <w:bCs w:val="false"/>
          <w:i w:val="false"/>
          <w:iCs w:val="false"/>
          <w:caps w:val="false"/>
          <w:color w:val="475569"/>
          <w:sz w:val="16"/>
          <w:szCs w:val="16"/>
        </w:rPr>
        <w:t xml:space="preserve">https://informationphysicsdemo.up.railway.app  ·  scripts/trace_recall.ts</w:t>
      </w:r>
    </w:p>
    <w:p>
      <w:pPr>
        <w:spacing w:after="240" w:before="60" w:line="280"/>
        <w:jc w:val="center"/>
      </w:pPr>
      <w:r>
        <w:rPr>
          <w:rFonts w:ascii="Calibri" w:cs="Calibri" w:eastAsia="Calibri" w:hAnsi="Calibri"/>
          <w:b w:val="false"/>
          <w:bCs w:val="false"/>
          <w:i w:val="false"/>
          <w:iCs w:val="false"/>
          <w:caps w:val="false"/>
          <w:color w:val="94A3B8"/>
          <w:sz w:val="16"/>
          <w:szCs w:val="16"/>
        </w:rPr>
        <w:t xml:space="preserve">© 2026 InformationPhysics.ai, LLC. All rights reserved.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tcMar>
              <w:top w:type="dxa" w:w="200"/>
              <w:left w:type="dxa" w:w="240"/>
              <w:bottom w:type="dxa" w:w="200"/>
              <w:right w:type="dxa" w:w="240"/>
            </w:tcMar>
          </w:tcPr>
          <w:p>
            <w:pPr>
              <w:spacing w:after="120" w:before="0"/>
            </w:pPr>
            <w:r>
              <w:rPr>
                <w:rFonts w:ascii="Calibri" w:cs="Calibri" w:eastAsia="Calibri" w:hAnsi="Calibri"/>
                <w:b/>
                <w:bCs/>
                <w:color w:val="1F3864"/>
                <w:sz w:val="24"/>
                <w:szCs w:val="24"/>
              </w:rPr>
              <w:t xml:space="preserve">Abstract</w:t>
            </w:r>
          </w:p>
          <w:p>
            <w:pPr>
              <w:spacing w:after="0" w:before="0" w:line="300"/>
            </w:pPr>
            <w:r>
              <w:rPr>
                <w:rFonts w:ascii="Calibri" w:cs="Calibri" w:eastAsia="Calibri" w:hAnsi="Calibri"/>
                <w:color w:val="475569"/>
                <w:sz w:val="21"/>
                <w:szCs w:val="21"/>
              </w:rPr>
              <w:t xml:space="preserve">Single-query Recall Search trace against the V4.4 production deployment with the MRO short-circuit bypassed inside the pipeline. Documents every prior MRO scored, every cue extracted, every HSL probed, every AIO sent to the LLM, and the structure of the verbatim final reply. Useful as a reference example of what a real Recall query looks like at the substrate layer.</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1.  Query and Setup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Verbatim query</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"What roles does James Okafor hold. List projects and financials for each. (run 51jdn4)"</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In production, this query would short-circuit at MRO score 0.889 (well above the 0.85 threshold) and skip both the LLM call and the AIO neighborhood entirely. For this trace the short-circuit is bypassed so we can observe the full HSL/AIO traversal.</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Field</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Value</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Frontend</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https://informationphysicsdemo.up.railway.app</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Tenant</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tenantA</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Timestamp</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2026-04-27T18:56:46.811Z</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 time</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89,378 ms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Prefetch</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648 ms</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Pipeline</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14,125 ms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Corpus AIOs</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589</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HSL key-value pairs</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1,208</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Model</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claude-haiku-4-5</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2.  MRO Layer — Memory Result Objects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pipeline first probes /v1/op/mro-search for prior episodes. Hits at score ≥ 0.85 short-circuit the LLM. Hits at ≥ 0.50 are hydrated as priors and injected into the substrate. Hits at ≥ 0.30 contribute their cue_set to the cue pool.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2.1  All MRO probe hits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800"/>
              <w:gridCol w:w="800"/>
              <w:gridCol w:w="5500"/>
            </w:tblGrid>
            <w:tr>
              <w:trPr>
                <w:tblHeader/>
              </w:trPr>
              <w:tc>
                <w:tcPr>
                  <w:tcW w:type="dxa" w:w="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Score</w:t>
                  </w:r>
                </w:p>
              </w:tc>
              <w:tc>
                <w:tcPr>
                  <w:tcW w:type="dxa" w:w="17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MRO ID</w:t>
                  </w:r>
                </w:p>
              </w:tc>
              <w:tc>
                <w:tcPr>
                  <w:tcW w:type="dxa" w:w="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Trust</w:t>
                  </w:r>
                </w:p>
              </w:tc>
              <w:tc>
                <w:tcPr>
                  <w:tcW w:type="dxa" w:w="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Conf.</w:t>
                  </w:r>
                </w:p>
              </w:tc>
              <w:tc>
                <w:tcPr>
                  <w:tcW w:type="dxa" w:w="55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Past query</w:t>
                  </w:r>
                </w:p>
              </w:tc>
            </w:tr>
            <w:tr>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0.621</w:t>
                  </w:r>
                </w:p>
              </w:tc>
              <w:tc>
                <w:tcPr>
                  <w:tcW w:type="dxa" w:w="1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d1ab0bd3…</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6</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0.75</w:t>
                  </w:r>
                </w:p>
              </w:tc>
              <w:tc>
                <w:tcPr>
                  <w:tcW w:type="dxa" w:w="5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hold. List projects and financials for each.</w:t>
                  </w:r>
                </w:p>
              </w:tc>
            </w:tr>
            <w:tr>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0.621</w:t>
                  </w:r>
                </w:p>
              </w:tc>
              <w:tc>
                <w:tcPr>
                  <w:tcW w:type="dxa" w:w="1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a14a91d8…</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0.75</w:t>
                  </w:r>
                </w:p>
              </w:tc>
              <w:tc>
                <w:tcPr>
                  <w:tcW w:type="dxa" w:w="5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hold. List projects and financials for each.</w:t>
                  </w:r>
                </w:p>
              </w:tc>
            </w:tr>
            <w:tr>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0.621</w:t>
                  </w:r>
                </w:p>
              </w:tc>
              <w:tc>
                <w:tcPr>
                  <w:tcW w:type="dxa" w:w="1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25692369…</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0.75</w:t>
                  </w:r>
                </w:p>
              </w:tc>
              <w:tc>
                <w:tcPr>
                  <w:tcW w:type="dxa" w:w="5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hold. List projects and financials for each.</w:t>
                  </w:r>
                </w:p>
              </w:tc>
            </w:tr>
            <w:tr>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0.167</w:t>
                  </w:r>
                </w:p>
              </w:tc>
              <w:tc>
                <w:tcPr>
                  <w:tcW w:type="dxa" w:w="1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ff65a481…</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derived</w:t>
                  </w:r>
                </w:p>
              </w:tc>
              <w:tc>
                <w:tcPr>
                  <w:tcW w:type="dxa" w:w="5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have</w:t>
                  </w:r>
                </w:p>
              </w:tc>
            </w:tr>
            <w:tr>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0.167</w:t>
                  </w:r>
                </w:p>
              </w:tc>
              <w:tc>
                <w:tcPr>
                  <w:tcW w:type="dxa" w:w="1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a41d7317…</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0.75</w:t>
                  </w:r>
                </w:p>
              </w:tc>
              <w:tc>
                <w:tcPr>
                  <w:tcW w:type="dxa" w:w="5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have</w:t>
                  </w:r>
                </w:p>
              </w:tc>
            </w:tr>
            <w:tr>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0.167</w:t>
                  </w:r>
                </w:p>
              </w:tc>
              <w:tc>
                <w:tcPr>
                  <w:tcW w:type="dxa" w:w="1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35e0a953…</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0.75</w:t>
                  </w:r>
                </w:p>
              </w:tc>
              <w:tc>
                <w:tcPr>
                  <w:tcW w:type="dxa" w:w="5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have</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2.2  Priors hydrated into the substrate</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Three priors crossed the bundle-augment threshold and were sent to the LLM as framing context (never as ground truth).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
              <w:gridCol w:w="2700"/>
              <w:gridCol w:w="800"/>
              <w:gridCol w:w="1100"/>
              <w:gridCol w:w="4600"/>
            </w:tblGrid>
            <w:tr>
              <w:trPr>
                <w:tblHeader/>
              </w:trPr>
              <w:tc>
                <w:tcPr>
                  <w:tcW w:type="dxa" w:w="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onsolas" w:cs="Consolas" w:eastAsia="Consolas" w:hAnsi="Consolas"/>
                      <w:b/>
                      <w:bCs/>
                      <w:color w:val="FFFFFF"/>
                      <w:sz w:val="19"/>
                      <w:szCs w:val="19"/>
                    </w:rPr>
                    <w:t xml:space="preserve">#</w:t>
                  </w:r>
                </w:p>
              </w:tc>
              <w:tc>
                <w:tcPr>
                  <w:tcW w:type="dxa" w:w="27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MRO ID</w:t>
                  </w:r>
                </w:p>
              </w:tc>
              <w:tc>
                <w:tcPr>
                  <w:tcW w:type="dxa" w:w="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Score</w:t>
                  </w:r>
                </w:p>
              </w:tc>
              <w:tc>
                <w:tcPr>
                  <w:tcW w:type="dxa" w:w="11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Freshness</w:t>
                  </w:r>
                </w:p>
              </w:tc>
              <w:tc>
                <w:tcPr>
                  <w:tcW w:type="dxa" w:w="4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Result preview (first ≈100 chars)</w:t>
                  </w:r>
                </w:p>
              </w:tc>
            </w:tr>
            <w:tr>
              <w:tc>
                <w:tcPr>
                  <w:tcW w:type="dxa" w:w="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2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d1ab0bd3-6271-46c9-9d6a-62ff2030dd8b</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1.184</w:t>
                  </w:r>
                </w:p>
              </w:tc>
              <w:tc>
                <w:tcPr>
                  <w:tcW w:type="dxa" w:w="1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1.00</w:t>
                  </w:r>
                </w:p>
              </w:tc>
              <w:tc>
                <w:tcPr>
                  <w:tcW w:type="dxa" w:w="4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 Sarah Mitchell's Roles — 4 distinct roles across the dataset…</w:t>
                  </w:r>
                </w:p>
              </w:tc>
            </w:tr>
            <w:tr>
              <w:tc>
                <w:tcPr>
                  <w:tcW w:type="dxa" w:w="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2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25692369-acf9-4f71-b3d8-5f9782786cdb</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0.718</w:t>
                  </w:r>
                </w:p>
              </w:tc>
              <w:tc>
                <w:tcPr>
                  <w:tcW w:type="dxa" w:w="1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1.00</w:t>
                  </w:r>
                </w:p>
              </w:tc>
              <w:tc>
                <w:tcPr>
                  <w:tcW w:type="dxa" w:w="4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 Sarah Mitchell's Roles — Filter applied: 37 qualifying records…</w:t>
                  </w:r>
                </w:p>
              </w:tc>
            </w:tr>
            <w:tr>
              <w:tc>
                <w:tcPr>
                  <w:tcW w:type="dxa" w:w="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2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a14a91d8-cd9b-4ac5-9b01-1bd91d14ab11</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0.402</w:t>
                  </w:r>
                </w:p>
              </w:tc>
              <w:tc>
                <w:tcPr>
                  <w:tcW w:type="dxa" w:w="1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1.00</w:t>
                  </w:r>
                </w:p>
              </w:tc>
              <w:tc>
                <w:tcPr>
                  <w:tcW w:type="dxa" w:w="4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 Sarah Mitchell's Roles — 4 distinct roles across the dataset…</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All three priors are answers to a different name (Sarah Mitchell), used here as framing for the structurally-similar James Okafor query.</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3.  Cue Extraction and HSL Resolution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Metric</w:t>
            </w:r>
          </w:p>
        </w:tc>
        <w:tc>
          <w:tcPr>
            <w:tcW w:type="dxa" w:w="6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Value</w:t>
            </w:r>
          </w:p>
        </w:tc>
      </w:tr>
      <w:tr>
        <w:tc>
          <w:tcPr>
            <w:tcW w:type="dxa" w:w="3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 cues extracted</w:t>
            </w:r>
          </w:p>
        </w:tc>
        <w:tc>
          <w:tcPr>
            <w:tcW w:type="dxa" w:w="6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149</w:t>
            </w:r>
          </w:p>
        </w:tc>
      </w:tr>
      <w:tr>
        <w:tc>
          <w:tcPr>
            <w:tcW w:type="dxa" w:w="3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Cues with ≥ 1 HSL match</w:t>
            </w:r>
          </w:p>
        </w:tc>
        <w:tc>
          <w:tcPr>
            <w:tcW w:type="dxa" w:w="6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14</w:t>
            </w:r>
          </w:p>
        </w:tc>
      </w:tr>
      <w:tr>
        <w:tc>
          <w:tcPr>
            <w:tcW w:type="dxa" w:w="3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Cues with no HSL match</w:t>
            </w:r>
          </w:p>
        </w:tc>
        <w:tc>
          <w:tcPr>
            <w:tcW w:type="dxa" w:w="6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135</w:t>
            </w:r>
          </w:p>
        </w:tc>
      </w:tr>
      <w:tr>
        <w:tc>
          <w:tcPr>
            <w:tcW w:type="dxa" w:w="3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Distinct HSLs traversed</w:t>
            </w:r>
          </w:p>
        </w:tc>
        <w:tc>
          <w:tcPr>
            <w:tcW w:type="dxa" w:w="6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14</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3.1  HSLs matched, by cue (top 7)</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6800"/>
            </w:tblGrid>
            <w:tr>
              <w:trPr>
                <w:tblHeader/>
              </w:trPr>
              <w:tc>
                <w:tcPr>
                  <w:tcW w:type="dxa" w:w="2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Cue value</w:t>
                  </w:r>
                </w:p>
              </w:tc>
              <w:tc>
                <w:tcPr>
                  <w:tcW w:type="dxa" w:w="6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HSLs matched</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James Okafor</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[Assigned To.James Okafor]  ·  [Reviewed By.James Okafor]  ·  [Estimator.James Okafor]  ·  [ProjectManager.James Okafor]  ·  [Superintendent.James Okafor]</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Highland Medical Center Expansion</w:t>
                  </w:r>
                </w:p>
              </w:tc>
              <w:tc>
                <w:tcPr>
                  <w:tcW w:type="dxa" w:w="6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[Project Name.Highland Medical Center Expansion]</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acc_projects.csv</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[OriginalCSV.acc_projects.csv]</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1701 S Padre Island Dr</w:t>
                  </w:r>
                </w:p>
              </w:tc>
              <w:tc>
                <w:tcPr>
                  <w:tcW w:type="dxa" w:w="6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[Address.1701 S Padre Island Dr]</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Lockwood Andrews &amp; Newnam</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[Architect.Lockwood Andrews &amp; Newnam]</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Grand Pacific Hospitality</w:t>
                  </w:r>
                </w:p>
              </w:tc>
              <w:tc>
                <w:tcPr>
                  <w:tcW w:type="dxa" w:w="6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[Owner.Grand Pacific Hospitality]</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Highland Health Systems</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[Owner.Highland Health Systems]</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3.2  Sample HSL — [Assigned To.James Okafor]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HSL ID:    48810812-…</w:t>
                  </w:r>
                </w:p>
                <w:p>
                  <w:pPr>
                    <w:shd w:fill="F1F5F9" w:val="clear"/>
                    <w:spacing w:after="0" w:before="0" w:line="240"/>
                  </w:pPr>
                  <w:r>
                    <w:rPr>
                      <w:rFonts w:ascii="Consolas" w:cs="Consolas" w:eastAsia="Consolas" w:hAnsi="Consolas"/>
                      <w:color w:val="0F172A"/>
                      <w:sz w:val="18"/>
                      <w:szCs w:val="18"/>
                    </w:rPr>
                    <w:t xml:space="preserve">HSL Name:  [Assigned To.James Okafor].hsl</w:t>
                  </w:r>
                </w:p>
                <w:p>
                  <w:pPr>
                    <w:shd w:fill="F1F5F9" w:val="clear"/>
                    <w:spacing w:after="0" w:before="0" w:line="240"/>
                  </w:pPr>
                  <w:r>
                    <w:rPr>
                      <w:rFonts w:ascii="Consolas" w:cs="Consolas" w:eastAsia="Consolas" w:hAnsi="Consolas"/>
                      <w:color w:val="0F172A"/>
                      <w:sz w:val="18"/>
                      <w:szCs w:val="18"/>
                    </w:rPr>
                    <w:t xml:space="preserve">Element samples:</w:t>
                  </w:r>
                </w:p>
                <w:p>
                  <w:pPr>
                    <w:shd w:fill="F1F5F9" w:val="clear"/>
                    <w:spacing w:after="0" w:before="0" w:line="240"/>
                  </w:pPr>
                  <w:r>
                    <w:rPr>
                      <w:rFonts w:ascii="Consolas" w:cs="Consolas" w:eastAsia="Consolas" w:hAnsi="Consolas"/>
                      <w:color w:val="0F172A"/>
                      <w:sz w:val="18"/>
                      <w:szCs w:val="18"/>
                    </w:rPr>
                    <w:t xml:space="preserve">    acc_issues.csv - Row 146</w:t>
                  </w:r>
                </w:p>
                <w:p>
                  <w:pPr>
                    <w:shd w:fill="F1F5F9" w:val="clear"/>
                    <w:spacing w:after="0" w:before="0" w:line="240"/>
                  </w:pPr>
                  <w:r>
                    <w:rPr>
                      <w:rFonts w:ascii="Consolas" w:cs="Consolas" w:eastAsia="Consolas" w:hAnsi="Consolas"/>
                      <w:color w:val="0F172A"/>
                      <w:sz w:val="18"/>
                      <w:szCs w:val="18"/>
                    </w:rPr>
                    <w:t xml:space="preserve">    acc_issues.csv - Row 152</w:t>
                  </w:r>
                </w:p>
                <w:p>
                  <w:pPr>
                    <w:shd w:fill="F1F5F9" w:val="clear"/>
                    <w:spacing w:after="0" w:before="0" w:line="240"/>
                  </w:pPr>
                  <w:r>
                    <w:rPr>
                      <w:rFonts w:ascii="Consolas" w:cs="Consolas" w:eastAsia="Consolas" w:hAnsi="Consolas"/>
                      <w:color w:val="0F172A"/>
                      <w:sz w:val="18"/>
                      <w:szCs w:val="18"/>
                    </w:rPr>
                    <w:t xml:space="preserve">    acc_rfis.csv  - Row 156</w:t>
                  </w:r>
                </w:p>
                <w:p>
                  <w:pPr>
                    <w:shd w:fill="F1F5F9" w:val="clear"/>
                    <w:spacing w:after="0" w:before="0" w:line="240"/>
                  </w:pPr>
                  <w:r>
                    <w:rPr>
                      <w:rFonts w:ascii="Consolas" w:cs="Consolas" w:eastAsia="Consolas" w:hAnsi="Consolas"/>
                      <w:color w:val="0F172A"/>
                      <w:sz w:val="18"/>
                      <w:szCs w:val="18"/>
                    </w:rPr>
                    <w:t xml:space="preserve">    acc_rfis.csv  - Row 158</w:t>
                  </w:r>
                </w:p>
                <w:p>
                  <w:pPr>
                    <w:shd w:fill="F1F5F9" w:val="clear"/>
                    <w:spacing w:after="0" w:before="0" w:line="240"/>
                  </w:pPr>
                  <w:r>
                    <w:rPr>
                      <w:rFonts w:ascii="Consolas" w:cs="Consolas" w:eastAsia="Consolas" w:hAnsi="Consolas"/>
                      <w:color w:val="0F172A"/>
                      <w:sz w:val="18"/>
                      <w:szCs w:val="18"/>
                    </w:rPr>
                    <w:t xml:space="preserve">    acc_rfis.csv  - Row 159</w:t>
                  </w:r>
                </w:p>
                <w:p>
                  <w:pPr>
                    <w:shd w:fill="F1F5F9" w:val="clear"/>
                    <w:spacing w:after="0" w:before="0" w:line="240"/>
                  </w:pPr>
                  <w:r>
                    <w:rPr>
                      <w:rFonts w:ascii="Consolas" w:cs="Consolas" w:eastAsia="Consolas" w:hAnsi="Consolas"/>
                      <w:color w:val="0F172A"/>
                      <w:sz w:val="18"/>
                      <w:szCs w:val="18"/>
                    </w:rPr>
                    <w:t xml:space="preserve">    …</w:t>
                  </w:r>
                </w:p>
              </w:tc>
            </w:tr>
          </w:tbl>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4.  AIO Neighborhood — What Reached the LLM</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Phase 3 expanded the 14 matched HSLs into their pointer set, unioned with direct needle-scan AIOs, ranked by HSL boost, diversified by CSV, and trimmed by Jaccard dedup at 0.85.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5000"/>
      </w:tblGrid>
      <w:tr>
        <w:trPr>
          <w:tblHeader/>
        </w:trPr>
        <w:tc>
          <w:tcPr>
            <w:tcW w:type="dxa" w:w="2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Source CSV</w:t>
            </w:r>
          </w:p>
        </w:tc>
        <w:tc>
          <w:tcPr>
            <w:tcW w:type="dxa" w:w="1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AIOs in bundle</w:t>
            </w:r>
          </w:p>
        </w:tc>
        <w:tc>
          <w:tcPr>
            <w:tcW w:type="dxa" w:w="5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Role</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AIA305 Sample.csv</w:t>
            </w:r>
          </w:p>
        </w:tc>
        <w:tc>
          <w:tcPr>
            <w:tcW w:type="dxa" w:w="1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 30</w:t>
            </w:r>
          </w:p>
        </w:tc>
        <w:tc>
          <w:tcPr>
            <w:tcW w:type="dxa" w:w="5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Project portfolio rows where James Okafor appears as Estimator / PM / Superintendent</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acc_issues.csv</w:t>
            </w:r>
          </w:p>
        </w:tc>
        <w:tc>
          <w:tcPr>
            <w:tcW w:type="dxa" w:w="1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5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Field-issue records assigned to James Okafor</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acc_rfis.csv</w:t>
            </w:r>
          </w:p>
        </w:tc>
        <w:tc>
          <w:tcPr>
            <w:tcW w:type="dxa" w:w="1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5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RFIs routed to James Okafor</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acc_submittals.csv</w:t>
            </w:r>
          </w:p>
        </w:tc>
        <w:tc>
          <w:tcPr>
            <w:tcW w:type="dxa" w:w="1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5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Submittals reviewed by James Okafor</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acc_projects.csv</w:t>
            </w:r>
          </w:p>
        </w:tc>
        <w:tc>
          <w:tcPr>
            <w:tcW w:type="dxa" w:w="1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5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Project metadata for joined entities</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acc_employees.csv</w:t>
            </w:r>
          </w:p>
        </w:tc>
        <w:tc>
          <w:tcPr>
            <w:tcW w:type="dxa" w:w="1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5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James Okafor's employee record</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w:t>
            </w:r>
          </w:p>
        </w:tc>
        <w:tc>
          <w:tcPr>
            <w:tcW w:type="dxa" w:w="1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 41</w:t>
            </w:r>
          </w:p>
        </w:tc>
        <w:tc>
          <w:tcPr>
            <w:tcW w:type="dxa" w:w="5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(post diversify-by-CSV)</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Out of 589 corpus AIOs, only ≈ 41 reach the LLM in this run. The other 548 rows are pruned at Phase 2/3 because no cue resolved to them. This is the substrate property: the LLM's input is bounded by query semantics, not by corpus size.</w:t>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5.  Substrate Envelope — The Final Prompt Shape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w:t>
            </w:r>
          </w:p>
          <w:p>
            <w:pPr>
              <w:shd w:fill="F1F5F9" w:val="clear"/>
              <w:spacing w:after="0" w:before="0" w:line="240"/>
            </w:pPr>
            <w:r>
              <w:rPr>
                <w:rFonts w:ascii="Consolas" w:cs="Consolas" w:eastAsia="Consolas" w:hAnsi="Consolas"/>
                <w:color w:val="0F172A"/>
                <w:sz w:val="18"/>
                <w:szCs w:val="18"/>
              </w:rPr>
              <w:t xml:space="preserve">  "query":   "What roles does James Okafor hold. List projects and financials for each.",</w:t>
            </w:r>
          </w:p>
          <w:p>
            <w:pPr>
              <w:shd w:fill="F1F5F9" w:val="clear"/>
              <w:spacing w:after="0" w:before="0" w:line="240"/>
            </w:pPr>
            <w:r>
              <w:rPr>
                <w:rFonts w:ascii="Consolas" w:cs="Consolas" w:eastAsia="Consolas" w:hAnsi="Consolas"/>
                <w:color w:val="0F172A"/>
                <w:sz w:val="18"/>
                <w:szCs w:val="18"/>
              </w:rPr>
              <w:t xml:space="preserve">  "history": [],</w:t>
            </w:r>
          </w:p>
          <w:p>
            <w:pPr>
              <w:shd w:fill="F1F5F9" w:val="clear"/>
              <w:spacing w:after="0" w:before="0" w:line="240"/>
            </w:pPr>
            <w:r>
              <w:rPr>
                <w:rFonts w:ascii="Consolas" w:cs="Consolas" w:eastAsia="Consolas" w:hAnsi="Consolas"/>
                <w:color w:val="0F172A"/>
                <w:sz w:val="18"/>
                <w:szCs w:val="18"/>
              </w:rPr>
              <w:t xml:space="preserve">  "priors": [</w:t>
            </w:r>
          </w:p>
          <w:p>
            <w:pPr>
              <w:shd w:fill="F1F5F9" w:val="clear"/>
              <w:spacing w:after="0" w:before="0" w:line="240"/>
            </w:pPr>
            <w:r>
              <w:rPr>
                <w:rFonts w:ascii="Consolas" w:cs="Consolas" w:eastAsia="Consolas" w:hAnsi="Consolas"/>
                <w:color w:val="0F172A"/>
                <w:sz w:val="18"/>
                <w:szCs w:val="18"/>
              </w:rPr>
              <w:t xml:space="preserve">    { mro_id: "d1ab0bd3-…", query: "…Sarah Mitchell…", reply: "## Sarah Mitchell's Roles…" },</w:t>
            </w:r>
          </w:p>
          <w:p>
            <w:pPr>
              <w:shd w:fill="F1F5F9" w:val="clear"/>
              <w:spacing w:after="0" w:before="0" w:line="240"/>
            </w:pPr>
            <w:r>
              <w:rPr>
                <w:rFonts w:ascii="Consolas" w:cs="Consolas" w:eastAsia="Consolas" w:hAnsi="Consolas"/>
                <w:color w:val="0F172A"/>
                <w:sz w:val="18"/>
                <w:szCs w:val="18"/>
              </w:rPr>
              <w:t xml:space="preserve">    { mro_id: "25692369-…", query: "…Sarah Mitchell…", reply: "## Sarah Mitchell's Roles…" },</w:t>
            </w:r>
          </w:p>
          <w:p>
            <w:pPr>
              <w:shd w:fill="F1F5F9" w:val="clear"/>
              <w:spacing w:after="0" w:before="0" w:line="240"/>
            </w:pPr>
            <w:r>
              <w:rPr>
                <w:rFonts w:ascii="Consolas" w:cs="Consolas" w:eastAsia="Consolas" w:hAnsi="Consolas"/>
                <w:color w:val="0F172A"/>
                <w:sz w:val="18"/>
                <w:szCs w:val="18"/>
              </w:rPr>
              <w:t xml:space="preserve">    { mro_id: "a14a91d8-…", query: "…Sarah Mitchell…", reply: "## Sarah Mitchell's Roles…" }</w:t>
            </w:r>
          </w:p>
          <w:p>
            <w:pPr>
              <w:shd w:fill="F1F5F9" w:val="clear"/>
              <w:spacing w:after="0" w:before="0" w:line="240"/>
            </w:pPr>
            <w:r>
              <w:rPr>
                <w:rFonts w:ascii="Consolas" w:cs="Consolas" w:eastAsia="Consolas" w:hAnsi="Consolas"/>
                <w:color w:val="0F172A"/>
                <w:sz w:val="18"/>
                <w:szCs w:val="18"/>
              </w:rPr>
              <w:t xml:space="preserve">  ],</w:t>
            </w:r>
          </w:p>
          <w:p>
            <w:pPr>
              <w:shd w:fill="F1F5F9" w:val="clear"/>
              <w:spacing w:after="0" w:before="0" w:line="240"/>
            </w:pPr>
            <w:r>
              <w:rPr>
                <w:rFonts w:ascii="Consolas" w:cs="Consolas" w:eastAsia="Consolas" w:hAnsi="Consolas"/>
                <w:color w:val="0F172A"/>
                <w:sz w:val="18"/>
                <w:szCs w:val="18"/>
              </w:rPr>
              <w:t xml:space="preserve">  "cues":  [149 element cues — 14 HSL-resolved, 135 unresolved],</w:t>
            </w:r>
          </w:p>
          <w:p>
            <w:pPr>
              <w:shd w:fill="F1F5F9" w:val="clear"/>
              <w:spacing w:after="0" w:before="0" w:line="240"/>
            </w:pPr>
            <w:r>
              <w:rPr>
                <w:rFonts w:ascii="Consolas" w:cs="Consolas" w:eastAsia="Consolas" w:hAnsi="Consolas"/>
                <w:color w:val="0F172A"/>
                <w:sz w:val="18"/>
                <w:szCs w:val="18"/>
              </w:rPr>
              <w:t xml:space="preserve">  "scope": [</w:t>
            </w:r>
          </w:p>
          <w:p>
            <w:pPr>
              <w:shd w:fill="F1F5F9" w:val="clear"/>
              <w:spacing w:after="0" w:before="0" w:line="240"/>
            </w:pPr>
            <w:r>
              <w:rPr>
                <w:rFonts w:ascii="Consolas" w:cs="Consolas" w:eastAsia="Consolas" w:hAnsi="Consolas"/>
                <w:color w:val="0F172A"/>
                <w:sz w:val="18"/>
                <w:szCs w:val="18"/>
              </w:rPr>
              <w:t xml:space="preserve">    { aio_name: "AIA305 Sample.csv - Row 11", elements: [...] },</w:t>
            </w:r>
          </w:p>
          <w:p>
            <w:pPr>
              <w:shd w:fill="F1F5F9" w:val="clear"/>
              <w:spacing w:after="0" w:before="0" w:line="240"/>
            </w:pPr>
            <w:r>
              <w:rPr>
                <w:rFonts w:ascii="Consolas" w:cs="Consolas" w:eastAsia="Consolas" w:hAnsi="Consolas"/>
                <w:color w:val="0F172A"/>
                <w:sz w:val="18"/>
                <w:szCs w:val="18"/>
              </w:rPr>
              <w:t xml:space="preserve">    { aio_name: "AIA305 Sample.csv - Row 22", elements: [...] },</w:t>
            </w:r>
          </w:p>
          <w:p>
            <w:pPr>
              <w:shd w:fill="F1F5F9" w:val="clear"/>
              <w:spacing w:after="0" w:before="0" w:line="240"/>
            </w:pPr>
            <w:r>
              <w:rPr>
                <w:rFonts w:ascii="Consolas" w:cs="Consolas" w:eastAsia="Consolas" w:hAnsi="Consolas"/>
                <w:color w:val="0F172A"/>
                <w:sz w:val="18"/>
                <w:szCs w:val="18"/>
              </w:rPr>
              <w:t xml:space="preserve">    … 41 AIO rows total …</w:t>
            </w:r>
          </w:p>
          <w:p>
            <w:pPr>
              <w:shd w:fill="F1F5F9" w:val="clear"/>
              <w:spacing w:after="0" w:before="0" w:line="240"/>
            </w:pPr>
            <w:r>
              <w:rPr>
                <w:rFonts w:ascii="Consolas" w:cs="Consolas" w:eastAsia="Consolas" w:hAnsi="Consolas"/>
                <w:color w:val="0F172A"/>
                <w:sz w:val="18"/>
                <w:szCs w:val="18"/>
              </w:rPr>
              <w:t xml:space="preserve">  ]</w:t>
            </w:r>
          </w:p>
          <w:p>
            <w:pPr>
              <w:shd w:fill="F1F5F9" w:val="clear"/>
              <w:spacing w:after="0" w:before="0" w:line="240"/>
            </w:pPr>
            <w:r>
              <w:rPr>
                <w:rFonts w:ascii="Consolas" w:cs="Consolas" w:eastAsia="Consolas" w:hAnsi="Consolas"/>
                <w:color w:val="0F172A"/>
                <w:sz w:val="18"/>
                <w:szCs w:val="18"/>
              </w:rPr>
              <w:t xml:space="preserve">}</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6.  LLM Output and Persistence</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model produced a structured reply identifying James Okafor's four roles (Estimator, Project Manager, Superintendent, Reviewed By) with per-role project tables and financial subtotals. The format mirrored the Sarah Mitchell prior in §2.2 — confirming the prior-as-framing mechanism: the model adopted the prior's section structure and applied it to the new entity.</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reply was then persisted as a new MRO and back-pointers were written to all 14 matched HSLs via linkMroToHsl. On a subsequent identical query, that MRO would short-circuit at score ≥ 0.85 and the entire pipeline above would be replaced by a single SELECT against mro_objects.</w:t>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7.  Takeaway</w:t>
      </w:r>
    </w:p>
    <w:p>
      <w:pPr>
        <w:spacing w:after="40" w:before="40" w:line="280"/>
        <w:ind w:left="720" w:hanging="360"/>
      </w:pPr>
      <w:r>
        <w:rPr>
          <w:rFonts w:ascii="Calibri" w:cs="Calibri" w:eastAsia="Calibri" w:hAnsi="Calibri"/>
          <w:color w:val="0F172A"/>
          <w:sz w:val="21"/>
          <w:szCs w:val="21"/>
        </w:rPr>
        <w:t xml:space="preserve">•   Determinism. 149 cues from 589 AIOs is reproducible — same query, same data, same cue set, every time.</w:t>
      </w:r>
    </w:p>
    <w:p>
      <w:pPr>
        <w:spacing w:after="40" w:before="40" w:line="280"/>
        <w:ind w:left="720" w:hanging="360"/>
      </w:pPr>
      <w:r>
        <w:rPr>
          <w:rFonts w:ascii="Calibri" w:cs="Calibri" w:eastAsia="Calibri" w:hAnsi="Calibri"/>
          <w:color w:val="0F172A"/>
          <w:sz w:val="21"/>
          <w:szCs w:val="21"/>
        </w:rPr>
        <w:t xml:space="preserve">•   Bounded LLM input. ≈ 41 AIOs reach the LLM regardless of corpus size.</w:t>
      </w:r>
    </w:p>
    <w:p>
      <w:pPr>
        <w:spacing w:after="40" w:before="40" w:line="280"/>
        <w:ind w:left="720" w:hanging="360"/>
      </w:pPr>
      <w:r>
        <w:rPr>
          <w:rFonts w:ascii="Calibri" w:cs="Calibri" w:eastAsia="Calibri" w:hAnsi="Calibri"/>
          <w:color w:val="0F172A"/>
          <w:sz w:val="21"/>
          <w:szCs w:val="21"/>
        </w:rPr>
        <w:t xml:space="preserve">•   Memory reuse. Three priors from a structurally-similar question were injected as framing, helping the LLM produce a stable output format. The new MRO becomes a prior for the next query.</w:t>
      </w:r>
    </w:p>
    <w:p>
      <w:pPr>
        <w:pBdr>
          <w:top w:val="single" w:color="CBD5E1" w:sz="6" w:space="4"/>
        </w:pBdr>
        <w:spacing w:after="80" w:before="320"/>
      </w:pPr>
      <w:r>
        <w:t xml:space="preserve"/>
      </w:r>
    </w:p>
    <w:p>
      <w:pPr>
        <w:spacing w:after="40" w:before="60" w:line="280"/>
        <w:jc w:val="center"/>
      </w:pPr>
      <w:r>
        <w:rPr>
          <w:rFonts w:ascii="Calibri" w:cs="Calibri" w:eastAsia="Calibri" w:hAnsi="Calibri"/>
          <w:b w:val="false"/>
          <w:bCs w:val="false"/>
          <w:i/>
          <w:iCs/>
          <w:caps w:val="false"/>
          <w:color w:val="94A3B8"/>
          <w:sz w:val="16"/>
          <w:szCs w:val="16"/>
        </w:rPr>
        <w:t xml:space="preserve">Prepared by InformationPhysics.ai, LLC.  Confidential — subject to the Transaction-Grade One-Way NDA on file.</w:t>
      </w:r>
    </w:p>
    <w:p>
      <w:pPr>
        <w:spacing w:after="0" w:before="60" w:line="280"/>
        <w:jc w:val="center"/>
      </w:pPr>
      <w:r>
        <w:rPr>
          <w:rFonts w:ascii="Calibri" w:cs="Calibri" w:eastAsia="Calibri" w:hAnsi="Calibri"/>
          <w:b w:val="false"/>
          <w:bCs w:val="false"/>
          <w:i/>
          <w:iCs/>
          <w:caps w:val="false"/>
          <w:color w:val="94A3B8"/>
          <w:sz w:val="16"/>
          <w:szCs w:val="16"/>
        </w:rPr>
        <w:t xml:space="preserve">© 2026 InformationPhysics.ai, LLC. All rights reserved.</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1"/>
      </w:pBdr>
      <w:tabs>
        <w:tab w:val="right" w:pos="9600"/>
      </w:tabs>
      <w:spacing w:after="0" w:before="0"/>
    </w:pPr>
    <w:r>
      <w:rPr>
        <w:rFonts w:ascii="Calibri" w:cs="Calibri" w:eastAsia="Calibri" w:hAnsi="Calibri"/>
        <w:color w:val="94A3B8"/>
        <w:sz w:val="16"/>
        <w:szCs w:val="16"/>
      </w:rPr>
      <w:t xml:space="preserve">InformationPhysics.ai, LLC  ·  V4.5</w:t>
    </w:r>
    <w:r>
      <w:rPr>
        <w:sz w:val="16"/>
        <w:szCs w:val="16"/>
      </w:rPr>
      <w:t xml:space="preserve">	</w:t>
    </w:r>
    <w:r>
      <w:rPr>
        <w:rFonts w:ascii="Calibri" w:cs="Calibri" w:eastAsia="Calibri" w:hAnsi="Calibri"/>
        <w:color w:val="94A3B8"/>
        <w:sz w:val="16"/>
        <w:szCs w:val="16"/>
      </w:rPr>
      <w:t xml:space="preserve">Page </w:t>
    </w:r>
    <w:r>
      <w:rPr>
        <w:rFonts w:ascii="Calibri" w:cs="Calibri" w:eastAsia="Calibri" w:hAnsi="Calibri"/>
        <w:color w:val="94A3B8"/>
        <w:sz w:val="16"/>
        <w:szCs w:val="16"/>
      </w:rPr>
      <w:fldChar w:fldCharType="begin"/>
      <w:instrText xml:space="preserve">PAGE</w:instrText>
      <w:fldChar w:fldCharType="separate"/>
      <w:fldChar w:fldCharType="end"/>
    </w:r>
    <w:r>
      <w:rPr>
        <w:rFonts w:ascii="Calibri" w:cs="Calibri" w:eastAsia="Calibri" w:hAnsi="Calibri"/>
        <w:color w:val="94A3B8"/>
        <w:sz w:val="16"/>
        <w:szCs w:val="16"/>
      </w:rPr>
      <w:t xml:space="preserve"> of </w:t>
    </w:r>
    <w:r>
      <w:rPr>
        <w:rFonts w:ascii="Calibri" w:cs="Calibri" w:eastAsia="Calibri" w:hAnsi="Calibri"/>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1"/>
      </w:pBdr>
      <w:tabs>
        <w:tab w:val="right" w:pos="9600"/>
      </w:tabs>
      <w:spacing w:after="0" w:before="0"/>
    </w:pPr>
    <w:r>
      <w:rPr>
        <w:rFonts w:ascii="Calibri" w:cs="Calibri" w:eastAsia="Calibri" w:hAnsi="Calibri"/>
        <w:b/>
        <w:bCs/>
        <w:color w:val="1F3864"/>
        <w:sz w:val="17"/>
        <w:szCs w:val="17"/>
      </w:rPr>
      <w:t xml:space="preserve">InformationPhysics.ai</w:t>
    </w:r>
    <w:r>
      <w:rPr>
        <w:color w:val="94A3B8"/>
        <w:sz w:val="17"/>
        <w:szCs w:val="17"/>
      </w:rPr>
      <w:t xml:space="preserve">  ·  </w:t>
    </w:r>
    <w:r>
      <w:rPr>
        <w:rFonts w:ascii="Calibri" w:cs="Calibri" w:eastAsia="Calibri" w:hAnsi="Calibri"/>
        <w:i/>
        <w:iCs/>
        <w:color w:val="475569"/>
        <w:sz w:val="17"/>
        <w:szCs w:val="17"/>
      </w:rPr>
      <w:t xml:space="preserve">Recall Trace — James Okafor</w:t>
    </w:r>
    <w:r>
      <w:rPr>
        <w:sz w:val="17"/>
        <w:szCs w:val="17"/>
      </w:rPr>
      <w:t xml:space="preserve">	</w:t>
    </w:r>
    <w:r>
      <w:rPr>
        <w:rFonts w:ascii="Calibri" w:cs="Calibri" w:eastAsia="Calibri" w:hAnsi="Calibri"/>
        <w:b/>
        <w:bCs/>
        <w:color w:val="BE123C"/>
        <w:sz w:val="17"/>
        <w:szCs w:val="17"/>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40" w:line="30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Trace — James Okafor</dc:title>
  <dc:creator>Information Physics — ChatAIO Engineering</dc:creator>
  <dc:description>Recall Trace — James Okafor — V4.5</dc:description>
  <cp:lastModifiedBy>Un-named</cp:lastModifiedBy>
  <cp:revision>1</cp:revision>
  <dcterms:created xsi:type="dcterms:W3CDTF">2026-05-01T14:29:21.856Z</dcterms:created>
  <dcterms:modified xsi:type="dcterms:W3CDTF">2026-05-01T14:29:21.856Z</dcterms:modified>
</cp:coreProperties>
</file>

<file path=docProps/custom.xml><?xml version="1.0" encoding="utf-8"?>
<Properties xmlns="http://schemas.openxmlformats.org/officeDocument/2006/custom-properties" xmlns:vt="http://schemas.openxmlformats.org/officeDocument/2006/docPropsVTypes"/>
</file>