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E11D48" w:sz="18"/><w:left w:val="single" w:color="E11D48" w:sz="18"/><w:bottom w:val="single" w:color="E11D48" w:sz="18"/><w:right w:val="single" w:color="E11D48" w:sz="18"/></w:tcBorders><w:shd w:fill="FFF1F2" w:val="clear"/><w:tcMar><w:top w:type="dxa" w:w="160"/><w:left w:type="dxa" w:w="240"/><w:bottom w:type="dxa" w:w="160"/><w:right w:type="dxa" w:w="240"/></w:tcMar></w:tcPr><w:p><w:pPr><w:spacing w:after="80" w:before="0"/></w:pPr><w:r><w:rPr><w:rFonts w:ascii="Calibri" w:cs="Calibri" w:eastAsia="Calibri" w:hAnsi="Calibri"/><w:b/><w:bCs/><w:color w:val="BE123C"/><w:sz w:val="22"/><w:szCs w:val="22"/></w:rPr><w:t xml:space="preserve">⚠  CONFIDENTIAL — TRADE SECRET</w:t></w:r></w:p><w:p><w:pPr><w:spacing w:after="0" w:before="0" w:line="280"/></w:pPr><w:r><w:rPr><w:rFonts w:ascii="Calibri" w:cs="Calibri" w:eastAsia="Calibri" w:hAnsi="Calibri"/><w:color w:val="BE123C"/><w:sz w:val="20"/><w:szCs w:val="20"/></w:rPr>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spacing w:after="160" w:before="60" w:line="280"/><w:jc w:val="center"/></w:pPr><w:r><w:rPr><w:rFonts w:ascii="Calibri" w:cs="Calibri" w:eastAsia="Calibri" w:hAnsi="Calibri"/><w:b w:val="false"/><w:bCs w:val="false"/><w:i w:val="false"/><w:iCs w:val="false"/><w:caps/><w:color w:val="94A3B8"/><w:sz w:val="17"/><w:szCs w:val="17"/></w:rPr><w:t xml:space="preserve">Engineering Reference — Internal / NDA-Restricted</w:t></w:r></w:p><w:p><w:pPr><w:spacing w:after="80" w:before="60" w:line="280"/><w:jc w:val="center"/></w:pPr><w:r><w:rPr><w:rFonts w:ascii="Calibri" w:cs="Calibri" w:eastAsia="Calibri" w:hAnsi="Calibri"/><w:b/><w:bCs/><w:i w:val="false"/><w:iCs w:val="false"/><w:caps w:val="false"/><w:color w:val="0F172A"/><w:sz w:val="36"/><w:szCs w:val="36"/></w:rPr><w:t xml:space="preserve">V4.5 Release Notes</w:t></w:r></w:p><w:p><w:pPr><w:spacing w:after="200" w:before="60" w:line="280"/><w:jc w:val="center"/></w:pPr><w:r><w:rPr><w:rFonts w:ascii="Calibri" w:cs="Calibri" w:eastAsia="Calibri" w:hAnsi="Calibri"/><w:b w:val="false"/><w:bCs w:val="false"/><w:i/><w:iCs/><w:caps w:val="false"/><w:color w:val="475569"/><w:sz w:val="22"/><w:szCs w:val="22"/></w:rPr><w:t xml:space="preserve">Operator-facing changelog: retrieval correctness, operability, distribution</w:t></w:r></w:p><w:p><w:pPr><w:spacing w:after="40" w:before="60" w:line="280"/><w:jc w:val="center"/></w:pPr><w:r><w:rPr><w:rFonts w:ascii="Calibri" w:cs="Calibri" w:eastAsia="Calibri" w:hAnsi="Calibri"/><w:b/><w:bCs/><w:i w:val="false"/><w:iCs w:val="false"/><w:caps w:val="false"/><w:color w:val="0F172A"/><w:sz w:val="22"/><w:szCs w:val="22"/></w:rPr><w:t xml:space="preserve">Michael Simon Bodner, Ph.D.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0F3460"/><w:sz w:val="18"/><w:szCs w:val="18"/></w:rPr><w:t xml:space="preserve">Founder &amp; Chief Scientist, InformationPhysics.ai</w:t></w:r></w:p><w:p><w:pPr><w:spacing w:after="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475569"/><w:sz w:val="18"/><w:szCs w:val="18"/></w:rPr><w:t xml:space="preserve">April 2026 — Software Version V4.5.0</w:t></w:r></w:p><w:p><w:pPr><w:spacing w:after="40" w:before="60" w:line="280"/><w:jc w:val="center"/></w:pPr><w:r><w:rPr><w:rFonts w:ascii="Consolas" w:cs="Consolas" w:eastAsia="Consolas" w:hAnsi="Consolas"/><w:b w:val="false"/><w:bCs w:val="false"/><w:i w:val="false"/><w:iCs w:val="false"/><w:caps w:val="false"/><w:color w:val="475569"/><w:sz w:val="16"/><w:szCs w:val="16"/></w:rPr><w:t xml:space="preserve">Railway production + Electron DMG variants (Full / Cloud / Local)</w:t></w:r></w:p><w:p><w:pPr><w:spacing w:after="240" w:before="60" w:line="280"/><w:jc w:val="center"/></w:pPr><w:r><w:rPr><w:rFonts w:ascii="Calibri" w:cs="Calibri" w:eastAsia="Calibri" w:hAnsi="Calibri"/><w:b w:val="false"/><w:bCs w:val="false"/><w:i w:val="false"/><w:iCs w:val="false"/><w:caps w:val="false"/><w:color w:val="94A3B8"/><w:sz w:val="16"/><w:szCs w:val="16"/></w:rPr><w:t xml:space="preserve">© 2026 InformationPhysics.ai, LLC. All rights reserved.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single" w:color="CBD5E1" w:sz="4"/><w:left w:val="single" w:color="CBD5E1" w:sz="4"/><w:bottom w:val="single" w:color="CBD5E1" w:sz="4"/><w:right w:val="single" w:color="CBD5E1" w:sz="4"/></w:tcBorders><w:tcMar><w:top w:type="dxa" w:w="200"/><w:left w:type="dxa" w:w="240"/><w:bottom w:type="dxa" w:w="200"/><w:right w:type="dxa" w:w="240"/></w:tcMar></w:tcPr><w:p><w:pPr><w:spacing w:after="120" w:before="0"/></w:pPr><w:r><w:rPr><w:rFonts w:ascii="Calibri" w:cs="Calibri" w:eastAsia="Calibri" w:hAnsi="Calibri"/><w:b/><w:bCs/><w:color w:val="1F3864"/><w:sz w:val="24"/><w:szCs w:val="24"/></w:rPr><w:t xml:space="preserve">Abstract</w:t></w:r></w:p><w:p><w:pPr><w:spacing w:after="0" w:before="0" w:line="300"/></w:pPr><w:r><w:rPr><w:rFonts w:ascii="Calibri" w:cs="Calibri" w:eastAsia="Calibri" w:hAnsi="Calibri"/><w:color w:val="475569"/><w:sz w:val="21"/><w:szCs w:val="21"/></w:rPr><w:t xml:space="preserve">Retrieval correctness (migrations 029/031, cap-by-CSV, HSL aliasing, Jaccard dedup), operability (Models tab, Daily Token Budget, Benchmark dropdown, embedded report viewer, Linkage view, Fix Broken MROs), UI polish, distribution (three DMG variants + signing infrastructure), shipped migrations, new endpoints, and the eight silent regressions caught and fixed.</w:t></w:r></w:p></w:tc></w:tr></w:tbl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1.  Retrieval Correctness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1.1  Migration 029 — HSL inverted index population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ier_refresh_hsl() was only parsing the element columns (which carry AIO row refs like &quot;acc_rfis.csv - Row 162&quot;, not [Key.Value] tokens). The actual bracket token lives in hsl_data.hsl_name (e.g. [Project ID.PRJ-003].hsl). Migration 029 extends the function to parse both and backfills every existing HSL. Before: cue-to-HSL probes returned 0. After: returned the right HSL set.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1.2  Cap-by-CSV diversity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Both pipelines (frontend Recall in lib/aio-math.ts, backend Live in api/search_helpers.py) used a flat top-N cap on the matched AIO list. On corpora dominated by one CSV (the demo is 80% AIA305), the flat cap filled with AIA305 and starved the operational CSVs. Both paths now bucket by OriginalCSV first and take a fair per-CSV share before back-filling.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1.3  HSL field-name aliasing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lib/hsl-aliases.ts folds equivalent field names (Project_ID, Project ID, Projects Assigned, Applicable Projects, Active Projects) to a single canonical Project for cue matching. Frontend-only for V1 so the alias table can iterate without DB migrations.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1.4  Migration 031 — IER trigram index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Trigram-tolerant fallback in find-by-needles-full. Catches paraphrases the exact path doesn&apos;t handle (&quot;PRJ 003&quot; vs &quot;PRJ-003&quot;).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1.5  Element-set Jaccard dedup at substrate-build time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Collapses near-duplicates from cross-CSV reposts of the same entity at threshold 0.85. Provenance-key (OriginalCSV, RowNumber) excluded from comparison.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1.6  Recall maxAios cap raise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Default substrate cap raised from 40 → 200 across the chat dialog, runChatPipeline default, assembleBundle default, and benchmarks. Closes the cap-mismatch gap with Live Search&apos;s adaptive 100–300 cap on aggregation queries.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2.  Operability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2.1  System Management → Models tab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Runtime LLM model selection. Two slots: a default model (used by all four modes plus summarize / entity-resolution) and an optional parse-phase override for Live Search. Saved to system_settings, no restart needed. Resolution order: system_settings → env var → fallback.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2.2  Daily Token Budget pane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Live progress bar showing used_today / limit with green/amber/red thresholds, plus inputs for per-tenant override and global default. Eliminates the &quot;drop into psql to fix the budget&quot; friction.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2.3  R&amp;D — Benchmark dropdown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Full-screen benchmark runner with side-by-side metrics, verbatim replies for all four modes, Print / Save-as-PDF, and a 10-prompt catalog.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2.4  References — embedded inline viewer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Technical reports and traces open as full-screen pages instead of triggering downloads. mammoth converts the .docx to HTML in the browser; the .docx files still live in public/docs/.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2.5  MRO Linkage view + Fix Broken MROs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Renders every MRO and its current HSL back-pointer set in a sortable table with stale/orphan badges. Fix Broken MROs button runs a dual-pass repair (add missing back-pointers + sweep stale tokens).</w:t></w:r></w:p></w:tc></w:tr></w:tbl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9600"/></w:tblGrid><w:tr><w:tc><w:tcPr><w:tcW w:type="dxa" w:w="9600"/><w:tcBorders><w:top w:val="nil" w:color="FFFFFF" w:sz="1"/><w:left w:val="single" w:color="FB7185" w:sz="18"/><w:bottom w:val="nil" w:color="FFFFFF" w:sz="1"/><w:right w:val="nil" w:color="FFFFFF" w:sz="1"/></w:tcBorders><w:tcMar><w:top w:type="dxa" w:w="80"/><w:left w:type="dxa" w:w="240"/><w:bottom w:type="dxa" w:w="120"/><w:right w:type="dxa" w:w="100"/></w:tcMar></w:tcPr><w:p><w:pPr><w:spacing w:after="80" w:before="0" w:line="280"/></w:pPr><w:r><w:rPr><w:rFonts w:ascii="Calibri" w:cs="Calibri" w:eastAsia="Calibri" w:hAnsi="Calibri"/><w:b/><w:bCs/><w:color w:val="0F172A"/><w:sz w:val="22"/><w:szCs w:val="22"/></w:rPr><w:t xml:space="preserve">2.6  Cache bypass on interactive Live Search</w:t></w:r></w:p><w:p><w:pPr><w:spacing w:after="60" w:before="60" w:line="280"/><w:jc w:val="left"/></w:pPr><w:r><w:rPr><w:rFonts w:ascii="Calibri" w:cs="Calibri" w:eastAsia="Calibri" w:hAnsi="Calibri"/><w:b w:val="false"/><w:bCs w:val="false"/><w:i w:val="false"/><w:iCs w:val="false"/><w:caps w:val="false"/><w:color w:val="0F172A"/><w:sz w:val="21"/><w:szCs w:val="21"/></w:rPr><w:t xml:space="preserve">aioSearchChat / aioSearchChatStream accept opt-in bypassCache: true. Chat dialog and benchmark runner pass true so users iterating through the UI never see a stale cached reply mask a deployed retrieval fix.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3.  UI Polish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Edge-to-edge &quot;Information Physics Standard Model&quot; banner on the home page (navy gradient, responsive type).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ChatAIO header recentered with serif title and centered five-button action group.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Rich markdown rendering in assistant replies (headings, lists, blockquotes, code blocks, tables, links) with PDF export parity.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PDF import progress UI with elapsed-time counter, file-size + estimated-chunk preview, and explicit &quot;request is still alive&quot; copy on multi-chunk runs.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4.  Distribution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Electron code signing &amp; notarization wired (Apple Developer ID + hardened runtime + entitlements).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Three DMG variants: Full (V4.5), Cloud-stripped (V4.5C), Local-only (V4.5L).</w:t></w:r></w:p><w:p><w:pPr><w:spacing w:after="40" w:before="40" w:line="280"/><w:ind w:left="720" w:hanging="360"/></w:pPr><w:r><w:rPr><w:rFonts w:ascii="Calibri" w:cs="Calibri" w:eastAsia="Calibri" w:hAnsi="Calibri"/><w:color w:val="0F172A"/><w:sz w:val="21"/><w:szCs w:val="21"/></w:rPr><w:t xml:space="preserve">•   V4.5L and V4.5C variants use sed-swap of bundled frontend strings and DMG volume label so the variant is identifiable at a glance.</w:t></w:r></w:p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5.  Shipped Migrations</w:t></w:r></w:p><w:tbl><w:tblPr><w:tblW w:type="dxa" w:w="96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400"/><w:gridCol w:w="4000"/><w:gridCol w:w="5200"/></w:tblGrid><w:tr><w:trPr><w:tblHeader/></w:trPr><w:tc><w:tcPr><w:tcW w:type="dxa" w:w="4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onsolas" w:cs="Consolas" w:eastAsia="Consolas" w:hAnsi="Consolas"/><w:b/><w:bCs/><w:color w:val="FFFFFF"/><w:sz w:val="19"/><w:szCs w:val="19"/></w:rPr><w:t xml:space="preserve">#</w:t></w:r></w:p></w:tc><w:tc><w:tcPr><w:tcW w:type="dxa" w:w="40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Filename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shd w:fill="0F3460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/><w:bCs/><w:color w:val="FFFFFF"/><w:sz w:val="19"/><w:szCs w:val="19"/></w:rPr><w:t xml:space="preserve">Purpose</w:t></w:r></w:p></w:tc></w:tr><w:tr><w:tc><w:tcPr><w:tcW w:type="dxa" w:w="4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029</w:t></w:r></w:p></w:tc><w:tc><w:tcPr><w:tcW w:type="dxa" w:w="4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029_fix_hsl_ier_index.sql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Extend ier_refresh_hsl to parse hsl_name + backfill</w:t></w:r></w:p></w:tc></w:tr><w:tr><w:tc><w:tcPr><w:tcW w:type="dxa" w:w="4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030</w:t></w:r></w:p></w:tc><w:tc><w:tcPr><w:tcW w:type="dxa" w:w="40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030_seed_default_admin.sql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shd w:fill="F1F5F9" w:val="clear"/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Seed default admin user with bcrypt cost-12 password</w:t></w:r></w:p></w:tc></w:tr><w:tr><w:tc><w:tcPr><w:tcW w:type="dxa" w:w="4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031</w:t></w:r></w:p></w:tc><w:tc><w:tcPr><w:tcW w:type="dxa" w:w="40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031_information_element_refs_trigram.sql</w:t></w:r></w:p></w:tc><w:tc><w:tcPr><w:tcW w:type="dxa" w:w="5200"/><w:tcBorders><w:top w:val="single" w:color="CBD5E1" w:sz="4"/><w:left w:val="single" w:color="CBD5E1" w:sz="4"/><w:bottom w:val="single" w:color="CBD5E1" w:sz="4"/><w:right w:val="single" w:color="CBD5E1" w:sz="4"/></w:tcBorders><w:tcMar><w:top w:type="dxa" w:w="80"/><w:left w:type="dxa" w:w="120"/><w:bottom w:type="dxa" w:w="80"/><w:right w:type="dxa" w:w="120"/></w:tcMar></w:tcPr><w:p><w:pPr><w:spacing w:after="0" w:before="0" w:line="260"/></w:pPr><w:r><w:rPr><w:rFonts w:ascii="Calibri" w:cs="Calibri" w:eastAsia="Calibri" w:hAnsi="Calibri"/><w:b w:val="false"/><w:bCs w:val="false"/><w:color w:val="0F172A"/><w:sz w:val="19"/><w:szCs w:val="19"/></w:rPr><w:t xml:space="preserve">GIN trigram index on IER for fuzzy fallback</w:t></w:r></w:p></w:tc></w:tr></w:tbl><w:p><w:pPr><w:pStyle w:val="Heading1"/><w:pBdr><w:bottom w:val="single" w:color="1F3864" w:sz="6" w:space="4"/></w:pBdr><w:spacing w:after="160" w:before="360" w:line="320"/></w:pPr><w:r><w:rPr><w:rFonts w:ascii="Calibri" w:cs="Calibri" w:eastAsia="Calibri" w:hAnsi="Calibri"/><w:b/><w:bCs/><w:color w:val="1F3864"/><w:sz w:val="28"/><w:szCs w:val="28"/></w:rPr><w:t xml:space="preserve">6.  Silent Regressions Caught and Fixed</w:t></w:r></w:p><0/><w:p><w:pPr><w:pBdr><w:top w:val="single" w:color="CBD5E1" w:sz="6" w:space="4"/></w:pBdr><w:spacing w:after="80" w:before="320"/></w:pPr><w:r><w:t xml:space="preserve"></w:t></w:r></w:p><w:p><w:pPr><w:spacing w:after="4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Prepared by InformationPhysics.ai, LLC.  Confidential — subject to the Transaction-Grade One-Way NDA on file.</w:t></w:r></w:p><w:p><w:pPr><w:spacing w:after="0" w:before="60" w:line="280"/><w:jc w:val="center"/></w:pPr><w:r><w:rPr><w:rFonts w:ascii="Calibri" w:cs="Calibri" w:eastAsia="Calibri" w:hAnsi="Calibri"/><w:b w:val="false"/><w:bCs w:val="false"/><w:i/><w:iCs/><w:caps w:val="false"/><w:color w:val="94A3B8"/><w:sz w:val="16"/><w:szCs w:val="16"/></w:rPr><w:t xml:space="preserve">© 2026 InformationPhysics.ai, LLC. All rights reserved.</w:t></w:r></w:p><w:sectPr><w:headerReference w:type="default" r:id="rId7"/><w:footerReference w:type="default" r:id="rId8"/><w:pgSz w:w="12240" w:h="15840" w:orient="portrait"/><w:pgMar w:top="1180" w:right="1320" w:bottom="1180" w:left="1320" w:header="720" w:footer="720" w:gutter="0"/><w:pgNumType/><w:titlePg w:val="false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V4.5 Release Notes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V4.5 Release Notes</dc:title>
  <dc:creator>Information Physics — ChatAIO Engineering</dc:creator>
  <dc:description>V4.5 Release Notes — V4.5</dc:description>
  <cp:lastModifiedBy>Un-named</cp:lastModifiedBy>
  <cp:revision>1</cp:revision>
  <dcterms:created xsi:type="dcterms:W3CDTF">2026-05-01T14:29:21.795Z</dcterms:created>
  <dcterms:modified xsi:type="dcterms:W3CDTF">2026-05-01T14:29:21.795Z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