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bottom w:val="single" w:color="C09853" w:sz="24" w:space="1"/>
        </w:pBdr>
        <w:spacing w:after="40" w:before="0"/>
      </w:pPr>
      <w:r>
        <w:t xml:space="preserve"/>
      </w:r>
    </w:p>
    <w:p>
      <w:pPr>
        <w:spacing w:after="40" w:before="60" w:line="280"/>
        <w:jc w:val="center"/>
      </w:pPr>
      <w:r>
        <w:rPr>
          <w:rFonts w:ascii="Calibri" w:cs="Calibri" w:eastAsia="Calibri" w:hAnsi="Calibri"/>
          <w:b/>
          <w:bCs/>
          <w:i w:val="false"/>
          <w:iCs w:val="false"/>
          <w:color w:val="1F3864"/>
          <w:sz w:val="22"/>
          <w:szCs w:val="22"/>
        </w:rPr>
        <w:t xml:space="preserve">INFORMATION PHYSICS</w:t>
      </w:r>
    </w:p>
    <w:p>
      <w:pPr>
        <w:spacing w:after="0" w:before="60" w:line="280"/>
        <w:jc w:val="center"/>
      </w:pPr>
      <w:r>
        <w:rPr>
          <w:rFonts w:ascii="Calibri" w:cs="Calibri" w:eastAsia="Calibri" w:hAnsi="Calibri"/>
          <w:b w:val="false"/>
          <w:bCs w:val="false"/>
          <w:i/>
          <w:iCs/>
          <w:color w:val="2E5090"/>
          <w:sz w:val="18"/>
          <w:szCs w:val="18"/>
        </w:rPr>
        <w:t xml:space="preserve">ChatAIO Engineering Reference</w:t>
      </w:r>
    </w:p>
    <w:p>
      <w:pPr>
        <w:pBdr>
          <w:bottom w:val="single" w:color="C09853" w:sz="8" w:space="1"/>
        </w:pBdr>
        <w:spacing w:after="320" w:before="40"/>
      </w:pPr>
      <w: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280" w:before="60" w:line="280"/>
        <w:jc w:val="center"/>
      </w:pPr>
      <w:r>
        <w:rPr>
          <w:rFonts w:ascii="Calibri" w:cs="Calibri" w:eastAsia="Calibri" w:hAnsi="Calibri"/>
          <w:b/>
          <w:bCs/>
          <w:i w:val="false"/>
          <w:iCs w:val="false"/>
          <w:color w:val="C09853"/>
          <w:sz w:val="20"/>
          <w:szCs w:val="20"/>
        </w:rPr>
        <w:t xml:space="preserve">CONFIDENTIAL — Trade Secret Reference</w:t>
      </w:r>
    </w:p>
    <w:p>
      <w:pPr>
        <w:spacing w:after="80" w:before="60" w:line="280"/>
        <w:jc w:val="center"/>
      </w:pPr>
      <w:r>
        <w:rPr>
          <w:rFonts w:ascii="Calibri" w:cs="Calibri" w:eastAsia="Calibri" w:hAnsi="Calibri"/>
          <w:b/>
          <w:bCs/>
          <w:i w:val="false"/>
          <w:iCs w:val="false"/>
          <w:color w:val="1F3864"/>
          <w:sz w:val="44"/>
          <w:szCs w:val="44"/>
        </w:rPr>
        <w:t xml:space="preserve">Recall Search — End-to-End Trace</w:t>
      </w:r>
    </w:p>
    <w:p>
      <w:pPr>
        <w:spacing w:after="320" w:before="60" w:line="280"/>
        <w:jc w:val="center"/>
      </w:pPr>
      <w:r>
        <w:rPr>
          <w:rFonts w:ascii="Calibri" w:cs="Calibri" w:eastAsia="Calibri" w:hAnsi="Calibri"/>
          <w:b w:val="false"/>
          <w:bCs w:val="false"/>
          <w:i/>
          <w:iCs/>
          <w:color w:val="2E5090"/>
          <w:sz w:val="24"/>
          <w:szCs w:val="24"/>
        </w:rPr>
        <w:t xml:space="preserve">James Okafor query · every MRO probe · every cue · every HSL · every AIO sent to the LLM</w:t>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40" w:before="320"/>
      </w:pPr>
      <w:r>
        <w:t xml:space="preserve"/>
      </w:r>
    </w:p>
    <w:p>
      <w:pPr>
        <w:spacing w:after="60" w:before="60" w:line="280"/>
        <w:jc w:val="center"/>
      </w:pPr>
      <w:r>
        <w:rPr>
          <w:rFonts w:ascii="Calibri" w:cs="Calibri" w:eastAsia="Calibri" w:hAnsi="Calibri"/>
          <w:b w:val="false"/>
          <w:bCs w:val="false"/>
          <w:i/>
          <w:iCs/>
          <w:color w:val="2E5090"/>
          <w:sz w:val="18"/>
          <w:szCs w:val="18"/>
        </w:rPr>
        <w:t xml:space="preserve">V4.5  ·  April 2026  ·  InformationPhysics.ai, LLC</w:t>
      </w:r>
    </w:p>
    <w:p>
      <w:pPr>
        <w:spacing w:after="40" w:before="60" w:line="280"/>
        <w:jc w:val="center"/>
      </w:pPr>
      <w:r>
        <w:rPr>
          <w:rFonts w:ascii="Calibri" w:cs="Calibri" w:eastAsia="Calibri" w:hAnsi="Calibri"/>
          <w:b w:val="false"/>
          <w:bCs w:val="false"/>
          <w:i/>
          <w:iCs/>
          <w:color w:val="606060"/>
          <w:sz w:val="17"/>
          <w:szCs w:val="17"/>
        </w:rPr>
        <w:t xml:space="preserve">Subject to non-disclosure agreement on file. Not for redistribution.</w:t>
      </w:r>
    </w:p>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§0.  </w:t>
      </w:r>
      <w:r>
        <w:rPr>
          <w:rFonts w:ascii="Calibri" w:cs="Calibri" w:eastAsia="Calibri" w:hAnsi="Calibri"/>
          <w:b/>
          <w:bCs/>
          <w:color w:val="1F3864"/>
          <w:sz w:val="32"/>
          <w:szCs w:val="32"/>
        </w:rPr>
        <w:t xml:space="preserve">Document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Search Trace — James Okafor (Diagnostic)</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Document type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Confidential / Trade Secret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Version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V4.5</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Release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April 2026</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Organization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InformationPhysics.ai, LLC</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Generated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2026-04-30 19:37:54 UTC</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Distribution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Internal · NDA-controlled</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Author</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Michael Simon Bodner, Ph.D.</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Run timestamp</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2026-04-27T18:56:46.811Z</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Endpoint</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https://informationphysicsdemo.up.railway.app</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Tenant</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tenantA · 589 AIOs · 1,208 HSL key-value pairs</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Total time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89,378 ms (prefetch 648 ms + pipeline 14,125 ms + synthesis)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Model</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claude-haiku-4-5</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Style w:val="Heading2"/>
        <w:spacing w:after="100" w:before="240" w:line="300"/>
      </w:pPr>
      <w:r>
        <w:rPr>
          <w:rFonts w:ascii="Calibri" w:cs="Calibri" w:eastAsia="Calibri" w:hAnsi="Calibri"/>
          <w:b/>
          <w:bCs/>
          <w:color w:val="2E5090"/>
          <w:sz w:val="26"/>
          <w:szCs w:val="26"/>
        </w:rPr>
        <w:t xml:space="preserve">Abstract</w:t>
      </w:r>
    </w:p>
    <w:p>
      <w:pPr>
        <w:spacing w:after="60" w:before="60" w:line="280"/>
        <w:jc w:val="left"/>
      </w:pPr>
      <w:r>
        <w:rPr>
          <w:rFonts w:ascii="Calibri" w:cs="Calibri" w:eastAsia="Calibri" w:hAnsi="Calibri"/>
          <w:b w:val="false"/>
          <w:bCs w:val="false"/>
          <w:i w:val="false"/>
          <w:iCs w:val="false"/>
          <w:color w:val="1A1A1A"/>
          <w:sz w:val="21"/>
          <w:szCs w:val="21"/>
        </w:rPr>
        <w:t xml:space="preserve">Single-query Recall Search trace against the V4.4 production deployment. The MRO short-circuit was bypassed inside the pipeline so the full HSL/AIO traversal could be observed end-to-end. Documents every prior MRO scored, every cue extracted, every HSL probed, every AIO sent to the LLM, and the verbatim final reply. Useful as a reference example of what a real Recall query looks like at the substrate layer.</w:t>
      </w:r>
    </w:p>
    <w:p>
      <w:pPr>
        <w:spacing w:after="60" w:before="60" w:line="280"/>
        <w:jc w:val="left"/>
      </w:pPr>
      <w:r>
        <w:rPr>
          <w:rFonts w:ascii="Calibri" w:cs="Calibri" w:eastAsia="Calibri" w:hAnsi="Calibri"/>
          <w:b w:val="false"/>
          <w:bCs w:val="false"/>
          <w:i w:val="false"/>
          <w:iCs w:val="false"/>
          <w:color w:val="1A1A1A"/>
          <w:sz w:val="21"/>
          <w:szCs w:val="21"/>
        </w:rPr>
        <w:t xml:space="preserve"/>
      </w:r>
    </w:p>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  </w:t>
      </w:r>
      <w:r>
        <w:rPr>
          <w:rFonts w:ascii="Calibri" w:cs="Calibri" w:eastAsia="Calibri" w:hAnsi="Calibri"/>
          <w:b/>
          <w:bCs/>
          <w:color w:val="1F3864"/>
          <w:sz w:val="32"/>
          <w:szCs w:val="32"/>
        </w:rPr>
        <w:t xml:space="preserve">Query and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Query (verbatim)</w:t>
            </w:r>
          </w:p>
          <w:p>
            <w:pPr>
              <w:spacing w:after="0" w:before="0" w:line="280"/>
            </w:pPr>
            <w:r>
              <w:rPr>
                <w:rFonts w:ascii="Calibri" w:cs="Calibri" w:eastAsia="Calibri" w:hAnsi="Calibri"/>
                <w:color w:val="1A1A1A"/>
                <w:sz w:val="21"/>
                <w:szCs w:val="21"/>
              </w:rPr>
              <w:t xml:space="preserve">What roles does James Okafor hold. List projects and financials for each. (run 51jdn4)</w:t>
            </w:r>
          </w:p>
        </w:tc>
      </w:tr>
    </w:tbl>
    <w:p>
      <w:pPr>
        <w:spacing w:after="60" w:before="60" w:line="280"/>
        <w:jc w:val="left"/>
      </w:pPr>
      <w:r>
        <w:rPr>
          <w:rFonts w:ascii="Calibri" w:cs="Calibri" w:eastAsia="Calibri" w:hAnsi="Calibri"/>
          <w:b w:val="false"/>
          <w:bCs w:val="false"/>
          <w:i w:val="false"/>
          <w:iCs w:val="false"/>
          <w:color w:val="1A1A1A"/>
          <w:sz w:val="21"/>
          <w:szCs w:val="21"/>
        </w:rPr>
        <w:t xml:space="preserve">In production, this query would short-circuit at MRO score 0.889 (well above the 0.85 threshold) and skip both the LLM call and the AIO neighborhood entirely. For this trace the short-circuit is bypassed so we can observe the full HSL/AIO traversal.</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Frontend</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https://informationphysicsdemo.up.railway.app</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Tenant</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tenantA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Timestamp</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2026-04-27T18:56:46.811Z</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Total time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89,378 ms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Prefetch</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648 ms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Pipeline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14,125 ms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Corpus AIOs</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589</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HSL key-value pairs</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1,208</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Model</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claude-haiku-4-5</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§2.  </w:t>
      </w:r>
      <w:r>
        <w:rPr>
          <w:rFonts w:ascii="Calibri" w:cs="Calibri" w:eastAsia="Calibri" w:hAnsi="Calibri"/>
          <w:b/>
          <w:bCs/>
          <w:color w:val="1F3864"/>
          <w:sz w:val="32"/>
          <w:szCs w:val="32"/>
        </w:rPr>
        <w:t xml:space="preserve">MRO Layer — Memory Result Objects</w:t>
      </w:r>
    </w:p>
    <w:p>
      <w:pPr>
        <w:spacing w:after="60" w:before="60" w:line="280"/>
        <w:jc w:val="left"/>
      </w:pPr>
      <w:r>
        <w:rPr>
          <w:rFonts w:ascii="Calibri" w:cs="Calibri" w:eastAsia="Calibri" w:hAnsi="Calibri"/>
          <w:b w:val="false"/>
          <w:bCs w:val="false"/>
          <w:i w:val="false"/>
          <w:iCs w:val="false"/>
          <w:color w:val="1A1A1A"/>
          <w:sz w:val="21"/>
          <w:szCs w:val="21"/>
        </w:rPr>
        <w:t xml:space="preserve">The pipeline first probes /v1/op/mro-search for prior episodes that may answer the query directly or seed retrieval. Hits at score ≥ 0.85 short-circuit the LLM. Hits at ≥ 0.50 are hydrated as priors and injected into the substrate envelope. Hits at ≥ 0.30 contribute their cue_set to the cue pool.</w:t>
      </w:r>
    </w:p>
    <w:p>
      <w:pPr>
        <w:pStyle w:val="Heading2"/>
        <w:spacing w:after="100" w:before="240" w:line="300"/>
      </w:pPr>
      <w:r>
        <w:rPr>
          <w:rFonts w:ascii="Calibri" w:cs="Calibri" w:eastAsia="Calibri" w:hAnsi="Calibri"/>
          <w:b/>
          <w:bCs/>
          <w:color w:val="2E5090"/>
          <w:sz w:val="26"/>
          <w:szCs w:val="26"/>
        </w:rPr>
        <w:t xml:space="preserve">2.1  All MRO probe hits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800"/>
        <w:gridCol w:w="800"/>
        <w:gridCol w:w="5260"/>
      </w:tblGrid>
      <w:tr>
        <w:trPr>
          <w:tblHeader/>
        </w:trPr>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Score</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MRO ID (prefix)</w:t>
            </w:r>
          </w:p>
        </w:tc>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Trust</w:t>
            </w:r>
          </w:p>
        </w:tc>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Conf.</w:t>
            </w:r>
          </w:p>
        </w:tc>
        <w:tc>
          <w:tcPr>
            <w:tcW w:type="dxa" w:w="5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Past query</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0.621</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d1ab0bd3…</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6</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0.75</w:t>
            </w:r>
          </w:p>
        </w:tc>
        <w:tc>
          <w:tcPr>
            <w:tcW w:type="dxa" w:w="5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What roles does Sarah Mitchell hold. List projects and financials for each.</w:t>
            </w:r>
          </w:p>
        </w:tc>
      </w:tr>
      <w:tr>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0.621</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a14a91d8…</w:t>
            </w:r>
          </w:p>
        </w:tc>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w:t>
            </w:r>
          </w:p>
        </w:tc>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0.75</w:t>
            </w:r>
          </w:p>
        </w:tc>
        <w:tc>
          <w:tcPr>
            <w:tcW w:type="dxa" w:w="5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What roles does Sarah Mitchell hold. List projects and financials for each.</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0.621</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25692369…</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0.75</w:t>
            </w:r>
          </w:p>
        </w:tc>
        <w:tc>
          <w:tcPr>
            <w:tcW w:type="dxa" w:w="5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What roles does Sarah Mitchell hold. List projects and financials for each.</w:t>
            </w:r>
          </w:p>
        </w:tc>
      </w:tr>
      <w:tr>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0.167</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ff65a481…</w:t>
            </w:r>
          </w:p>
        </w:tc>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w:t>
            </w:r>
          </w:p>
        </w:tc>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derived</w:t>
            </w:r>
          </w:p>
        </w:tc>
        <w:tc>
          <w:tcPr>
            <w:tcW w:type="dxa" w:w="5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what roles does Sarah Mitchell have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0.167</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a41d7317…</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0.75</w:t>
            </w:r>
          </w:p>
        </w:tc>
        <w:tc>
          <w:tcPr>
            <w:tcW w:type="dxa" w:w="5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what roles does Sarah Mitchell have</w:t>
            </w:r>
          </w:p>
        </w:tc>
      </w:tr>
      <w:tr>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0.167</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35e0a953…</w:t>
            </w:r>
          </w:p>
        </w:tc>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w:t>
            </w:r>
          </w:p>
        </w:tc>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0.75</w:t>
            </w:r>
          </w:p>
        </w:tc>
        <w:tc>
          <w:tcPr>
            <w:tcW w:type="dxa" w:w="5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what roles does Sarah Mitchell have</w:t>
            </w:r>
          </w:p>
        </w:tc>
      </w:tr>
    </w:tbl>
    <w:p>
      <w:pPr>
        <w:pStyle w:val="Heading2"/>
        <w:spacing w:after="100" w:before="240" w:line="300"/>
      </w:pPr>
      <w:r>
        <w:rPr>
          <w:rFonts w:ascii="Calibri" w:cs="Calibri" w:eastAsia="Calibri" w:hAnsi="Calibri"/>
          <w:b/>
          <w:bCs/>
          <w:color w:val="2E5090"/>
          <w:sz w:val="26"/>
          <w:szCs w:val="26"/>
        </w:rPr>
        <w:t xml:space="preserve">2.2  Priors hydrated into the substrate</w:t>
      </w:r>
    </w:p>
    <w:p>
      <w:pPr>
        <w:spacing w:after="60" w:before="60" w:line="280"/>
        <w:jc w:val="left"/>
      </w:pPr>
      <w:r>
        <w:rPr>
          <w:rFonts w:ascii="Calibri" w:cs="Calibri" w:eastAsia="Calibri" w:hAnsi="Calibri"/>
          <w:b w:val="false"/>
          <w:bCs w:val="false"/>
          <w:i w:val="false"/>
          <w:iCs w:val="false"/>
          <w:color w:val="1A1A1A"/>
          <w:sz w:val="21"/>
          <w:szCs w:val="21"/>
        </w:rPr>
        <w:t xml:space="preserve">Three priors crossed the bundle-augment threshold and were sent to the LLM as framing context (never as ground truth).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800"/>
        <w:gridCol w:w="800"/>
        <w:gridCol w:w="1100"/>
        <w:gridCol w:w="4260"/>
      </w:tblGrid>
      <w:tr>
        <w:trPr>
          <w:tblHeader/>
        </w:trPr>
        <w:tc>
          <w:tcPr>
            <w:tcW w:type="dxa" w:w="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bCs/>
                <w:color w:val="1A1A1A"/>
                <w:sz w:val="19"/>
                <w:szCs w:val="19"/>
              </w:rPr>
              <w:t xml:space="preserve">#</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MRO ID</w:t>
            </w:r>
          </w:p>
        </w:tc>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Score</w:t>
            </w:r>
          </w:p>
        </w:tc>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Freshness</w:t>
            </w:r>
          </w:p>
        </w:tc>
        <w:tc>
          <w:tcPr>
            <w:tcW w:type="dxa" w:w="4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Result preview (first ≈100 chars)</w:t>
            </w:r>
          </w:p>
        </w:tc>
      </w:tr>
      <w:tr>
        <w:tc>
          <w:tcPr>
            <w:tcW w:type="dxa" w:w="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d1ab0bd3-6271-46c9-9d6a-62ff2030dd8b</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1.184</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1.00</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 Sarah Mitchell's Roles — Projects &amp; Financials. She holds 4 distinct roles across the dataset…</w:t>
            </w:r>
          </w:p>
        </w:tc>
      </w:tr>
      <w:tr>
        <w:tc>
          <w:tcPr>
            <w:tcW w:type="dxa" w:w="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25692369-acf9-4f71-b3d8-5f9782786cdb</w:t>
            </w:r>
          </w:p>
        </w:tc>
        <w:tc>
          <w:tcPr>
            <w:tcW w:type="dxa" w:w="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0.718</w:t>
            </w:r>
          </w:p>
        </w:tc>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1.00</w:t>
            </w:r>
          </w:p>
        </w:tc>
        <w:tc>
          <w:tcPr>
            <w:tcW w:type="dxa" w:w="4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 Sarah Mitchell's Roles — Projects &amp; Financials. Filter applied: 37 qualifying records found across 3 role types…</w:t>
            </w:r>
          </w:p>
        </w:tc>
      </w:tr>
      <w:tr>
        <w:tc>
          <w:tcPr>
            <w:tcW w:type="dxa" w:w="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a14a91d8-cd9b-4ac5-9b01-1bd91d14ab11</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0.402</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1.00</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 Sarah Mitchell's Roles — Projects &amp; Financials. She holds 4 distinct roles across the dataset…</w:t>
            </w:r>
          </w:p>
        </w:tc>
      </w:tr>
    </w:tbl>
    <w:p>
      <w:pPr>
        <w:spacing w:after="60" w:before="60" w:line="280"/>
        <w:jc w:val="left"/>
      </w:pPr>
      <w:r>
        <w:rPr>
          <w:rFonts w:ascii="Calibri" w:cs="Calibri" w:eastAsia="Calibri" w:hAnsi="Calibri"/>
          <w:b w:val="false"/>
          <w:bCs w:val="false"/>
          <w:i w:val="false"/>
          <w:iCs w:val="false"/>
          <w:color w:val="1A1A1A"/>
          <w:sz w:val="21"/>
          <w:szCs w:val="21"/>
        </w:rPr>
        <w:t xml:space="preserve">Each prior was injected verbatim into the substrate's "## Prior Retrieval Episodes" section. Note that all three priors are answers to a different name (Sarah Mitchell), used here as framing for the structurally-similar James Okafor query.</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§3.  </w:t>
      </w:r>
      <w:r>
        <w:rPr>
          <w:rFonts w:ascii="Calibri" w:cs="Calibri" w:eastAsia="Calibri" w:hAnsi="Calibri"/>
          <w:b/>
          <w:bCs/>
          <w:color w:val="1F3864"/>
          <w:sz w:val="32"/>
          <w:szCs w:val="32"/>
        </w:rPr>
        <w:t xml:space="preserve">Cue Extraction and HSL Resolution</w:t>
      </w:r>
    </w:p>
    <w:p>
      <w:pPr>
        <w:spacing w:after="60" w:before="60" w:line="280"/>
        <w:jc w:val="left"/>
      </w:pPr>
      <w:r>
        <w:rPr>
          <w:rFonts w:ascii="Calibri" w:cs="Calibri" w:eastAsia="Calibri" w:hAnsi="Calibri"/>
          <w:b w:val="false"/>
          <w:bCs w:val="false"/>
          <w:i w:val="false"/>
          <w:iCs w:val="false"/>
          <w:color w:val="1A1A1A"/>
          <w:sz w:val="21"/>
          <w:szCs w:val="21"/>
        </w:rPr>
        <w:t xml:space="preserve">Phase 1 of the pipeline parses the query and pulls all bracket-notation values from the AIO neighborhood that overlap the query terms. For this run that yielded 149 cue values; 14 of those resolved to one or more HSLs via /v1/hsl-data/find-by-needles-full.</w:t>
      </w:r>
    </w:p>
    <w:p>
      <w:pPr>
        <w:pStyle w:val="Heading2"/>
        <w:spacing w:after="100" w:before="240" w:line="300"/>
      </w:pPr>
      <w:r>
        <w:rPr>
          <w:rFonts w:ascii="Calibri" w:cs="Calibri" w:eastAsia="Calibri" w:hAnsi="Calibri"/>
          <w:b/>
          <w:bCs/>
          <w:color w:val="2E5090"/>
          <w:sz w:val="26"/>
          <w:szCs w:val="26"/>
        </w:rPr>
        <w:t xml:space="preserve">3.1  HSL match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Metric</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Total cues extracted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149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Cues with ≥1 HSL match</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14</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Cues with no HSL match</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135</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Distinct HSLs traversed</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14</w:t>
            </w:r>
          </w:p>
        </w:tc>
      </w:tr>
    </w:tbl>
    <w:p>
      <w:pPr>
        <w:pStyle w:val="Heading2"/>
        <w:spacing w:after="100" w:before="240" w:line="300"/>
      </w:pPr>
      <w:r>
        <w:rPr>
          <w:rFonts w:ascii="Calibri" w:cs="Calibri" w:eastAsia="Calibri" w:hAnsi="Calibri"/>
          <w:b/>
          <w:bCs/>
          <w:color w:val="2E5090"/>
          <w:sz w:val="26"/>
          <w:szCs w:val="26"/>
        </w:rPr>
        <w:t xml:space="preserve">3.2  HSLs matched, by cue (top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Cue value</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HSLs matched</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James Okafor</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[Assigned To.James Okafor]  ·  [Reviewed By.James Okafor]  ·  [Estimator.James Okafor]  ·  [ProjectManager.James Okafor]  ·  [Superintendent.James Okafor]</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Highland Medical Center Expansion</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[Project Name.Highland Medical Center Expansion]</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acc_projects.csv</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[OriginalCSV.acc_projects.csv]</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1701 S Padre Island Dr</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[Address.1701 S Padre Island Dr]</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Lockwood Andrews &amp; Newnam</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[Architect.Lockwood Andrews &amp; Newnam]</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Grand Pacific Hospitality</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[Owner.Grand Pacific Hospitality]</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Highland Health Systems</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[Owner.Highland Health Systems]</w:t>
            </w:r>
          </w:p>
        </w:tc>
      </w:tr>
    </w:tbl>
    <w:p>
      <w:pPr>
        <w:pStyle w:val="Heading2"/>
        <w:spacing w:after="100" w:before="240" w:line="300"/>
      </w:pPr>
      <w:r>
        <w:rPr>
          <w:rFonts w:ascii="Calibri" w:cs="Calibri" w:eastAsia="Calibri" w:hAnsi="Calibri"/>
          <w:b/>
          <w:bCs/>
          <w:color w:val="2E5090"/>
          <w:sz w:val="26"/>
          <w:szCs w:val="26"/>
        </w:rPr>
        <w:t xml:space="preserve">3.3  Sample HSL — [Assigned To.James Okafor]</w:t>
      </w:r>
    </w:p>
    <w:p>
      <w:pPr>
        <w:spacing w:after="60" w:before="60" w:line="280"/>
        <w:jc w:val="left"/>
      </w:pPr>
      <w:r>
        <w:rPr>
          <w:rFonts w:ascii="Calibri" w:cs="Calibri" w:eastAsia="Calibri" w:hAnsi="Calibri"/>
          <w:b w:val="false"/>
          <w:bCs w:val="false"/>
          <w:i w:val="false"/>
          <w:iCs w:val="false"/>
          <w:color w:val="1A1A1A"/>
          <w:sz w:val="21"/>
          <w:szCs w:val="21"/>
        </w:rPr>
        <w:t xml:space="preserve">Illustrative sample showing the structure of one matched HSL. Each HSL row carries up to 100 element slots that point at AIO rows or sibling HSLs. Pointers are stored as "OriginalCSV - Row N" tokens that the pipeline expands into AIO rows in Phase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HSL ID:    48810812-…</w:t>
            </w:r>
          </w:p>
          <w:p>
            <w:pPr>
              <w:shd w:fill="F2F2F2" w:val="clear"/>
              <w:spacing w:after="0" w:before="0" w:line="240"/>
            </w:pPr>
            <w:r>
              <w:rPr>
                <w:rFonts w:ascii="Consolas" w:cs="Consolas" w:eastAsia="Consolas" w:hAnsi="Consolas"/>
                <w:color w:val="111111"/>
                <w:sz w:val="18"/>
                <w:szCs w:val="18"/>
              </w:rPr>
              <w:t xml:space="preserve">HSL Name:  [Assigned To.James Okafor].hsl</w:t>
            </w:r>
          </w:p>
          <w:p>
            <w:pPr>
              <w:shd w:fill="F2F2F2" w:val="clear"/>
              <w:spacing w:after="0" w:before="0" w:line="240"/>
            </w:pPr>
            <w:r>
              <w:rPr>
                <w:rFonts w:ascii="Consolas" w:cs="Consolas" w:eastAsia="Consolas" w:hAnsi="Consolas"/>
                <w:color w:val="111111"/>
                <w:sz w:val="18"/>
                <w:szCs w:val="18"/>
              </w:rPr>
              <w:t xml:space="preserve">Element samples:</w:t>
            </w:r>
          </w:p>
          <w:p>
            <w:pPr>
              <w:shd w:fill="F2F2F2" w:val="clear"/>
              <w:spacing w:after="0" w:before="0" w:line="240"/>
            </w:pPr>
            <w:r>
              <w:rPr>
                <w:rFonts w:ascii="Consolas" w:cs="Consolas" w:eastAsia="Consolas" w:hAnsi="Consolas"/>
                <w:color w:val="111111"/>
                <w:sz w:val="18"/>
                <w:szCs w:val="18"/>
              </w:rPr>
              <w:t xml:space="preserve">    acc_issues.csv - Row 146</w:t>
            </w:r>
          </w:p>
          <w:p>
            <w:pPr>
              <w:shd w:fill="F2F2F2" w:val="clear"/>
              <w:spacing w:after="0" w:before="0" w:line="240"/>
            </w:pPr>
            <w:r>
              <w:rPr>
                <w:rFonts w:ascii="Consolas" w:cs="Consolas" w:eastAsia="Consolas" w:hAnsi="Consolas"/>
                <w:color w:val="111111"/>
                <w:sz w:val="18"/>
                <w:szCs w:val="18"/>
              </w:rPr>
              <w:t xml:space="preserve">    acc_issues.csv - Row 152</w:t>
            </w:r>
          </w:p>
          <w:p>
            <w:pPr>
              <w:shd w:fill="F2F2F2" w:val="clear"/>
              <w:spacing w:after="0" w:before="0" w:line="240"/>
            </w:pPr>
            <w:r>
              <w:rPr>
                <w:rFonts w:ascii="Consolas" w:cs="Consolas" w:eastAsia="Consolas" w:hAnsi="Consolas"/>
                <w:color w:val="111111"/>
                <w:sz w:val="18"/>
                <w:szCs w:val="18"/>
              </w:rPr>
              <w:t xml:space="preserve">    acc_rfis.csv  - Row 156</w:t>
            </w:r>
          </w:p>
          <w:p>
            <w:pPr>
              <w:shd w:fill="F2F2F2" w:val="clear"/>
              <w:spacing w:after="0" w:before="0" w:line="240"/>
            </w:pPr>
            <w:r>
              <w:rPr>
                <w:rFonts w:ascii="Consolas" w:cs="Consolas" w:eastAsia="Consolas" w:hAnsi="Consolas"/>
                <w:color w:val="111111"/>
                <w:sz w:val="18"/>
                <w:szCs w:val="18"/>
              </w:rPr>
              <w:t xml:space="preserve">    acc_rfis.csv  - Row 158</w:t>
            </w:r>
          </w:p>
          <w:p>
            <w:pPr>
              <w:shd w:fill="F2F2F2" w:val="clear"/>
              <w:spacing w:after="0" w:before="0" w:line="240"/>
            </w:pPr>
            <w:r>
              <w:rPr>
                <w:rFonts w:ascii="Consolas" w:cs="Consolas" w:eastAsia="Consolas" w:hAnsi="Consolas"/>
                <w:color w:val="111111"/>
                <w:sz w:val="18"/>
                <w:szCs w:val="18"/>
              </w:rPr>
              <w:t xml:space="preserve">    acc_rfis.csv  - Row 159</w:t>
            </w:r>
          </w:p>
          <w:p>
            <w:pPr>
              <w:shd w:fill="F2F2F2" w:val="clear"/>
              <w:spacing w:after="0" w:before="0" w:line="240"/>
            </w:pPr>
            <w:r>
              <w:rPr>
                <w:rFonts w:ascii="Consolas" w:cs="Consolas" w:eastAsia="Consolas" w:hAnsi="Consolas"/>
                <w:color w:val="111111"/>
                <w:sz w:val="18"/>
                <w:szCs w:val="18"/>
              </w:rPr>
              <w:t xml:space="preserve">    …</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§4.  </w:t>
      </w:r>
      <w:r>
        <w:rPr>
          <w:rFonts w:ascii="Calibri" w:cs="Calibri" w:eastAsia="Calibri" w:hAnsi="Calibri"/>
          <w:b/>
          <w:bCs/>
          <w:color w:val="1F3864"/>
          <w:sz w:val="32"/>
          <w:szCs w:val="32"/>
        </w:rPr>
        <w:t xml:space="preserve">AIO Neighborhood — What Reached the LLM</w:t>
      </w:r>
    </w:p>
    <w:p>
      <w:pPr>
        <w:spacing w:after="60" w:before="60" w:line="280"/>
        <w:jc w:val="left"/>
      </w:pPr>
      <w:r>
        <w:rPr>
          <w:rFonts w:ascii="Calibri" w:cs="Calibri" w:eastAsia="Calibri" w:hAnsi="Calibri"/>
          <w:b w:val="false"/>
          <w:bCs w:val="false"/>
          <w:i w:val="false"/>
          <w:iCs w:val="false"/>
          <w:color w:val="1A1A1A"/>
          <w:sz w:val="21"/>
          <w:szCs w:val="21"/>
        </w:rPr>
        <w:t xml:space="preserve">Phase 3 expanded the 14 matched HSLs into their pointer set, unioned with direct needle-scan AIOs, ranked by HSL boost, diversified by CSV, and trimmed by element-set Jaccard dedup. The bundle's AIO section is the contents the LLM sees alongside the three Sarah Mitchell priors.</w:t>
      </w:r>
    </w:p>
    <w:p>
      <w:pPr>
        <w:spacing w:after="60" w:before="60" w:line="280"/>
        <w:jc w:val="left"/>
      </w:pPr>
      <w:r>
        <w:rPr>
          <w:rFonts w:ascii="Calibri" w:cs="Calibri" w:eastAsia="Calibri" w:hAnsi="Calibri"/>
          <w:b w:val="false"/>
          <w:bCs w:val="false"/>
          <w:i w:val="false"/>
          <w:iCs w:val="false"/>
          <w:color w:val="1A1A1A"/>
          <w:sz w:val="21"/>
          <w:szCs w:val="21"/>
        </w:rPr>
        <w:t xml:space="preserve">AIO row counts by source CSV (after dedup):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Source CSV</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AIOs in bundle</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Role</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AIA305 Sample.csv</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30</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Project portfolio rows where James Okafor appears as Estimator / PM / Superintendent</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acc_issues.csv</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Field-issue records assigned to James Okafor</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acc_rfis.csv</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RFIs routed to James Okafor</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acc_submittals.csv</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Submittals reviewed by James Okafor</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acc_projects.csv</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Project metadata for joined entities</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acc_employees.csv</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James Okafor's employee record</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TOTAL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41</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(post diversify-by-CSV)</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What the LLM never sees</w:t>
            </w:r>
          </w:p>
          <w:p>
            <w:pPr>
              <w:spacing w:after="0" w:before="0" w:line="280"/>
            </w:pPr>
            <w:r>
              <w:rPr>
                <w:rFonts w:ascii="Calibri" w:cs="Calibri" w:eastAsia="Calibri" w:hAnsi="Calibri"/>
                <w:color w:val="1A1A1A"/>
                <w:sz w:val="21"/>
                <w:szCs w:val="21"/>
              </w:rPr>
              <w:t xml:space="preserve">Out of 589 corpus AIOs, only ≈ 41 reach the LLM in this run. The other 548 rows are pruned at Phase 2/3 because no cue resolved to them. This is the substrate property: the LLM's input is bounded by query semantics (the cue set), not by corpus size.</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§5.  </w:t>
      </w:r>
      <w:r>
        <w:rPr>
          <w:rFonts w:ascii="Calibri" w:cs="Calibri" w:eastAsia="Calibri" w:hAnsi="Calibri"/>
          <w:b/>
          <w:bCs/>
          <w:color w:val="1F3864"/>
          <w:sz w:val="32"/>
          <w:szCs w:val="32"/>
        </w:rPr>
        <w:t xml:space="preserve">Substrate Envelope — The Final Prompt Shape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w:t>
            </w:r>
          </w:p>
          <w:p>
            <w:pPr>
              <w:shd w:fill="F2F2F2" w:val="clear"/>
              <w:spacing w:after="0" w:before="0" w:line="240"/>
            </w:pPr>
            <w:r>
              <w:rPr>
                <w:rFonts w:ascii="Consolas" w:cs="Consolas" w:eastAsia="Consolas" w:hAnsi="Consolas"/>
                <w:color w:val="111111"/>
                <w:sz w:val="18"/>
                <w:szCs w:val="18"/>
              </w:rPr>
              <w:t xml:space="preserve">  "query":   "What roles does James Okafor hold. List projects and financials for each.",</w:t>
            </w:r>
          </w:p>
          <w:p>
            <w:pPr>
              <w:shd w:fill="F2F2F2" w:val="clear"/>
              <w:spacing w:after="0" w:before="0" w:line="240"/>
            </w:pPr>
            <w:r>
              <w:rPr>
                <w:rFonts w:ascii="Consolas" w:cs="Consolas" w:eastAsia="Consolas" w:hAnsi="Consolas"/>
                <w:color w:val="111111"/>
                <w:sz w:val="18"/>
                <w:szCs w:val="18"/>
              </w:rPr>
              <w:t xml:space="preserve">  "history": [],</w:t>
            </w:r>
          </w:p>
          <w:p>
            <w:pPr>
              <w:shd w:fill="F2F2F2" w:val="clear"/>
              <w:spacing w:after="0" w:before="0" w:line="240"/>
            </w:pPr>
            <w:r>
              <w:rPr>
                <w:rFonts w:ascii="Consolas" w:cs="Consolas" w:eastAsia="Consolas" w:hAnsi="Consolas"/>
                <w:color w:val="111111"/>
                <w:sz w:val="18"/>
                <w:szCs w:val="18"/>
              </w:rPr>
              <w:t xml:space="preserve">  "priors": [</w:t>
            </w:r>
          </w:p>
          <w:p>
            <w:pPr>
              <w:shd w:fill="F2F2F2" w:val="clear"/>
              <w:spacing w:after="0" w:before="0" w:line="240"/>
            </w:pPr>
            <w:r>
              <w:rPr>
                <w:rFonts w:ascii="Consolas" w:cs="Consolas" w:eastAsia="Consolas" w:hAnsi="Consolas"/>
                <w:color w:val="111111"/>
                <w:sz w:val="18"/>
                <w:szCs w:val="18"/>
              </w:rPr>
              <w:t xml:space="preserve">    { mro_id: "d1ab0bd3-…", query: "…Sarah Mitchell…", reply: "## Sarah Mitchell's Roles…" },</w:t>
            </w:r>
          </w:p>
          <w:p>
            <w:pPr>
              <w:shd w:fill="F2F2F2" w:val="clear"/>
              <w:spacing w:after="0" w:before="0" w:line="240"/>
            </w:pPr>
            <w:r>
              <w:rPr>
                <w:rFonts w:ascii="Consolas" w:cs="Consolas" w:eastAsia="Consolas" w:hAnsi="Consolas"/>
                <w:color w:val="111111"/>
                <w:sz w:val="18"/>
                <w:szCs w:val="18"/>
              </w:rPr>
              <w:t xml:space="preserve">    { mro_id: "25692369-…", query: "…Sarah Mitchell…", reply: "## Sarah Mitchell's Roles…" },</w:t>
            </w:r>
          </w:p>
          <w:p>
            <w:pPr>
              <w:shd w:fill="F2F2F2" w:val="clear"/>
              <w:spacing w:after="0" w:before="0" w:line="240"/>
            </w:pPr>
            <w:r>
              <w:rPr>
                <w:rFonts w:ascii="Consolas" w:cs="Consolas" w:eastAsia="Consolas" w:hAnsi="Consolas"/>
                <w:color w:val="111111"/>
                <w:sz w:val="18"/>
                <w:szCs w:val="18"/>
              </w:rPr>
              <w:t xml:space="preserve">    { mro_id: "a14a91d8-…", query: "…Sarah Mitchell…", reply: "## Sarah Mitchell's Roles…" }</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  "cues":  [149 element cues — 14 HSL-resolved, 135 unresolved],</w:t>
            </w:r>
          </w:p>
          <w:p>
            <w:pPr>
              <w:shd w:fill="F2F2F2" w:val="clear"/>
              <w:spacing w:after="0" w:before="0" w:line="240"/>
            </w:pPr>
            <w:r>
              <w:rPr>
                <w:rFonts w:ascii="Consolas" w:cs="Consolas" w:eastAsia="Consolas" w:hAnsi="Consolas"/>
                <w:color w:val="111111"/>
                <w:sz w:val="18"/>
                <w:szCs w:val="18"/>
              </w:rPr>
              <w:t xml:space="preserve">  "scope": [</w:t>
            </w:r>
          </w:p>
          <w:p>
            <w:pPr>
              <w:shd w:fill="F2F2F2" w:val="clear"/>
              <w:spacing w:after="0" w:before="0" w:line="240"/>
            </w:pPr>
            <w:r>
              <w:rPr>
                <w:rFonts w:ascii="Consolas" w:cs="Consolas" w:eastAsia="Consolas" w:hAnsi="Consolas"/>
                <w:color w:val="111111"/>
                <w:sz w:val="18"/>
                <w:szCs w:val="18"/>
              </w:rPr>
              <w:t xml:space="preserve">    { aio_name: "AIA305 Sample.csv - Row 11", elements: [...] },</w:t>
            </w:r>
          </w:p>
          <w:p>
            <w:pPr>
              <w:shd w:fill="F2F2F2" w:val="clear"/>
              <w:spacing w:after="0" w:before="0" w:line="240"/>
            </w:pPr>
            <w:r>
              <w:rPr>
                <w:rFonts w:ascii="Consolas" w:cs="Consolas" w:eastAsia="Consolas" w:hAnsi="Consolas"/>
                <w:color w:val="111111"/>
                <w:sz w:val="18"/>
                <w:szCs w:val="18"/>
              </w:rPr>
              <w:t xml:space="preserve">    { aio_name: "AIA305 Sample.csv - Row 22", elements: [...] },</w:t>
            </w:r>
          </w:p>
          <w:p>
            <w:pPr>
              <w:shd w:fill="F2F2F2" w:val="clear"/>
              <w:spacing w:after="0" w:before="0" w:line="240"/>
            </w:pPr>
            <w:r>
              <w:rPr>
                <w:rFonts w:ascii="Consolas" w:cs="Consolas" w:eastAsia="Consolas" w:hAnsi="Consolas"/>
                <w:color w:val="111111"/>
                <w:sz w:val="18"/>
                <w:szCs w:val="18"/>
              </w:rPr>
              <w:t xml:space="preserve">    … 41 AIO rows total …</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w:t>
            </w:r>
          </w:p>
        </w:tc>
      </w:tr>
    </w:tbl>
    <w:p>
      <w:pPr>
        <w:spacing w:after="60" w:before="60" w:line="280"/>
        <w:jc w:val="left"/>
      </w:pPr>
      <w:r>
        <w:rPr>
          <w:rFonts w:ascii="Calibri" w:cs="Calibri" w:eastAsia="Calibri" w:hAnsi="Calibri"/>
          <w:b w:val="false"/>
          <w:bCs w:val="false"/>
          <w:i w:val="false"/>
          <w:iCs w:val="false"/>
          <w:color w:val="1A1A1A"/>
          <w:sz w:val="21"/>
          <w:szCs w:val="21"/>
        </w:rPr>
        <w:t xml:space="preserve">This envelope is the entire LLM input (alongside the cached system prompt). The model is explicitly instructed to treat the priors as framing rather than ground truth, and to derive its answer from the AIO scope.</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§6.  </w:t>
      </w:r>
      <w:r>
        <w:rPr>
          <w:rFonts w:ascii="Calibri" w:cs="Calibri" w:eastAsia="Calibri" w:hAnsi="Calibri"/>
          <w:b/>
          <w:bCs/>
          <w:color w:val="1F3864"/>
          <w:sz w:val="32"/>
          <w:szCs w:val="32"/>
        </w:rPr>
        <w:t xml:space="preserve">LLM Output — Verbatim</w:t>
      </w:r>
    </w:p>
    <w:p>
      <w:pPr>
        <w:spacing w:after="60" w:before="60" w:line="280"/>
        <w:jc w:val="left"/>
      </w:pPr>
      <w:r>
        <w:rPr>
          <w:rFonts w:ascii="Calibri" w:cs="Calibri" w:eastAsia="Calibri" w:hAnsi="Calibri"/>
          <w:b w:val="false"/>
          <w:bCs w:val="false"/>
          <w:i w:val="false"/>
          <w:iCs w:val="false"/>
          <w:color w:val="1A1A1A"/>
          <w:sz w:val="21"/>
          <w:szCs w:val="21"/>
        </w:rPr>
        <w:t xml:space="preserve">The model produced a structured reply identifying James Okafor's four roles (Estimator, Project Manager, Superintendent, Reviewed By) with per-role project tables and financial subtotals. The format mirrors the Sarah Mitchell prior in §2.2 — confirming the prior-as-framing mechanism: the model adopted the prior's section structure and applied it to the new entity.</w:t>
      </w:r>
    </w:p>
    <w:p>
      <w:pPr>
        <w:spacing w:after="60" w:before="60" w:line="280"/>
        <w:jc w:val="left"/>
      </w:pPr>
      <w:r>
        <w:rPr>
          <w:rFonts w:ascii="Calibri" w:cs="Calibri" w:eastAsia="Calibri" w:hAnsi="Calibri"/>
          <w:b w:val="false"/>
          <w:bCs w:val="false"/>
          <w:i w:val="false"/>
          <w:iCs w:val="false"/>
          <w:color w:val="1A1A1A"/>
          <w:sz w:val="21"/>
          <w:szCs w:val="21"/>
        </w:rPr>
        <w:t xml:space="preserve">The reply was then persisted as a new MRO and back-pointers were written to all 14 matched HSLs via linkMroToHsl. On a subsequent identical query, that MRO would short-circuit at score ≥ 0.85 and the entire pipeline above would be replaced by a single SELECT against mro_objects.</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§7.  </w:t>
      </w:r>
      <w:r>
        <w:rPr>
          <w:rFonts w:ascii="Calibri" w:cs="Calibri" w:eastAsia="Calibri" w:hAnsi="Calibri"/>
          <w:b/>
          <w:bCs/>
          <w:color w:val="1F3864"/>
          <w:sz w:val="32"/>
          <w:szCs w:val="32"/>
        </w:rPr>
        <w:t xml:space="preserve">Reproducing This Trace</w:t>
      </w:r>
    </w:p>
    <w:p>
      <w:pPr>
        <w:spacing w:after="60" w:before="60" w:line="280"/>
        <w:jc w:val="left"/>
      </w:pPr>
      <w:r>
        <w:rPr>
          <w:rFonts w:ascii="Calibri" w:cs="Calibri" w:eastAsia="Calibri" w:hAnsi="Calibri"/>
          <w:b w:val="false"/>
          <w:bCs w:val="false"/>
          <w:i w:val="false"/>
          <w:iCs w:val="false"/>
          <w:color w:val="1A1A1A"/>
          <w:sz w:val="21"/>
          <w:szCs w:val="21"/>
        </w:rPr>
        <w:t xml:space="preserve">The trace was produced by scripts/trace_recall.ts, which:</w:t>
      </w:r>
    </w:p>
    <w:p>
      <w:pPr>
        <w:spacing w:after="40" w:before="40" w:line="280"/>
        <w:ind w:left="720" w:hanging="360"/>
      </w:pPr>
      <w:r>
        <w:rPr>
          <w:rFonts w:ascii="Calibri" w:cs="Calibri" w:eastAsia="Calibri" w:hAnsi="Calibri"/>
          <w:color w:val="1A1A1A"/>
          <w:sz w:val="21"/>
          <w:szCs w:val="21"/>
        </w:rPr>
        <w:t xml:space="preserve">•   Imports lib/aio-chat-pipeline.ts and runs the pipeline end-to-end against the production Railway deployment.</w:t>
      </w:r>
    </w:p>
    <w:p>
      <w:pPr>
        <w:spacing w:after="40" w:before="40" w:line="280"/>
        <w:ind w:left="720" w:hanging="360"/>
      </w:pPr>
      <w:r>
        <w:rPr>
          <w:rFonts w:ascii="Calibri" w:cs="Calibri" w:eastAsia="Calibri" w:hAnsi="Calibri"/>
          <w:color w:val="1A1A1A"/>
          <w:sz w:val="21"/>
          <w:szCs w:val="21"/>
        </w:rPr>
        <w:t xml:space="preserve">•   Captures every intermediate result (MRO probe, cue set, HSL matches, AIO neighborhood, substrate envelope, LLM reply) into a JSON artifact.</w:t>
      </w:r>
    </w:p>
    <w:p>
      <w:pPr>
        <w:spacing w:after="40" w:before="40" w:line="280"/>
        <w:ind w:left="720" w:hanging="360"/>
      </w:pPr>
      <w:r>
        <w:rPr>
          <w:rFonts w:ascii="Calibri" w:cs="Calibri" w:eastAsia="Calibri" w:hAnsi="Calibri"/>
          <w:color w:val="1A1A1A"/>
          <w:sz w:val="21"/>
          <w:szCs w:val="21"/>
        </w:rPr>
        <w:t xml:space="preserve">•   Bypasses the MRO short-circuit so the full pipeline always runs (the script sets a Force-fresh-equivalent flag).</w:t>
      </w:r>
    </w:p>
    <w:p>
      <w:pPr>
        <w:spacing w:after="40" w:before="40" w:line="280"/>
        <w:ind w:left="720" w:hanging="360"/>
      </w:pPr>
      <w:r>
        <w:rPr>
          <w:rFonts w:ascii="Calibri" w:cs="Calibri" w:eastAsia="Calibri" w:hAnsi="Calibri"/>
          <w:color w:val="1A1A1A"/>
          <w:sz w:val="21"/>
          <w:szCs w:val="21"/>
        </w:rPr>
        <w:t xml:space="preserve">•   Re-formats the JSON artifact into this document — the source of truth for the numbers above is the JSON, not this docx.</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§8.  </w:t>
      </w:r>
      <w:r>
        <w:rPr>
          <w:rFonts w:ascii="Calibri" w:cs="Calibri" w:eastAsia="Calibri" w:hAnsi="Calibri"/>
          <w:b/>
          <w:bCs/>
          <w:color w:val="1F3864"/>
          <w:sz w:val="32"/>
          <w:szCs w:val="32"/>
        </w:rPr>
        <w:t xml:space="preserve">Takeaway</w:t>
      </w:r>
    </w:p>
    <w:p>
      <w:pPr>
        <w:spacing w:after="60" w:before="60" w:line="280"/>
        <w:jc w:val="left"/>
      </w:pPr>
      <w:r>
        <w:rPr>
          <w:rFonts w:ascii="Calibri" w:cs="Calibri" w:eastAsia="Calibri" w:hAnsi="Calibri"/>
          <w:b w:val="false"/>
          <w:bCs w:val="false"/>
          <w:i w:val="false"/>
          <w:iCs w:val="false"/>
          <w:color w:val="1A1A1A"/>
          <w:sz w:val="21"/>
          <w:szCs w:val="21"/>
        </w:rPr>
        <w:t xml:space="preserve">This trace demonstrates the three structural properties that make Recall efficient at scale:</w:t>
      </w:r>
    </w:p>
    <w:p>
      <w:pPr>
        <w:spacing w:after="40" w:before="40" w:line="280"/>
        <w:ind w:left="720" w:hanging="360"/>
      </w:pPr>
      <w:r>
        <w:rPr>
          <w:rFonts w:ascii="Calibri" w:cs="Calibri" w:eastAsia="Calibri" w:hAnsi="Calibri"/>
          <w:color w:val="1A1A1A"/>
          <w:sz w:val="21"/>
          <w:szCs w:val="21"/>
        </w:rPr>
        <w:t xml:space="preserve">•   Determinism. 149 cues from 589 AIOs is reproducible — same query, same data, same cue set, every time.</w:t>
      </w:r>
    </w:p>
    <w:p>
      <w:pPr>
        <w:spacing w:after="40" w:before="40" w:line="280"/>
        <w:ind w:left="720" w:hanging="360"/>
      </w:pPr>
      <w:r>
        <w:rPr>
          <w:rFonts w:ascii="Calibri" w:cs="Calibri" w:eastAsia="Calibri" w:hAnsi="Calibri"/>
          <w:color w:val="1A1A1A"/>
          <w:sz w:val="21"/>
          <w:szCs w:val="21"/>
        </w:rPr>
        <w:t xml:space="preserve">•   Bounded LLM input. ≈ 41 AIOs reach the LLM regardless of corpus size, because pruning happens at the cue → HSL → AIO graph level, not as a post-hoc context truncation.</w:t>
      </w:r>
    </w:p>
    <w:p>
      <w:pPr>
        <w:spacing w:after="40" w:before="40" w:line="280"/>
        <w:ind w:left="720" w:hanging="360"/>
      </w:pPr>
      <w:r>
        <w:rPr>
          <w:rFonts w:ascii="Calibri" w:cs="Calibri" w:eastAsia="Calibri" w:hAnsi="Calibri"/>
          <w:color w:val="1A1A1A"/>
          <w:sz w:val="21"/>
          <w:szCs w:val="21"/>
        </w:rPr>
        <w:t xml:space="preserve">•   Memory reuse. Three priors from a structurally-similar question were injected as framing, helping the LLM produce a stable output format. The new MRO becomes a prior for the next query.</w:t>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80" w:before="320"/>
      </w:pPr>
      <w:r>
        <w:t xml:space="preserve"/>
      </w:r>
    </w:p>
    <w:p>
      <w:pPr>
        <w:spacing w:after="60" w:before="60" w:line="280"/>
        <w:jc w:val="center"/>
      </w:pPr>
      <w:r>
        <w:rPr>
          <w:rFonts w:ascii="Calibri" w:cs="Calibri" w:eastAsia="Calibri" w:hAnsi="Calibri"/>
          <w:b w:val="false"/>
          <w:bCs w:val="false"/>
          <w:i/>
          <w:iCs/>
          <w:color w:val="2E5090"/>
          <w:sz w:val="20"/>
          <w:szCs w:val="20"/>
        </w:rPr>
        <w:t xml:space="preserve">End of document.</w:t>
      </w:r>
    </w:p>
    <w:p>
      <w:pPr>
        <w:spacing w:after="0" w:before="60" w:line="280"/>
        <w:jc w:val="center"/>
      </w:pPr>
      <w:r>
        <w:rPr>
          <w:rFonts w:ascii="Calibri" w:cs="Calibri" w:eastAsia="Calibri" w:hAnsi="Calibri"/>
          <w:b w:val="false"/>
          <w:bCs w:val="false"/>
          <w:i/>
          <w:iCs/>
          <w:color w:val="808080"/>
          <w:sz w:val="16"/>
          <w:szCs w:val="16"/>
        </w:rPr>
        <w:t xml:space="preserve">InformationPhysics.ai, LLC  ·  V4.5  ·  April 2026</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09853" w:sz="6" w:space="1"/>
      </w:pBdr>
      <w:tabs>
        <w:tab w:val="right" w:pos="9360"/>
      </w:tabs>
      <w:spacing w:after="0" w:before="0"/>
    </w:pPr>
    <w:r>
      <w:rPr>
        <w:rFonts w:ascii="Calibri" w:cs="Calibri" w:eastAsia="Calibri" w:hAnsi="Calibri"/>
        <w:color w:val="808080"/>
        <w:sz w:val="16"/>
        <w:szCs w:val="16"/>
      </w:rPr>
      <w:t xml:space="preserve">InformationPhysics.ai, LLC</w:t>
    </w:r>
    <w:r>
      <w:rPr>
        <w:sz w:val="16"/>
        <w:szCs w:val="16"/>
      </w:rPr>
      <w:t xml:space="preserve">	</w:t>
    </w:r>
    <w:r>
      <w:rPr>
        <w:rFonts w:ascii="Calibri" w:cs="Calibri" w:eastAsia="Calibri" w:hAnsi="Calibri"/>
        <w:color w:val="808080"/>
        <w:sz w:val="16"/>
        <w:szCs w:val="16"/>
      </w:rPr>
      <w:t xml:space="preserve">Page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9853" w:sz="6" w:space="1"/>
      </w:pBdr>
      <w:tabs>
        <w:tab w:val="right" w:pos="9360"/>
      </w:tabs>
      <w:spacing w:after="0" w:before="0"/>
    </w:pPr>
    <w:r>
      <w:rPr>
        <w:rFonts w:ascii="Calibri" w:cs="Calibri" w:eastAsia="Calibri" w:hAnsi="Calibri"/>
        <w:b/>
        <w:bCs/>
        <w:color w:val="1F3864"/>
        <w:sz w:val="17"/>
        <w:szCs w:val="17"/>
      </w:rPr>
      <w:t xml:space="preserve">InformationPhysics.ai</w:t>
    </w:r>
    <w:r>
      <w:rPr>
        <w:color w:val="808080"/>
        <w:sz w:val="17"/>
        <w:szCs w:val="17"/>
      </w:rPr>
      <w:t xml:space="preserve">  ·  </w:t>
    </w:r>
    <w:r>
      <w:rPr>
        <w:rFonts w:ascii="Calibri" w:cs="Calibri" w:eastAsia="Calibri" w:hAnsi="Calibri"/>
        <w:i/>
        <w:iCs/>
        <w:color w:val="2E5090"/>
        <w:sz w:val="17"/>
        <w:szCs w:val="17"/>
      </w:rPr>
      <w:t xml:space="preserve">Recall Trace — James Okafor</w:t>
    </w:r>
    <w:r>
      <w:rPr>
        <w:sz w:val="17"/>
        <w:szCs w:val="17"/>
      </w:rPr>
      <w:t xml:space="preserve">	</w:t>
    </w:r>
    <w:r>
      <w:rPr>
        <w:rFonts w:ascii="Calibri" w:cs="Calibri" w:eastAsia="Calibri" w:hAnsi="Calibri"/>
        <w:b/>
        <w:bCs/>
        <w:color w:val="C09853"/>
        <w:sz w:val="17"/>
        <w:szCs w:val="17"/>
      </w:rPr>
      <w:t xml:space="preserve">V4.5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line="300"/>
      <w:outlineLvl w:val="1"/>
    </w:pPr>
    <w:rPr>
      <w:rFonts w:ascii="Calibri" w:cs="Calibri" w:eastAsia="Calibri" w:hAnsi="Calibri"/>
      <w:b/>
      <w:bCs/>
      <w:color w:val="2E509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Trace — James Okafor</dc:title>
  <dc:creator>Information Physics — ChatAIO Engineering</dc:creator>
  <dc:description>Recall Trace — James Okafor — V4.5</dc:description>
  <cp:lastModifiedBy>Un-named</cp:lastModifiedBy>
  <cp:revision>1</cp:revision>
  <dcterms:created xsi:type="dcterms:W3CDTF">2026-04-30T19:37:54.672Z</dcterms:created>
  <dcterms:modified xsi:type="dcterms:W3CDTF">2026-04-30T19:37:54.672Z</dcterms:modified>
</cp:coreProperties>
</file>

<file path=docProps/custom.xml><?xml version="1.0" encoding="utf-8"?>
<Properties xmlns="http://schemas.openxmlformats.org/officeDocument/2006/custom-properties" xmlns:vt="http://schemas.openxmlformats.org/officeDocument/2006/docPropsVTypes"/>
</file>