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60"/>
        <w:jc w:val="center"/>
      </w:pPr>
      <w:r>
        <w:rPr>
          <w:rFonts w:ascii="Calibri" w:cs="Calibri" w:eastAsia="Calibri" w:hAnsi="Calibri"/>
          <w:b/>
          <w:bCs/>
          <w:i w:val="false"/>
          <w:iCs w:val="false"/>
          <w:color w:val="2E5090"/>
          <w:sz w:val="20"/>
          <w:szCs w:val="20"/>
        </w:rPr>
        <w:t xml:space="preserve">CONFIDENTIAL — Trade Secret Reference</w:t>
      </w:r>
    </w:p>
    <w:p>
      <w:pPr>
        <w:spacing w:after="60" w:before="60"/>
        <w:jc w:val="center"/>
      </w:pPr>
      <w:r>
        <w:rPr>
          <w:rFonts w:ascii="Calibri" w:cs="Calibri" w:eastAsia="Calibri" w:hAnsi="Calibri"/>
          <w:b/>
          <w:bCs/>
          <w:i w:val="false"/>
          <w:iCs w:val="false"/>
          <w:color w:val="1F3864"/>
          <w:sz w:val="36"/>
          <w:szCs w:val="36"/>
        </w:rPr>
        <w:t xml:space="preserve">Information Physics — ChatAIO</w:t>
      </w:r>
    </w:p>
    <w:p>
      <w:pPr>
        <w:spacing w:after="60" w:before="60"/>
        <w:jc w:val="center"/>
      </w:pPr>
      <w:r>
        <w:rPr>
          <w:rFonts w:ascii="Calibri" w:cs="Calibri" w:eastAsia="Calibri" w:hAnsi="Calibri"/>
          <w:b/>
          <w:bCs/>
          <w:i w:val="false"/>
          <w:iCs w:val="false"/>
          <w:color w:val="1F3864"/>
          <w:sz w:val="32"/>
          <w:szCs w:val="32"/>
        </w:rPr>
        <w:t xml:space="preserve">Cue Extraction — Technical Process Declaration</w:t>
      </w:r>
    </w:p>
    <w:p>
      <w:pPr>
        <w:spacing w:after="220" w:before="60"/>
        <w:jc w:val="center"/>
      </w:pPr>
      <w:r>
        <w:rPr>
          <w:rFonts w:ascii="Calibri" w:cs="Calibri" w:eastAsia="Calibri" w:hAnsi="Calibri"/>
          <w:b w:val="false"/>
          <w:bCs w:val="false"/>
          <w:i/>
          <w:iCs/>
          <w:color w:val="2E5090"/>
          <w:sz w:val="22"/>
          <w:szCs w:val="22"/>
        </w:rPr>
        <w:t xml:space="preserve">Deterministic query → element-cue translation, HSL gating, and trigram-tolerant retrieval</w:t>
      </w:r>
    </w:p>
    <w:p>
      <w:pPr>
        <w:spacing w:after="60" w:before="60"/>
        <w:jc w:val="center"/>
      </w:pPr>
      <w:r>
        <w:rPr>
          <w:rFonts w:ascii="Calibri" w:cs="Calibri" w:eastAsia="Calibri" w:hAnsi="Calibri"/>
          <w:b w:val="false"/>
          <w:bCs w:val="false"/>
          <w:i/>
          <w:iCs/>
          <w:color w:val="2E5090"/>
          <w:sz w:val="20"/>
          <w:szCs w:val="20"/>
        </w:rPr>
        <w:t xml:space="preserve">V4.5 · April 2026</w:t>
      </w:r>
    </w:p>
    <w:p>
      <w:pPr>
        <w:spacing w:after="320" w:before="60"/>
        <w:jc w:val="center"/>
      </w:pPr>
      <w:r>
        <w:rPr>
          <w:rFonts w:ascii="Calibri" w:cs="Calibri" w:eastAsia="Calibri" w:hAnsi="Calibri"/>
          <w:b w:val="false"/>
          <w:bCs w:val="false"/>
          <w:i/>
          <w:iCs/>
          <w:color w:val="606060"/>
          <w:sz w:val="18"/>
          <w:szCs w:val="18"/>
        </w:rPr>
        <w:t xml:space="preserve">Subject to NDA on file. Not for redistribution.</w:t>
      </w:r>
    </w:p>
    <w:p>
      <w:r>
        <w:br w:type="page"/>
      </w:r>
    </w:p>
    <w:p>
      <w:pPr>
        <w:pStyle w:val="Heading1"/>
        <w:spacing w:after="140" w:before="280"/>
      </w:pPr>
      <w:r>
        <w:rPr>
          <w:rFonts w:ascii="Calibri" w:cs="Calibri" w:eastAsia="Calibri" w:hAnsi="Calibri"/>
          <w:b/>
          <w:bCs/>
          <w:color w:val="1F3864"/>
          <w:sz w:val="32"/>
          <w:szCs w:val="32"/>
        </w:rPr>
        <w:t xml:space="preserve">1. Scope and Audience</w:t>
      </w:r>
    </w:p>
    <w:p>
      <w:pPr>
        <w:spacing w:after="60" w:before="60"/>
        <w:jc w:val="left"/>
      </w:pPr>
      <w:r>
        <w:rPr>
          <w:rFonts w:ascii="Calibri" w:cs="Calibri" w:eastAsia="Calibri" w:hAnsi="Calibri"/>
          <w:b w:val="false"/>
          <w:bCs w:val="false"/>
          <w:i w:val="false"/>
          <w:iCs w:val="false"/>
          <w:color w:val="000000"/>
          <w:sz w:val="20"/>
          <w:szCs w:val="20"/>
        </w:rPr>
        <w:t xml:space="preserve">This document is the authoritative engineering description of the cue-extraction stage of the ChatAIO retrieval pipeline as shipped in V4.5. It declares the algorithm by which a natural-language query is translated into a deterministic set of bracket-notation Element Cues, and the downstream gating steps those cues drive: HSL pointer-index resolution, AIO neighborhood scoping, ranking, dedup, and substrate assembly. It supersedes any earlier description of the cue path and is the primary reference for engineering changes to the retrieval substrate.</w:t>
      </w:r>
    </w:p>
    <w:p>
      <w:pPr>
        <w:spacing w:after="60" w:before="60"/>
        <w:jc w:val="left"/>
      </w:pPr>
      <w:r>
        <w:rPr>
          <w:rFonts w:ascii="Calibri" w:cs="Calibri" w:eastAsia="Calibri" w:hAnsi="Calibri"/>
          <w:b w:val="false"/>
          <w:bCs w:val="false"/>
          <w:i w:val="false"/>
          <w:iCs w:val="false"/>
          <w:color w:val="000000"/>
          <w:sz w:val="20"/>
          <w:szCs w:val="20"/>
        </w:rPr>
        <w:t xml:space="preserve">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Role</w:t>
            </w:r>
          </w:p>
        </w:tc>
        <w:tc>
          <w:tcPr>
            <w:tcW w:type="dxa" w:w="7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Use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Engineering</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Authoritative algorithm spec — anything that contradicts this file should be reconciled here first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Operations / Demo</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Diagnostic vocabulary for explaining why a given query produces a given retrieval set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Reviewers / Counsel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Identifies the trade-secret invariants that distinguish the substrate from a conventional embedding-RAG implementation</w:t>
            </w:r>
          </w:p>
        </w:tc>
      </w:tr>
    </w:tbl>
    <w:p>
      <w:pPr>
        <w:pStyle w:val="Heading1"/>
        <w:spacing w:after="140" w:before="280"/>
      </w:pPr>
      <w:r>
        <w:rPr>
          <w:rFonts w:ascii="Calibri" w:cs="Calibri" w:eastAsia="Calibri" w:hAnsi="Calibri"/>
          <w:b/>
          <w:bCs/>
          <w:color w:val="1F3864"/>
          <w:sz w:val="32"/>
          <w:szCs w:val="32"/>
        </w:rPr>
        <w:t xml:space="preserve">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Term</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Meaning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AIO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Associated Information Object — a bracket-notation record [Key.Value][Key.Value]… representing a single observation. Stored row-per-AIO in aio_data with up to 50 element columns.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HSL</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Hyper-Semantic Layer record — a relational pointer table whose name encodes a [Key.Value] anchor and whose member list points to AIOs sharing that anchor. Stored in hsl_data + hsl_member.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MRO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Memory Result Object — a persisted retrieval episode { query, cue_set, seed_hsls, result_text, trust_score, … }. Used both as a short-circuit cache and as a prior-episode hint for fresh retrievals.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Element Cue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 3-tuple (Key, Value, raw) where raw = `[Key.Value]` or `[Key.*]`. Drives every downstream lookup. Pure data — no LLM call required to produce.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Cue Set K</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Unordered, deduplicated collection of Element Cues extracted from one query. Sized typically 10–200 for natural-language queries against a 500–1,000 AIO corpus.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Canonical Field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Output of canonicalField(key) — folds equivalent header spellings (Project_ID, Project ID, Projects Assigned, Applicable Projects) onto a single key so cross-CSV joins stop fragmenting.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Information Element Refs (IER)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Postgres inverted index keyed on (tenant_id, field_name, value_lower) → (hsl_id|aio_id). Backs find-by-needles-full and is the primary substrate for cue → HSL lookup.</w:t>
            </w:r>
          </w:p>
        </w:tc>
      </w:tr>
    </w:tbl>
    <w:p>
      <w:pPr>
        <w:pStyle w:val="Heading1"/>
        <w:spacing w:after="140" w:before="280"/>
      </w:pPr>
      <w:r>
        <w:rPr>
          <w:rFonts w:ascii="Calibri" w:cs="Calibri" w:eastAsia="Calibri" w:hAnsi="Calibri"/>
          <w:b/>
          <w:bCs/>
          <w:color w:val="1F3864"/>
          <w:sz w:val="32"/>
          <w:szCs w:val="32"/>
        </w:rPr>
        <w:t xml:space="preserve">3. Position in the Pipeline</w:t>
      </w:r>
    </w:p>
    <w:p>
      <w:pPr>
        <w:spacing w:after="60" w:before="60"/>
        <w:jc w:val="left"/>
      </w:pPr>
      <w:r>
        <w:rPr>
          <w:rFonts w:ascii="Calibri" w:cs="Calibri" w:eastAsia="Calibri" w:hAnsi="Calibri"/>
          <w:b w:val="false"/>
          <w:bCs w:val="false"/>
          <w:i w:val="false"/>
          <w:iCs w:val="false"/>
          <w:color w:val="000000"/>
          <w:sz w:val="20"/>
          <w:szCs w:val="20"/>
        </w:rPr>
        <w:t xml:space="preserve">Cue extraction sits between query parse and retrieval. It is purely deterministic: given the same corpus, vocabulary, and query string, it produces the same Cue Set on every invocation. No LLM is consulted. This is a load-bearing property — every test, every benchmark, and every reproducibility audit relies on it.</w:t>
      </w:r>
    </w:p>
    <w:p>
      <w:pPr>
        <w:shd w:fill="F2F2F2" w:val="clear"/>
        <w:spacing w:after="80" w:before="80"/>
      </w:pPr>
      <w:r>
        <w:rPr>
          <w:rFonts w:ascii="Consolas" w:cs="Consolas" w:eastAsia="Consolas" w:hAnsi="Consolas"/>
          <w:color w:val="111111"/>
          <w:sz w:val="17"/>
          <w:szCs w:val="17"/>
        </w:rPr>
        <w:t xml:space="preserve">  query (string)
    │
    ▼
  ┌─────────────────────────────────────────────┐
  │ 1. Cue Extraction  (lib/aio-math.ts)        │   ← THIS DOCUMENT
  │      extractCues(query, fields, vocab,      │
  │                  hslKeyValuePairs)          │
  └─────────────────────────────────────────────┘
    │  Cue Set K
    ▼
  2. HSL Resolution     (find-by-needles-full)
  3. AIO Scope Union    (HSL pointers ∪ needle scan)
  4. Rank + Cap         (HSL boost + diversifyByCSV)
  5. Jaccard Dedup      (substrate trim)
  6. Substrate Assembly (priors + scope + cues)
  7. LLM call           (substrate-chat / aio-search / chat / pure-llm)</w:t>
      </w:r>
    </w:p>
    <w:p>
      <w:pPr>
        <w:pStyle w:val="Heading1"/>
        <w:spacing w:after="140" w:before="280"/>
      </w:pPr>
      <w:r>
        <w:rPr>
          <w:rFonts w:ascii="Calibri" w:cs="Calibri" w:eastAsia="Calibri" w:hAnsi="Calibri"/>
          <w:b/>
          <w:bCs/>
          <w:color w:val="1F3864"/>
          <w:sz w:val="32"/>
          <w:szCs w:val="32"/>
        </w:rPr>
        <w:t xml:space="preserve">4. The Cue Extraction Algorithm</w:t>
      </w:r>
    </w:p>
    <w:p>
      <w:pPr>
        <w:spacing w:after="60" w:before="60"/>
        <w:jc w:val="left"/>
      </w:pPr>
      <w:r>
        <w:rPr>
          <w:rFonts w:ascii="Calibri" w:cs="Calibri" w:eastAsia="Calibri" w:hAnsi="Calibri"/>
          <w:b w:val="false"/>
          <w:bCs w:val="false"/>
          <w:i w:val="false"/>
          <w:iCs w:val="false"/>
          <w:color w:val="000000"/>
          <w:sz w:val="20"/>
          <w:szCs w:val="20"/>
        </w:rPr>
        <w:t xml:space="preserve">extractCues runs four passes in fixed order over a normalized query. Earlier passes shadow later ones via a deduplication set keyed on the canonical raw form `[Key.Value]`. Output is a List&lt;ElementCue&gt; in pass-emission order, which becomes the input order for downstream ranking.</w:t>
      </w:r>
    </w:p>
    <w:p>
      <w:pPr>
        <w:pStyle w:val="Heading2"/>
        <w:spacing w:after="100" w:before="220"/>
      </w:pPr>
      <w:r>
        <w:rPr>
          <w:rFonts w:ascii="Calibri" w:cs="Calibri" w:eastAsia="Calibri" w:hAnsi="Calibri"/>
          <w:b/>
          <w:bCs/>
          <w:color w:val="2E5090"/>
          <w:sz w:val="26"/>
          <w:szCs w:val="26"/>
        </w:rPr>
        <w:t xml:space="preserve">4.1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Input</w:t>
            </w:r>
          </w:p>
        </w:tc>
        <w:tc>
          <w:tcPr>
            <w:tcW w:type="dxa" w:w="6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Source / Use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query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The user's natural-language string. Lower-cased and trimmed before processing.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fieldNames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Distinct field names observed across the AIO corpus (e.g. "Project Name", "Status", "Submitted By"). Used by Pass 1b for key-anchored matches.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valueVocabulary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Set of every distinct value observed across the corpus. Used by Pass 1c as a fallback substring-match source.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hslKeyValuePairs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Catalog of (Key, Value) pairs from the HSL topology — sourced via /v1/hsl-data/key-value-pairs. Lets Pass 1b' emit cues with their concrete key rather than a wildcard.</w:t>
            </w:r>
          </w:p>
        </w:tc>
      </w:tr>
    </w:tbl>
    <w:p>
      <w:pPr>
        <w:pStyle w:val="Heading2"/>
        <w:spacing w:after="100" w:before="220"/>
      </w:pPr>
      <w:r>
        <w:rPr>
          <w:rFonts w:ascii="Calibri" w:cs="Calibri" w:eastAsia="Calibri" w:hAnsi="Calibri"/>
          <w:b/>
          <w:bCs/>
          <w:color w:val="2E5090"/>
          <w:sz w:val="26"/>
          <w:szCs w:val="26"/>
        </w:rPr>
        <w:t xml:space="preserve">4.2 Output</w:t>
      </w:r>
    </w:p>
    <w:p>
      <w:pPr>
        <w:spacing w:after="60" w:before="60"/>
        <w:jc w:val="left"/>
      </w:pPr>
      <w:r>
        <w:rPr>
          <w:rFonts w:ascii="Calibri" w:cs="Calibri" w:eastAsia="Calibri" w:hAnsi="Calibri"/>
          <w:b w:val="false"/>
          <w:bCs w:val="false"/>
          <w:i w:val="false"/>
          <w:iCs w:val="false"/>
          <w:color w:val="000000"/>
          <w:sz w:val="20"/>
          <w:szCs w:val="20"/>
        </w:rPr>
        <w:t xml:space="preserve">Each ElementCue carries:</w:t>
      </w:r>
    </w:p>
    <w:p>
      <w:pPr>
        <w:shd w:fill="F2F2F2" w:val="clear"/>
        <w:spacing w:after="80" w:before="80"/>
      </w:pPr>
      <w:r>
        <w:rPr>
          <w:rFonts w:ascii="Consolas" w:cs="Consolas" w:eastAsia="Consolas" w:hAnsi="Consolas"/>
          <w:color w:val="111111"/>
          <w:sz w:val="17"/>
          <w:szCs w:val="17"/>
        </w:rPr>
        <w:t xml:space="preserve">interface ElementCue {
  key:   string                  // canonical field name, or "*" wildcard
  value: string | undefined      // observed value, or undefined for key-only
  raw:   string                  // canonical [Key.Value] or [Key.*]
}</w:t>
      </w:r>
    </w:p>
    <w:p>
      <w:pPr>
        <w:pStyle w:val="Heading2"/>
        <w:spacing w:after="100" w:before="220"/>
      </w:pPr>
      <w:r>
        <w:rPr>
          <w:rFonts w:ascii="Calibri" w:cs="Calibri" w:eastAsia="Calibri" w:hAnsi="Calibri"/>
          <w:b/>
          <w:bCs/>
          <w:color w:val="2E5090"/>
          <w:sz w:val="26"/>
          <w:szCs w:val="26"/>
        </w:rPr>
        <w:t xml:space="preserve">4.3 Pass 1a — Bracket Phrase Match</w:t>
      </w:r>
    </w:p>
    <w:p>
      <w:pPr>
        <w:spacing w:after="60" w:before="60"/>
        <w:jc w:val="left"/>
      </w:pPr>
      <w:r>
        <w:rPr>
          <w:rFonts w:ascii="Calibri" w:cs="Calibri" w:eastAsia="Calibri" w:hAnsi="Calibri"/>
          <w:b w:val="false"/>
          <w:bCs w:val="false"/>
          <w:i w:val="false"/>
          <w:iCs w:val="false"/>
          <w:color w:val="000000"/>
          <w:sz w:val="20"/>
          <w:szCs w:val="20"/>
        </w:rPr>
        <w:t xml:space="preserve">Captures literal bracket-notation phrases the operator pasted into the query ("every record matching [Status.Open]"). Strict regex — single bracket pair, no nested brackets, key and value separated by a single dot.</w:t>
      </w:r>
    </w:p>
    <w:p>
      <w:pPr>
        <w:shd w:fill="F2F2F2" w:val="clear"/>
        <w:spacing w:after="80" w:before="80"/>
      </w:pPr>
      <w:r>
        <w:rPr>
          <w:rFonts w:ascii="Consolas" w:cs="Consolas" w:eastAsia="Consolas" w:hAnsi="Consolas"/>
          <w:color w:val="111111"/>
          <w:sz w:val="17"/>
          <w:szCs w:val="17"/>
        </w:rPr>
        <w:t xml:space="preserve">/\[([^\].]+)\.([^\]]+)\]/g</w:t>
      </w:r>
    </w:p>
    <w:p>
      <w:pPr>
        <w:spacing w:after="60" w:before="60"/>
        <w:jc w:val="left"/>
      </w:pPr>
      <w:r>
        <w:rPr>
          <w:rFonts w:ascii="Calibri" w:cs="Calibri" w:eastAsia="Calibri" w:hAnsi="Calibri"/>
          <w:b w:val="false"/>
          <w:bCs w:val="false"/>
          <w:i w:val="false"/>
          <w:iCs w:val="false"/>
          <w:color w:val="000000"/>
          <w:sz w:val="20"/>
          <w:szCs w:val="20"/>
        </w:rPr>
        <w:t xml:space="preserve">Emits one cue per match. Highest-priority pass: a literal bracket cue cannot be displaced or wildcarded by later passes.</w:t>
      </w:r>
    </w:p>
    <w:p>
      <w:pPr>
        <w:pStyle w:val="Heading2"/>
        <w:spacing w:after="100" w:before="220"/>
      </w:pPr>
      <w:r>
        <w:rPr>
          <w:rFonts w:ascii="Calibri" w:cs="Calibri" w:eastAsia="Calibri" w:hAnsi="Calibri"/>
          <w:b/>
          <w:bCs/>
          <w:color w:val="2E5090"/>
          <w:sz w:val="26"/>
          <w:szCs w:val="26"/>
        </w:rPr>
        <w:t xml:space="preserve">4.4 Pass 1b — Field-Name Anchored Match</w:t>
      </w:r>
    </w:p>
    <w:p>
      <w:pPr>
        <w:spacing w:after="60" w:before="60"/>
        <w:jc w:val="left"/>
      </w:pPr>
      <w:r>
        <w:rPr>
          <w:rFonts w:ascii="Calibri" w:cs="Calibri" w:eastAsia="Calibri" w:hAnsi="Calibri"/>
          <w:b w:val="false"/>
          <w:bCs w:val="false"/>
          <w:i w:val="false"/>
          <w:iCs w:val="false"/>
          <w:color w:val="000000"/>
          <w:sz w:val="20"/>
          <w:szCs w:val="20"/>
        </w:rPr>
        <w:t xml:space="preserve">Walks the corpus field-name directory. For each known field that appears as a substring of the query, emits a cue. If the 80 chars after the field name in the query contain a `:` or `=` followed by a quoted or alphanumeric token, that token is captured as the value. Otherwise the cue is key-only `[Key.*]`.</w:t>
      </w:r>
    </w:p>
    <w:p>
      <w:pPr>
        <w:spacing w:after="60" w:before="60"/>
        <w:jc w:val="left"/>
      </w:pPr>
      <w:r>
        <w:rPr>
          <w:rFonts w:ascii="Calibri" w:cs="Calibri" w:eastAsia="Calibri" w:hAnsi="Calibri"/>
          <w:b w:val="false"/>
          <w:bCs w:val="false"/>
          <w:i w:val="false"/>
          <w:iCs w:val="false"/>
          <w:color w:val="000000"/>
          <w:sz w:val="20"/>
          <w:szCs w:val="20"/>
        </w:rPr>
        <w:t xml:space="preserve">Example: query "Status: Open vendors in Texas" → emits [Status.Open]. Query "give me the assigned to field for PRJ-003" → emits [Assigned To.*].</w:t>
      </w:r>
    </w:p>
    <w:p>
      <w:pPr>
        <w:pStyle w:val="Heading2"/>
        <w:spacing w:after="100" w:before="220"/>
      </w:pPr>
      <w:r>
        <w:rPr>
          <w:rFonts w:ascii="Calibri" w:cs="Calibri" w:eastAsia="Calibri" w:hAnsi="Calibri"/>
          <w:b/>
          <w:bCs/>
          <w:color w:val="2E5090"/>
          <w:sz w:val="26"/>
          <w:szCs w:val="26"/>
        </w:rPr>
        <w:t xml:space="preserve">4.5 Pass 1b' — HSL Catalog Forward / Reverse Match</w:t>
      </w:r>
    </w:p>
    <w:p>
      <w:pPr>
        <w:spacing w:after="60" w:before="60"/>
        <w:jc w:val="left"/>
      </w:pPr>
      <w:r>
        <w:rPr>
          <w:rFonts w:ascii="Calibri" w:cs="Calibri" w:eastAsia="Calibri" w:hAnsi="Calibri"/>
          <w:b w:val="false"/>
          <w:bCs w:val="false"/>
          <w:i w:val="false"/>
          <w:iCs w:val="false"/>
          <w:color w:val="000000"/>
          <w:sz w:val="20"/>
          <w:szCs w:val="20"/>
        </w:rPr>
        <w:t xml:space="preserve">The most precise pass. Iterates every (Key, Value) pair sourced from the HSL topology. A pair is emitted as a cue when:</w:t>
      </w:r>
    </w:p>
    <w:p>
      <w:pPr>
        <w:spacing w:after="60" w:before="60"/>
        <w:jc w:val="left"/>
      </w:pPr>
      <w:r>
        <w:rPr>
          <w:rFonts w:ascii="Calibri" w:cs="Calibri" w:eastAsia="Calibri" w:hAnsi="Calibri"/>
          <w:b w:val="false"/>
          <w:bCs w:val="false"/>
          <w:i w:val="false"/>
          <w:iCs w:val="false"/>
          <w:color w:val="000000"/>
          <w:sz w:val="20"/>
          <w:szCs w:val="20"/>
        </w:rPr>
        <w:t xml:space="preserve">  Forward — the full value string appears in the query (case-insensitive substring).</w:t>
      </w:r>
    </w:p>
    <w:p>
      <w:pPr>
        <w:spacing w:after="60" w:before="60"/>
        <w:jc w:val="left"/>
      </w:pPr>
      <w:r>
        <w:rPr>
          <w:rFonts w:ascii="Calibri" w:cs="Calibri" w:eastAsia="Calibri" w:hAnsi="Calibri"/>
          <w:b w:val="false"/>
          <w:bCs w:val="false"/>
          <w:i w:val="false"/>
          <w:iCs w:val="false"/>
          <w:color w:val="000000"/>
          <w:sz w:val="20"/>
          <w:szCs w:val="20"/>
        </w:rPr>
        <w:t xml:space="preserve">  Reverse — the full value contains any 3+-char query word as a substring.</w:t>
      </w:r>
    </w:p>
    <w:p>
      <w:pPr>
        <w:spacing w:after="60" w:before="60"/>
        <w:jc w:val="left"/>
      </w:pPr>
      <w:r>
        <w:rPr>
          <w:rFonts w:ascii="Calibri" w:cs="Calibri" w:eastAsia="Calibri" w:hAnsi="Calibri"/>
          <w:b w:val="false"/>
          <w:bCs w:val="false"/>
          <w:i w:val="false"/>
          <w:iCs w:val="false"/>
          <w:color w:val="000000"/>
          <w:sz w:val="20"/>
          <w:szCs w:val="20"/>
        </w:rPr>
        <w:t xml:space="preserve">Reverse exists because real queries reference entities by partial token ("Mitchell" → "Sarah Mitchell"). The forward check would miss this. Both directions emit a cue with the catalog's concrete key, not a wildcard. Catalog values that are emitted here are recorded in a `catalogValues` set so Pass 1c does not duplicate them with wildcard variants.</w:t>
      </w:r>
    </w:p>
    <w:p>
      <w:pPr>
        <w:spacing w:after="60" w:before="60"/>
        <w:jc w:val="left"/>
      </w:pPr>
      <w:r>
        <w:rPr>
          <w:rFonts w:ascii="Calibri" w:cs="Calibri" w:eastAsia="Calibri" w:hAnsi="Calibri"/>
          <w:b w:val="false"/>
          <w:bCs w:val="false"/>
          <w:i/>
          <w:iCs/>
          <w:color w:val="000000"/>
          <w:sz w:val="20"/>
          <w:szCs w:val="20"/>
        </w:rPr>
        <w:t xml:space="preserve">Trade-secret note: Pass 1b' is the bridge between the (deterministic) cue-extraction layer and the (precomputed) HSL topology. Without the HSL catalog, Pass 1c collapses every value match to `[*.value]` and the downstream traverseHSL step has to scan every field — O(|K|·|fields|·|aios|). With Pass 1b' the cues carry their concrete keys and traversal prunes by field equality first.</w:t>
      </w:r>
    </w:p>
    <w:p>
      <w:pPr>
        <w:pStyle w:val="Heading2"/>
        <w:spacing w:after="100" w:before="220"/>
      </w:pPr>
      <w:r>
        <w:rPr>
          <w:rFonts w:ascii="Calibri" w:cs="Calibri" w:eastAsia="Calibri" w:hAnsi="Calibri"/>
          <w:b/>
          <w:bCs/>
          <w:color w:val="2E5090"/>
          <w:sz w:val="26"/>
          <w:szCs w:val="26"/>
        </w:rPr>
        <w:t xml:space="preserve">4.6 Pass 1c — Vocabulary Fallback</w:t>
      </w:r>
    </w:p>
    <w:p>
      <w:pPr>
        <w:spacing w:after="60" w:before="60"/>
        <w:jc w:val="left"/>
      </w:pPr>
      <w:r>
        <w:rPr>
          <w:rFonts w:ascii="Calibri" w:cs="Calibri" w:eastAsia="Calibri" w:hAnsi="Calibri"/>
          <w:b w:val="false"/>
          <w:bCs w:val="false"/>
          <w:i w:val="false"/>
          <w:iCs w:val="false"/>
          <w:color w:val="000000"/>
          <w:sz w:val="20"/>
          <w:szCs w:val="20"/>
        </w:rPr>
        <w:t xml:space="preserve">Last-resort substring match against the corpus value-vocabulary. For every value v in the vocabulary with |v| ≥ 3:</w:t>
      </w:r>
    </w:p>
    <w:p>
      <w:pPr>
        <w:spacing w:after="60" w:before="60"/>
        <w:jc w:val="left"/>
      </w:pPr>
      <w:r>
        <w:rPr>
          <w:rFonts w:ascii="Calibri" w:cs="Calibri" w:eastAsia="Calibri" w:hAnsi="Calibri"/>
          <w:b w:val="false"/>
          <w:bCs w:val="false"/>
          <w:i w:val="false"/>
          <w:iCs w:val="false"/>
          <w:color w:val="000000"/>
          <w:sz w:val="20"/>
          <w:szCs w:val="20"/>
        </w:rPr>
        <w:t xml:space="preserve">  Forward — the full value v is a substring of the query → emits [*.v].</w:t>
      </w:r>
    </w:p>
    <w:p>
      <w:pPr>
        <w:spacing w:after="60" w:before="60"/>
        <w:jc w:val="left"/>
      </w:pPr>
      <w:r>
        <w:rPr>
          <w:rFonts w:ascii="Calibri" w:cs="Calibri" w:eastAsia="Calibri" w:hAnsi="Calibri"/>
          <w:b w:val="false"/>
          <w:bCs w:val="false"/>
          <w:i w:val="false"/>
          <w:iCs w:val="false"/>
          <w:color w:val="000000"/>
          <w:sz w:val="20"/>
          <w:szCs w:val="20"/>
        </w:rPr>
        <w:t xml:space="preserve">  Reverse — any 3+-char query word is a substring of v → emits [*.v].</w:t>
      </w:r>
    </w:p>
    <w:p>
      <w:pPr>
        <w:spacing w:after="60" w:before="60"/>
        <w:jc w:val="left"/>
      </w:pPr>
      <w:r>
        <w:rPr>
          <w:rFonts w:ascii="Calibri" w:cs="Calibri" w:eastAsia="Calibri" w:hAnsi="Calibri"/>
          <w:b w:val="false"/>
          <w:bCs w:val="false"/>
          <w:i w:val="false"/>
          <w:iCs w:val="false"/>
          <w:color w:val="000000"/>
          <w:sz w:val="20"/>
          <w:szCs w:val="20"/>
        </w:rPr>
        <w:t xml:space="preserve">Values already captured by Pass 1b' (with concrete keys) are skipped to prevent the wildcard variant from polluting the cue set. The wildcard cues here are deliberately less authoritative than 1b' cues — downstream ranking prefers precise-key cues, but the wildcard is a recall-of-last-resort safety net for values that aren't in the HSL catalog (e.g. values from CSVs ingested after the catalog was last refreshed).</w:t>
      </w:r>
    </w:p>
    <w:p>
      <w:pPr>
        <w:pStyle w:val="Heading2"/>
        <w:spacing w:after="100" w:before="220"/>
      </w:pPr>
      <w:r>
        <w:rPr>
          <w:rFonts w:ascii="Calibri" w:cs="Calibri" w:eastAsia="Calibri" w:hAnsi="Calibri"/>
          <w:b/>
          <w:bCs/>
          <w:color w:val="2E5090"/>
          <w:sz w:val="26"/>
          <w:szCs w:val="26"/>
        </w:rPr>
        <w:t xml:space="preserve">4.7 Canonical Field Folding</w:t>
      </w:r>
    </w:p>
    <w:p>
      <w:pPr>
        <w:spacing w:after="60" w:before="60"/>
        <w:jc w:val="left"/>
      </w:pPr>
      <w:r>
        <w:rPr>
          <w:rFonts w:ascii="Calibri" w:cs="Calibri" w:eastAsia="Calibri" w:hAnsi="Calibri"/>
          <w:b w:val="false"/>
          <w:bCs w:val="false"/>
          <w:i w:val="false"/>
          <w:iCs w:val="false"/>
          <w:color w:val="000000"/>
          <w:sz w:val="20"/>
          <w:szCs w:val="20"/>
        </w:rPr>
        <w:t xml:space="preserve">Every cue's key is run through canonicalField() (lib/hsl-aliases.ts) before raw-form construction. This is the V4.5 fix for the cross-CSV fragmentation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Header in source CSV</w:t>
            </w:r>
          </w:p>
        </w:tc>
        <w:tc>
          <w:tcPr>
            <w:tcW w:type="dxa" w:w="1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Canonical key</w:t>
            </w:r>
          </w:p>
        </w:tc>
        <w:tc>
          <w:tcPr>
            <w:tcW w:type="dxa" w:w="5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Origin CSVs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Project_ID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Project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AIA305 Sample.csv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Project ID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Project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acc_rfis.csv, acc_issues.csv, acc_submittals.csv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Projects Assigned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Project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acc_vendors.csv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Applicable Projects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Project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acc_cost_codes.csv</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Active Projects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Project</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acc_customers.csv</w:t>
            </w:r>
          </w:p>
        </w:tc>
      </w:tr>
    </w:tbl>
    <w:p>
      <w:pPr>
        <w:spacing w:after="60" w:before="60"/>
        <w:jc w:val="left"/>
      </w:pPr>
      <w:r>
        <w:rPr>
          <w:rFonts w:ascii="Calibri" w:cs="Calibri" w:eastAsia="Calibri" w:hAnsi="Calibri"/>
          <w:b w:val="false"/>
          <w:bCs w:val="false"/>
          <w:i/>
          <w:iCs/>
          <w:color w:val="000000"/>
          <w:sz w:val="20"/>
          <w:szCs w:val="20"/>
        </w:rPr>
        <w:t xml:space="preserve">Without canonicalField, a cue extracted from one CSV's spelling cannot match an HSL anchored on another spelling — even when both refer to the same entity. The PRJ-003 multi-CSV join benchmark (Benchmark 1) was built specifically to demonstrate this failure mode and confirm the fix.</w:t>
      </w:r>
    </w:p>
    <w:p>
      <w:r>
        <w:br w:type="page"/>
      </w:r>
    </w:p>
    <w:p>
      <w:pPr>
        <w:pStyle w:val="Heading1"/>
        <w:spacing w:after="140" w:before="280"/>
      </w:pPr>
      <w:r>
        <w:rPr>
          <w:rFonts w:ascii="Calibri" w:cs="Calibri" w:eastAsia="Calibri" w:hAnsi="Calibri"/>
          <w:b/>
          <w:bCs/>
          <w:color w:val="1F3864"/>
          <w:sz w:val="32"/>
          <w:szCs w:val="32"/>
        </w:rPr>
        <w:t xml:space="preserve">5. HSL Resolution from a Cue Set</w:t>
      </w:r>
    </w:p>
    <w:p>
      <w:pPr>
        <w:pStyle w:val="Heading2"/>
        <w:spacing w:after="100" w:before="220"/>
      </w:pPr>
      <w:r>
        <w:rPr>
          <w:rFonts w:ascii="Calibri" w:cs="Calibri" w:eastAsia="Calibri" w:hAnsi="Calibri"/>
          <w:b/>
          <w:bCs/>
          <w:color w:val="2E5090"/>
          <w:sz w:val="26"/>
          <w:szCs w:val="26"/>
        </w:rPr>
        <w:t xml:space="preserve">5.1 The Probe</w:t>
      </w:r>
    </w:p>
    <w:p>
      <w:pPr>
        <w:spacing w:after="60" w:before="60"/>
        <w:jc w:val="left"/>
      </w:pPr>
      <w:r>
        <w:rPr>
          <w:rFonts w:ascii="Calibri" w:cs="Calibri" w:eastAsia="Calibri" w:hAnsi="Calibri"/>
          <w:b w:val="false"/>
          <w:bCs w:val="false"/>
          <w:i w:val="false"/>
          <w:iCs w:val="false"/>
          <w:color w:val="000000"/>
          <w:sz w:val="20"/>
          <w:szCs w:val="20"/>
        </w:rPr>
        <w:t xml:space="preserve">For each Cue Set the pipeline calls findHslsByNeedlesFull(cueValues) → POST /v1/hsl-data/find-by-needles-full. The endpoint reads from the information_element_refs inverted index (added by migration 017, fixed by migration 029, trigram-extended by migration 031).</w:t>
      </w:r>
    </w:p>
    <w:p>
      <w:pPr>
        <w:shd w:fill="F2F2F2" w:val="clear"/>
        <w:spacing w:after="80" w:before="80"/>
      </w:pPr>
      <w:r>
        <w:rPr>
          <w:rFonts w:ascii="Consolas" w:cs="Consolas" w:eastAsia="Consolas" w:hAnsi="Consolas"/>
          <w:color w:val="111111"/>
          <w:sz w:val="17"/>
          <w:szCs w:val="17"/>
        </w:rPr>
        <w:t xml:space="preserve">POST /v1/hsl-data/find-by-needles-full
{ "values": ["PRJ-003", "Greenway", "Sarah Mitchell", …],
  "fuzzy":  true,
  "similarity": 0.30 }</w:t>
      </w:r>
    </w:p>
    <w:p>
      <w:pPr>
        <w:pStyle w:val="Heading2"/>
        <w:spacing w:after="100" w:before="220"/>
      </w:pPr>
      <w:r>
        <w:rPr>
          <w:rFonts w:ascii="Calibri" w:cs="Calibri" w:eastAsia="Calibri" w:hAnsi="Calibri"/>
          <w:b/>
          <w:bCs/>
          <w:color w:val="2E5090"/>
          <w:sz w:val="26"/>
          <w:szCs w:val="26"/>
        </w:rPr>
        <w:t xml:space="preserve">5.2 Exact-Match Path (V4.4 baseline)</w:t>
      </w:r>
    </w:p>
    <w:p>
      <w:pPr>
        <w:spacing w:after="60" w:before="60"/>
        <w:jc w:val="left"/>
      </w:pPr>
      <w:r>
        <w:rPr>
          <w:rFonts w:ascii="Calibri" w:cs="Calibri" w:eastAsia="Calibri" w:hAnsi="Calibri"/>
          <w:b w:val="false"/>
          <w:bCs w:val="false"/>
          <w:i w:val="false"/>
          <w:iCs w:val="false"/>
          <w:color w:val="000000"/>
          <w:sz w:val="20"/>
          <w:szCs w:val="20"/>
        </w:rPr>
        <w:t xml:space="preserve">When fuzzy is false, the SQL is a single equality probe against the value_lower column:</w:t>
      </w:r>
    </w:p>
    <w:p>
      <w:pPr>
        <w:shd w:fill="F2F2F2" w:val="clear"/>
        <w:spacing w:after="80" w:before="80"/>
      </w:pPr>
      <w:r>
        <w:rPr>
          <w:rFonts w:ascii="Consolas" w:cs="Consolas" w:eastAsia="Consolas" w:hAnsi="Consolas"/>
          <w:color w:val="111111"/>
          <w:sz w:val="17"/>
          <w:szCs w:val="17"/>
        </w:rPr>
        <w:t xml:space="preserve">SELECT DISTINCT hsl_id
  FROM information_element_refs
 WHERE hsl_id IS NOT NULL
   AND value_lower = ANY(%s::text[])</w:t>
      </w:r>
    </w:p>
    <w:p>
      <w:pPr>
        <w:spacing w:after="60" w:before="60"/>
        <w:jc w:val="left"/>
      </w:pPr>
      <w:r>
        <w:rPr>
          <w:rFonts w:ascii="Calibri" w:cs="Calibri" w:eastAsia="Calibri" w:hAnsi="Calibri"/>
          <w:b w:val="false"/>
          <w:bCs w:val="false"/>
          <w:i w:val="false"/>
          <w:iCs w:val="false"/>
          <w:color w:val="000000"/>
          <w:sz w:val="20"/>
          <w:szCs w:val="20"/>
        </w:rPr>
        <w:t xml:space="preserve">Backed by the standard B-tree index on value_lower. O(|values|·log N) per probe — typically 2–5 ms for 100-cue queries against the demo corpus. Misses any cue whose spelling does not exactly match a stored value: typos, declensions (Sarah ↔ Sara), case-shifted hyphens (PRJ-003 ↔ PRJ‑003 with en-dash), and variant orderings ("Mitchell, Sarah" ↔ "Sarah Mitchell").</w:t>
      </w:r>
    </w:p>
    <w:p>
      <w:pPr>
        <w:pStyle w:val="Heading2"/>
        <w:spacing w:after="100" w:before="220"/>
      </w:pPr>
      <w:r>
        <w:rPr>
          <w:rFonts w:ascii="Calibri" w:cs="Calibri" w:eastAsia="Calibri" w:hAnsi="Calibri"/>
          <w:b/>
          <w:bCs/>
          <w:color w:val="2E5090"/>
          <w:sz w:val="26"/>
          <w:szCs w:val="26"/>
        </w:rPr>
        <w:t xml:space="preserve">5.3 Fuzzy Path (V4.5, migration 031)</w:t>
      </w:r>
    </w:p>
    <w:p>
      <w:pPr>
        <w:spacing w:after="60" w:before="60"/>
        <w:jc w:val="left"/>
      </w:pPr>
      <w:r>
        <w:rPr>
          <w:rFonts w:ascii="Calibri" w:cs="Calibri" w:eastAsia="Calibri" w:hAnsi="Calibri"/>
          <w:b w:val="false"/>
          <w:bCs w:val="false"/>
          <w:i w:val="false"/>
          <w:iCs w:val="false"/>
          <w:color w:val="000000"/>
          <w:sz w:val="20"/>
          <w:szCs w:val="20"/>
        </w:rPr>
        <w:t xml:space="preserve">When fuzzy is true, the SQL switches to the trigram similarity operator with a per-request threshold:</w:t>
      </w:r>
    </w:p>
    <w:p>
      <w:pPr>
        <w:shd w:fill="F2F2F2" w:val="clear"/>
        <w:spacing w:after="80" w:before="80"/>
      </w:pPr>
      <w:r>
        <w:rPr>
          <w:rFonts w:ascii="Consolas" w:cs="Consolas" w:eastAsia="Consolas" w:hAnsi="Consolas"/>
          <w:color w:val="111111"/>
          <w:sz w:val="17"/>
          <w:szCs w:val="17"/>
        </w:rPr>
        <w:t xml:space="preserve">SELECT set_limit(%s);  -- per-transaction similarity threshold
SELECT DISTINCT hsl_id
  FROM information_element_refs
 WHERE hsl_id IS NOT NULL
   AND value_lower %% ANY(%s::text[])</w:t>
      </w:r>
    </w:p>
    <w:p>
      <w:pPr>
        <w:spacing w:after="60" w:before="60"/>
        <w:jc w:val="left"/>
      </w:pPr>
      <w:r>
        <w:rPr>
          <w:rFonts w:ascii="Calibri" w:cs="Calibri" w:eastAsia="Calibri" w:hAnsi="Calibri"/>
          <w:b w:val="false"/>
          <w:bCs w:val="false"/>
          <w:i w:val="false"/>
          <w:iCs w:val="false"/>
          <w:color w:val="000000"/>
          <w:sz w:val="20"/>
          <w:szCs w:val="20"/>
        </w:rPr>
        <w:t xml:space="preserve">Backed by the GIN index added in migration 031 (idx_ier_value_lower_trgm using gin_trgm_ops). The `%` operator is Postgres's pg_trgm similarity test; default threshold 0.30 yields: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3760"/>
      </w:tblGrid>
      <w:tr>
        <w:tc>
          <w:tcPr>
            <w:tcW w:type="dxa" w:w="1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Cue value</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Stored value</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Similarity</w:t>
            </w:r>
          </w:p>
        </w:tc>
        <w:tc>
          <w:tcPr>
            <w:tcW w:type="dxa" w:w="3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Class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Mitchel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Mitchell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 0.78</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Single missing-letter typo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Sara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Sarah Mitchell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 0.40</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Partial-token / declension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PRJ‑003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PRJ-003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 0.92</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Non-ASCII hyphen normalization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Sarah Mitchel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Sarah Mitchell</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 0.93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Single typo on multi-word value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Texis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Texas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 0.50</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Vowel transposition typo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Architech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Architect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 0.78</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Phonetic typo</w:t>
            </w:r>
          </w:p>
        </w:tc>
      </w:tr>
    </w:tbl>
    <w:p>
      <w:pPr>
        <w:spacing w:after="60" w:before="60"/>
        <w:jc w:val="left"/>
      </w:pPr>
      <w:r>
        <w:rPr>
          <w:rFonts w:ascii="Calibri" w:cs="Calibri" w:eastAsia="Calibri" w:hAnsi="Calibri"/>
          <w:b w:val="false"/>
          <w:bCs w:val="false"/>
          <w:i/>
          <w:iCs/>
          <w:color w:val="000000"/>
          <w:sz w:val="20"/>
          <w:szCs w:val="20"/>
        </w:rPr>
        <w:t xml:space="preserve">Threshold tunable per query via the `similarity` parameter (clamped to [0.05, 0.95]). 0.30 is the Postgres default and our recommended floor for typo tolerance without false positives. 0.50+ for near-exact retrieval. ChatAIO's frontend api-client defaults fuzzy to `true` — interactive callers benefit automatically; programmatic callers can opt out per request.</w:t>
      </w:r>
    </w:p>
    <w:p>
      <w:pPr>
        <w:pStyle w:val="Heading2"/>
        <w:spacing w:after="100" w:before="220"/>
      </w:pPr>
      <w:r>
        <w:rPr>
          <w:rFonts w:ascii="Calibri" w:cs="Calibri" w:eastAsia="Calibri" w:hAnsi="Calibri"/>
          <w:b/>
          <w:bCs/>
          <w:color w:val="2E5090"/>
          <w:sz w:val="26"/>
          <w:szCs w:val="26"/>
        </w:rPr>
        <w:t xml:space="preserve">5.4 Performance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Mode</w:t>
            </w:r>
          </w:p>
        </w:tc>
        <w:tc>
          <w:tcPr>
            <w:tcW w:type="dxa" w:w="1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Wall time</w:t>
            </w:r>
          </w:p>
        </w:tc>
        <w:tc>
          <w:tcPr>
            <w:tcW w:type="dxa" w:w="51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Notes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Exact match (B-tree)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 2–5 ms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Per probe, 100-cue query, 1,200-row HSL corpus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Fuzzy match (GIN trgm)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 8–25 ms</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Per probe; same corpus; threshold 0.30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Cost penalty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 3–5×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Worst case; absorbed into the per-query budget without user-visible latency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Index size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 1.5× the B-tree</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Trade-off accepted; corpus is small enough that 1–10 MB of GIN per tenant is negligible</w:t>
            </w:r>
          </w:p>
        </w:tc>
      </w:tr>
    </w:tbl>
    <w:p>
      <w:pPr>
        <w:pStyle w:val="Heading1"/>
        <w:spacing w:after="140" w:before="280"/>
      </w:pPr>
      <w:r>
        <w:rPr>
          <w:rFonts w:ascii="Calibri" w:cs="Calibri" w:eastAsia="Calibri" w:hAnsi="Calibri"/>
          <w:b/>
          <w:bCs/>
          <w:color w:val="1F3864"/>
          <w:sz w:val="32"/>
          <w:szCs w:val="32"/>
        </w:rPr>
        <w:t xml:space="preserve">6. Why This Architecture, and Why These Are Trade-Secret Invariants</w:t>
      </w:r>
    </w:p>
    <w:p>
      <w:pPr>
        <w:spacing w:after="60" w:before="60"/>
        <w:jc w:val="left"/>
      </w:pPr>
      <w:r>
        <w:rPr>
          <w:rFonts w:ascii="Calibri" w:cs="Calibri" w:eastAsia="Calibri" w:hAnsi="Calibri"/>
          <w:b w:val="false"/>
          <w:bCs w:val="false"/>
          <w:i w:val="false"/>
          <w:iCs w:val="false"/>
          <w:color w:val="000000"/>
          <w:sz w:val="20"/>
          <w:szCs w:val="20"/>
        </w:rPr>
        <w:t xml:space="preserve">Three invariants distinguish ChatAIO's cue path from a conventional embedding-RAG implementation. They are deliberate trade-offs and are central to the system's reproducibility, auditability, and cost profile.</w:t>
      </w:r>
    </w:p>
    <w:p>
      <w:pPr>
        <w:pStyle w:val="Heading2"/>
        <w:spacing w:after="100" w:before="220"/>
      </w:pPr>
      <w:r>
        <w:rPr>
          <w:rFonts w:ascii="Calibri" w:cs="Calibri" w:eastAsia="Calibri" w:hAnsi="Calibri"/>
          <w:b/>
          <w:bCs/>
          <w:color w:val="2E5090"/>
          <w:sz w:val="26"/>
          <w:szCs w:val="26"/>
        </w:rPr>
        <w:t xml:space="preserve">6.1 No LLM in the cue path</w:t>
      </w:r>
    </w:p>
    <w:p>
      <w:pPr>
        <w:spacing w:after="60" w:before="60"/>
        <w:jc w:val="left"/>
      </w:pPr>
      <w:r>
        <w:rPr>
          <w:rFonts w:ascii="Calibri" w:cs="Calibri" w:eastAsia="Calibri" w:hAnsi="Calibri"/>
          <w:b w:val="false"/>
          <w:bCs w:val="false"/>
          <w:i w:val="false"/>
          <w:iCs w:val="false"/>
          <w:color w:val="000000"/>
          <w:sz w:val="20"/>
          <w:szCs w:val="20"/>
        </w:rPr>
        <w:t xml:space="preserve">Every step from query → Cue Set → HSL ids → AIO scope is deterministic. Embedding RAG calls a model to produce a query embedding; we do not. The Cue Set is reproducible across runs, machines, and operators — the same query against the same corpus always lights the same HSLs. This makes regression testing tractable and makes the retrieval graph itself an auditable artifact, not an opaque vector.</w:t>
      </w:r>
    </w:p>
    <w:p>
      <w:pPr>
        <w:pStyle w:val="Heading2"/>
        <w:spacing w:after="100" w:before="220"/>
      </w:pPr>
      <w:r>
        <w:rPr>
          <w:rFonts w:ascii="Calibri" w:cs="Calibri" w:eastAsia="Calibri" w:hAnsi="Calibri"/>
          <w:b/>
          <w:bCs/>
          <w:color w:val="2E5090"/>
          <w:sz w:val="26"/>
          <w:szCs w:val="26"/>
        </w:rPr>
        <w:t xml:space="preserve">6.2 Cues carry concrete keys whenever possible</w:t>
      </w:r>
    </w:p>
    <w:p>
      <w:pPr>
        <w:spacing w:after="60" w:before="60"/>
        <w:jc w:val="left"/>
      </w:pPr>
      <w:r>
        <w:rPr>
          <w:rFonts w:ascii="Calibri" w:cs="Calibri" w:eastAsia="Calibri" w:hAnsi="Calibri"/>
          <w:b w:val="false"/>
          <w:bCs w:val="false"/>
          <w:i w:val="false"/>
          <w:iCs w:val="false"/>
          <w:color w:val="000000"/>
          <w:sz w:val="20"/>
          <w:szCs w:val="20"/>
        </w:rPr>
        <w:t xml:space="preserve">Pass 1b' (HSL catalog) emits cues with their original key — `[Project.PRJ-003]` rather than `[*.PRJ-003]`. The wildcard form is a fallback, not the default. This is the difference between "PRJ-003 in the Project field" and "PRJ-003 anywhere in any field" at the SQL layer; the former prunes, the latter scans. On the demo corpus this is a 5–20× speed-up on the HSL probe.</w:t>
      </w:r>
    </w:p>
    <w:p>
      <w:pPr>
        <w:pStyle w:val="Heading2"/>
        <w:spacing w:after="100" w:before="220"/>
      </w:pPr>
      <w:r>
        <w:rPr>
          <w:rFonts w:ascii="Calibri" w:cs="Calibri" w:eastAsia="Calibri" w:hAnsi="Calibri"/>
          <w:b/>
          <w:bCs/>
          <w:color w:val="2E5090"/>
          <w:sz w:val="26"/>
          <w:szCs w:val="26"/>
        </w:rPr>
        <w:t xml:space="preserve">6.3 The HSL catalog is the substrate, not an index</w:t>
      </w:r>
    </w:p>
    <w:p>
      <w:pPr>
        <w:spacing w:after="60" w:before="60"/>
        <w:jc w:val="left"/>
      </w:pPr>
      <w:r>
        <w:rPr>
          <w:rFonts w:ascii="Calibri" w:cs="Calibri" w:eastAsia="Calibri" w:hAnsi="Calibri"/>
          <w:b w:val="false"/>
          <w:bCs w:val="false"/>
          <w:i w:val="false"/>
          <w:iCs w:val="false"/>
          <w:color w:val="000000"/>
          <w:sz w:val="20"/>
          <w:szCs w:val="20"/>
        </w:rPr>
        <w:t xml:space="preserve">Embedding RAG treats vectors as a derived index — they exist to accelerate lookup, but the truth is in the source documents. ChatAIO inverts this: the HSL anchors ARE the truth. Every HSL is a deterministic function of the AIO set, computed offline by synth_hsls_for_aio (migration 023), and used at query time as a lookup, not a computation. The cue path produces a Set&lt;HSL&gt; that the LLM consumes; the LLM is told to ground every claim in the HSL-pointed AIOs and never elsewhere.</w:t>
      </w:r>
    </w:p>
    <w:p>
      <w:r>
        <w:br w:type="page"/>
      </w:r>
    </w:p>
    <w:p>
      <w:pPr>
        <w:pStyle w:val="Heading1"/>
        <w:spacing w:after="140" w:before="280"/>
      </w:pPr>
      <w:r>
        <w:rPr>
          <w:rFonts w:ascii="Calibri" w:cs="Calibri" w:eastAsia="Calibri" w:hAnsi="Calibri"/>
          <w:b/>
          <w:bCs/>
          <w:color w:val="1F3864"/>
          <w:sz w:val="32"/>
          <w:szCs w:val="32"/>
        </w:rPr>
        <w:t xml:space="preserve">7. Failure Modes Resolved in V4.5</w:t>
      </w:r>
    </w:p>
    <w:p>
      <w:pPr>
        <w:spacing w:after="60" w:before="60"/>
        <w:jc w:val="left"/>
      </w:pPr>
      <w:r>
        <w:rPr>
          <w:rFonts w:ascii="Calibri" w:cs="Calibri" w:eastAsia="Calibri" w:hAnsi="Calibri"/>
          <w:b w:val="false"/>
          <w:bCs w:val="false"/>
          <w:i w:val="false"/>
          <w:iCs w:val="false"/>
          <w:color w:val="000000"/>
          <w:sz w:val="20"/>
          <w:szCs w:val="20"/>
        </w:rPr>
        <w:t xml:space="preserve">Four bugs surfaced over the V4.4 → V4.5 development cycle, each producing a characteristic retrieval failure. They are documented here so the resolution is recoverable from the report alone.</w:t>
      </w:r>
    </w:p>
    <w:p>
      <w:pPr>
        <w:pStyle w:val="Heading2"/>
        <w:spacing w:after="100" w:before="220"/>
      </w:pPr>
      <w:r>
        <w:rPr>
          <w:rFonts w:ascii="Calibri" w:cs="Calibri" w:eastAsia="Calibri" w:hAnsi="Calibri"/>
          <w:b/>
          <w:bCs/>
          <w:color w:val="2E5090"/>
          <w:sz w:val="26"/>
          <w:szCs w:val="26"/>
        </w:rPr>
        <w:t xml:space="preserve">7.1 The HSL inverted index never populated (migration 029)</w:t>
      </w:r>
    </w:p>
    <w:p>
      <w:pPr>
        <w:spacing w:after="60" w:before="60"/>
        <w:jc w:val="left"/>
      </w:pPr>
      <w:r>
        <w:rPr>
          <w:rFonts w:ascii="Calibri" w:cs="Calibri" w:eastAsia="Calibri" w:hAnsi="Calibri"/>
          <w:b w:val="false"/>
          <w:bCs w:val="false"/>
          <w:i w:val="false"/>
          <w:iCs w:val="false"/>
          <w:color w:val="000000"/>
          <w:sz w:val="20"/>
          <w:szCs w:val="20"/>
        </w:rPr>
        <w:t xml:space="preserve">Symptom: every cue → HSL probe returned 0 rows on a corpus that was demonstrably populated.</w:t>
      </w:r>
    </w:p>
    <w:p>
      <w:pPr>
        <w:spacing w:after="60" w:before="60"/>
        <w:jc w:val="left"/>
      </w:pPr>
      <w:r>
        <w:rPr>
          <w:rFonts w:ascii="Calibri" w:cs="Calibri" w:eastAsia="Calibri" w:hAnsi="Calibri"/>
          <w:b w:val="false"/>
          <w:bCs w:val="false"/>
          <w:i w:val="false"/>
          <w:iCs w:val="false"/>
          <w:color w:val="000000"/>
          <w:sz w:val="20"/>
          <w:szCs w:val="20"/>
        </w:rPr>
        <w:t xml:space="preserve">Root cause: ier_refresh_hsl() only parsed hsl_data.hsl_element_1..100 columns, which carry AIO row references like `acc_rfis.csv - Row 162`, not bracket tokens. The actual `[Key.Value]` token lives in hsl_data.hsl_name (e.g. `[Project ID.PRJ-003].hsl`). The bracket parser silently no-op'd on the row-ref strings, so the inverted index gained zero rows.</w:t>
      </w:r>
    </w:p>
    <w:p>
      <w:pPr>
        <w:spacing w:after="60" w:before="60"/>
        <w:jc w:val="left"/>
      </w:pPr>
      <w:r>
        <w:rPr>
          <w:rFonts w:ascii="Calibri" w:cs="Calibri" w:eastAsia="Calibri" w:hAnsi="Calibri"/>
          <w:b w:val="false"/>
          <w:bCs w:val="false"/>
          <w:i w:val="false"/>
          <w:iCs w:val="false"/>
          <w:color w:val="000000"/>
          <w:sz w:val="20"/>
          <w:szCs w:val="20"/>
        </w:rPr>
        <w:t xml:space="preserve">Fix: extend ier_refresh_hsl() to parse hsl_name (after stripping the `.hsl` suffix), keep the element-column parse for back-link references like `[MRO.&lt;id&gt;]`, and re-run the migration-017 backfill so existing HSL rows become indexable. Idempotent on the inner DELETE-then-INSERT.</w:t>
      </w:r>
    </w:p>
    <w:p>
      <w:pPr>
        <w:pStyle w:val="Heading2"/>
        <w:spacing w:after="100" w:before="220"/>
      </w:pPr>
      <w:r>
        <w:rPr>
          <w:rFonts w:ascii="Calibri" w:cs="Calibri" w:eastAsia="Calibri" w:hAnsi="Calibri"/>
          <w:b/>
          <w:bCs/>
          <w:color w:val="2E5090"/>
          <w:sz w:val="26"/>
          <w:szCs w:val="26"/>
        </w:rPr>
        <w:t xml:space="preserve">7.2 AIA305 dominated the AIO neighborhood (cap-by-CSV diversity)</w:t>
      </w:r>
    </w:p>
    <w:p>
      <w:pPr>
        <w:spacing w:after="60" w:before="60"/>
        <w:jc w:val="left"/>
      </w:pPr>
      <w:r>
        <w:rPr>
          <w:rFonts w:ascii="Calibri" w:cs="Calibri" w:eastAsia="Calibri" w:hAnsi="Calibri"/>
          <w:b w:val="false"/>
          <w:bCs w:val="false"/>
          <w:i w:val="false"/>
          <w:iCs w:val="false"/>
          <w:color w:val="000000"/>
          <w:sz w:val="20"/>
          <w:szCs w:val="20"/>
        </w:rPr>
        <w:t xml:space="preserve">Symptom: Multi-CSV join queries (Benchmark 1, PRJ-003 across acc_rfis ∪ acc_issues ∪ acc_submittals ∪ acc_vendors ∪ acc_cost_codes) returned only AIA305 records and cost codes — operational CSVs were absent from the substrate even when their HSLs lit up correctly.</w:t>
      </w:r>
    </w:p>
    <w:p>
      <w:pPr>
        <w:spacing w:after="60" w:before="60"/>
        <w:jc w:val="left"/>
      </w:pPr>
      <w:r>
        <w:rPr>
          <w:rFonts w:ascii="Calibri" w:cs="Calibri" w:eastAsia="Calibri" w:hAnsi="Calibri"/>
          <w:b w:val="false"/>
          <w:bCs w:val="false"/>
          <w:i w:val="false"/>
          <w:iCs w:val="false"/>
          <w:color w:val="000000"/>
          <w:sz w:val="20"/>
          <w:szCs w:val="20"/>
        </w:rPr>
        <w:t xml:space="preserve">Root cause: a flat top-N cap on the AIO neighborhood. AIA305 is 80% of the demo corpus (474 of 589 rows); when 40 slots are filled by traversal score alone, AIA305 fills all 40 and starves the operational CSVs.</w:t>
      </w:r>
    </w:p>
    <w:p>
      <w:pPr>
        <w:spacing w:after="60" w:before="60"/>
        <w:jc w:val="left"/>
      </w:pPr>
      <w:r>
        <w:rPr>
          <w:rFonts w:ascii="Calibri" w:cs="Calibri" w:eastAsia="Calibri" w:hAnsi="Calibri"/>
          <w:b w:val="false"/>
          <w:bCs w:val="false"/>
          <w:i w:val="false"/>
          <w:iCs w:val="false"/>
          <w:color w:val="000000"/>
          <w:sz w:val="20"/>
          <w:szCs w:val="20"/>
        </w:rPr>
        <w:t xml:space="preserve">Fix: diversifyByCSV (frontend, lib/aio-math.ts) and diversify_by_csv (backend, api/search_helpers.py). Bucket the candidate set by OriginalCSV, take floor(total / numCsvs) from each bucket in input order, then backfill remaining slots from the highest-ranked leftovers. Both implementations are bytewise-equivalent in selection behavior so Recall and Live produce comparable substrates.</w:t>
      </w:r>
    </w:p>
    <w:p>
      <w:pPr>
        <w:pStyle w:val="Heading2"/>
        <w:spacing w:after="100" w:before="220"/>
      </w:pPr>
      <w:r>
        <w:rPr>
          <w:rFonts w:ascii="Calibri" w:cs="Calibri" w:eastAsia="Calibri" w:hAnsi="Calibri"/>
          <w:b/>
          <w:bCs/>
          <w:color w:val="2E5090"/>
          <w:sz w:val="26"/>
          <w:szCs w:val="26"/>
        </w:rPr>
        <w:t xml:space="preserve">7.3 Cross-CSV header fragmentation (HSL aliasing)</w:t>
      </w:r>
    </w:p>
    <w:p>
      <w:pPr>
        <w:spacing w:after="60" w:before="60"/>
        <w:jc w:val="left"/>
      </w:pPr>
      <w:r>
        <w:rPr>
          <w:rFonts w:ascii="Calibri" w:cs="Calibri" w:eastAsia="Calibri" w:hAnsi="Calibri"/>
          <w:b w:val="false"/>
          <w:bCs w:val="false"/>
          <w:i w:val="false"/>
          <w:iCs w:val="false"/>
          <w:color w:val="000000"/>
          <w:sz w:val="20"/>
          <w:szCs w:val="20"/>
        </w:rPr>
        <w:t xml:space="preserve">Symptom: cue extracted as `[Project_ID.PRJ-003]` did not match the HSL `[Project ID.PRJ-003].hsl` because the keys were different strings, even though they referred to the same field semantically.</w:t>
      </w:r>
    </w:p>
    <w:p>
      <w:pPr>
        <w:spacing w:after="60" w:before="60"/>
        <w:jc w:val="left"/>
      </w:pPr>
      <w:r>
        <w:rPr>
          <w:rFonts w:ascii="Calibri" w:cs="Calibri" w:eastAsia="Calibri" w:hAnsi="Calibri"/>
          <w:b w:val="false"/>
          <w:bCs w:val="false"/>
          <w:i w:val="false"/>
          <w:iCs w:val="false"/>
          <w:color w:val="000000"/>
          <w:sz w:val="20"/>
          <w:szCs w:val="20"/>
        </w:rPr>
        <w:t xml:space="preserve">Root cause: cue keys were emitted verbatim from the source. Five spellings of "project ID" exist across the demo CSVs (Project_ID, Project ID, Projects Assigned, Applicable Projects, Active Projects). Without folding, a cue from one spelling could not gate AIOs anchored on another.</w:t>
      </w:r>
    </w:p>
    <w:p>
      <w:pPr>
        <w:spacing w:after="60" w:before="60"/>
        <w:jc w:val="left"/>
      </w:pPr>
      <w:r>
        <w:rPr>
          <w:rFonts w:ascii="Calibri" w:cs="Calibri" w:eastAsia="Calibri" w:hAnsi="Calibri"/>
          <w:b w:val="false"/>
          <w:bCs w:val="false"/>
          <w:i w:val="false"/>
          <w:iCs w:val="false"/>
          <w:color w:val="000000"/>
          <w:sz w:val="20"/>
          <w:szCs w:val="20"/>
        </w:rPr>
        <w:t xml:space="preserve">Fix: lib/hsl-aliases.ts exports canonicalField(name: string) → string. Every cue is folded to its canonical key before raw-form construction, so all five source spellings collapse to `Project`. Frontend-only in V1 to keep the alias table iterable without a DB migration; can be promoted to the backend (migration 032+) once the table stabilizes.</w:t>
      </w:r>
    </w:p>
    <w:p>
      <w:pPr>
        <w:pStyle w:val="Heading2"/>
        <w:spacing w:after="100" w:before="220"/>
      </w:pPr>
      <w:r>
        <w:rPr>
          <w:rFonts w:ascii="Calibri" w:cs="Calibri" w:eastAsia="Calibri" w:hAnsi="Calibri"/>
          <w:b/>
          <w:bCs/>
          <w:color w:val="2E5090"/>
          <w:sz w:val="26"/>
          <w:szCs w:val="26"/>
        </w:rPr>
        <w:t xml:space="preserve">7.4 Exact match was too strict for natural-language queries (migration 031)</w:t>
      </w:r>
    </w:p>
    <w:p>
      <w:pPr>
        <w:spacing w:after="60" w:before="60"/>
        <w:jc w:val="left"/>
      </w:pPr>
      <w:r>
        <w:rPr>
          <w:rFonts w:ascii="Calibri" w:cs="Calibri" w:eastAsia="Calibri" w:hAnsi="Calibri"/>
          <w:b w:val="false"/>
          <w:bCs w:val="false"/>
          <w:i w:val="false"/>
          <w:iCs w:val="false"/>
          <w:color w:val="000000"/>
          <w:sz w:val="20"/>
          <w:szCs w:val="20"/>
        </w:rPr>
        <w:t xml:space="preserve">Symptom: queries with typos, declensions, partial tokens, or non-ASCII variants of stored values produced empty Cue Sets. Recall fell through to AIO needle-scan; quality dropped.</w:t>
      </w:r>
    </w:p>
    <w:p>
      <w:pPr>
        <w:spacing w:after="60" w:before="60"/>
        <w:jc w:val="left"/>
      </w:pPr>
      <w:r>
        <w:rPr>
          <w:rFonts w:ascii="Calibri" w:cs="Calibri" w:eastAsia="Calibri" w:hAnsi="Calibri"/>
          <w:b w:val="false"/>
          <w:bCs w:val="false"/>
          <w:i w:val="false"/>
          <w:iCs w:val="false"/>
          <w:color w:val="000000"/>
          <w:sz w:val="20"/>
          <w:szCs w:val="20"/>
        </w:rPr>
        <w:t xml:space="preserve">Root cause: equality on value_lower has no tolerance for any deviation from the stored string.</w:t>
      </w:r>
    </w:p>
    <w:p>
      <w:pPr>
        <w:spacing w:after="60" w:before="60"/>
        <w:jc w:val="left"/>
      </w:pPr>
      <w:r>
        <w:rPr>
          <w:rFonts w:ascii="Calibri" w:cs="Calibri" w:eastAsia="Calibri" w:hAnsi="Calibri"/>
          <w:b w:val="false"/>
          <w:bCs w:val="false"/>
          <w:i w:val="false"/>
          <w:iCs w:val="false"/>
          <w:color w:val="000000"/>
          <w:sz w:val="20"/>
          <w:szCs w:val="20"/>
        </w:rPr>
        <w:t xml:space="preserve">Fix: migration 031 adds pg_trgm extension and a GIN index on (value_lower) using gin_trgm_ops. find-by-needles-full accepts `fuzzy: bool` and `similarity: float`; when fuzzy=true the WHERE clause uses the `%` operator (trigram similarity ≥ threshold) and per-transaction set_limit() controls the threshold. Frontend defaults to fuzzy=true — interactive callers benefit automatically. Documented threshold: 0.30 (Postgres default) for typo tolerance, 0.50+ for near-exact retrieval.</w:t>
      </w:r>
    </w:p>
    <w:p>
      <w:r>
        <w:br w:type="page"/>
      </w:r>
    </w:p>
    <w:p>
      <w:pPr>
        <w:pStyle w:val="Heading1"/>
        <w:spacing w:after="140" w:before="280"/>
      </w:pPr>
      <w:r>
        <w:rPr>
          <w:rFonts w:ascii="Calibri" w:cs="Calibri" w:eastAsia="Calibri" w:hAnsi="Calibri"/>
          <w:b/>
          <w:bCs/>
          <w:color w:val="1F3864"/>
          <w:sz w:val="32"/>
          <w:szCs w:val="32"/>
        </w:rPr>
        <w:t xml:space="preserve">8. Substrate Trim — Cap, Dedup, Assemble</w:t>
      </w:r>
    </w:p>
    <w:p>
      <w:pPr>
        <w:pStyle w:val="Heading2"/>
        <w:spacing w:after="100" w:before="220"/>
      </w:pPr>
      <w:r>
        <w:rPr>
          <w:rFonts w:ascii="Calibri" w:cs="Calibri" w:eastAsia="Calibri" w:hAnsi="Calibri"/>
          <w:b/>
          <w:bCs/>
          <w:color w:val="2E5090"/>
          <w:sz w:val="26"/>
          <w:szCs w:val="26"/>
        </w:rPr>
        <w:t xml:space="preserve">8.1 The cap</w:t>
      </w:r>
    </w:p>
    <w:p>
      <w:pPr>
        <w:spacing w:after="60" w:before="60"/>
        <w:jc w:val="left"/>
      </w:pPr>
      <w:r>
        <w:rPr>
          <w:rFonts w:ascii="Calibri" w:cs="Calibri" w:eastAsia="Calibri" w:hAnsi="Calibri"/>
          <w:b w:val="false"/>
          <w:bCs w:val="false"/>
          <w:i w:val="false"/>
          <w:iCs w:val="false"/>
          <w:color w:val="000000"/>
          <w:sz w:val="20"/>
          <w:szCs w:val="20"/>
        </w:rPr>
        <w:t xml:space="preserve">After HSL resolution, scope union, and rank, the candidate AIO set is capped at a fixed number (default 40 for Recall; 100–300 adaptive for Live). The cap exists for cost reasons — every additional AIO adds tokens to the LLM bundle. The cap is applied AFTER diversifyByCSV, which guarantees each represented CSV gets a fair share.</w:t>
      </w:r>
    </w:p>
    <w:p>
      <w:pPr>
        <w:pStyle w:val="Heading2"/>
        <w:spacing w:after="100" w:before="220"/>
      </w:pPr>
      <w:r>
        <w:rPr>
          <w:rFonts w:ascii="Calibri" w:cs="Calibri" w:eastAsia="Calibri" w:hAnsi="Calibri"/>
          <w:b/>
          <w:bCs/>
          <w:color w:val="2E5090"/>
          <w:sz w:val="26"/>
          <w:szCs w:val="26"/>
        </w:rPr>
        <w:t xml:space="preserve">8.2 Element-set Jaccard dedup</w:t>
      </w:r>
    </w:p>
    <w:p>
      <w:pPr>
        <w:spacing w:after="60" w:before="60"/>
        <w:jc w:val="left"/>
      </w:pPr>
      <w:r>
        <w:rPr>
          <w:rFonts w:ascii="Calibri" w:cs="Calibri" w:eastAsia="Calibri" w:hAnsi="Calibri"/>
          <w:b w:val="false"/>
          <w:bCs w:val="false"/>
          <w:i w:val="false"/>
          <w:iCs w:val="false"/>
          <w:color w:val="000000"/>
          <w:sz w:val="20"/>
          <w:szCs w:val="20"/>
        </w:rPr>
        <w:t xml:space="preserve">Cross-CSV duplicates of the same entity (e.g. PRJ-003 with ~85% identical bracket-element sets in acc_projects.csv vs. AIA305 Sample.csv) historically reached the LLM as redundant context. dedupByJaccard (lib/aio-math.ts) drops near-duplicates after the cap:</w:t>
      </w:r>
    </w:p>
    <w:p>
      <w:pPr>
        <w:shd w:fill="F2F2F2" w:val="clear"/>
        <w:spacing w:after="80" w:before="80"/>
      </w:pPr>
      <w:r>
        <w:rPr>
          <w:rFonts w:ascii="Consolas" w:cs="Consolas" w:eastAsia="Consolas" w:hAnsi="Consolas"/>
          <w:color w:val="111111"/>
          <w:sz w:val="17"/>
          <w:szCs w:val="17"/>
        </w:rPr>
        <w:t xml:space="preserve">for each candidate AIO, in input order:
  build candSet = {`${key.toLower()}.${value.toLower()}` for each element}
    EXCLUDING provenance keys (OriginalCSV, FileDate, FileTime)
  if any keptSet has Jaccard(candSet, keptSet) &gt;= threshold:
    drop candidate
  else:
    keep candidate
</w:t>
      </w:r>
    </w:p>
    <w:p>
      <w:pPr>
        <w:spacing w:after="60" w:before="60"/>
        <w:jc w:val="left"/>
      </w:pPr>
      <w:r>
        <w:rPr>
          <w:rFonts w:ascii="Calibri" w:cs="Calibri" w:eastAsia="Calibri" w:hAnsi="Calibri"/>
          <w:b w:val="false"/>
          <w:bCs w:val="false"/>
          <w:i w:val="false"/>
          <w:iCs w:val="false"/>
          <w:color w:val="000000"/>
          <w:sz w:val="20"/>
          <w:szCs w:val="20"/>
        </w:rPr>
        <w:t xml:space="preserve">Default threshold 0.85. Provenance keys are excluded so two AIOs that differ only in their source-CSV stamp still collapse — the same entity ingested from two pipelines is one entity for retrieval. Default ON; opt out via assembleBundle({ jaccardDedup: false }) for diagnostics.</w:t>
      </w:r>
    </w:p>
    <w:p>
      <w:pPr>
        <w:pStyle w:val="Heading2"/>
        <w:spacing w:after="100" w:before="220"/>
      </w:pPr>
      <w:r>
        <w:rPr>
          <w:rFonts w:ascii="Calibri" w:cs="Calibri" w:eastAsia="Calibri" w:hAnsi="Calibri"/>
          <w:b/>
          <w:bCs/>
          <w:color w:val="2E5090"/>
          <w:sz w:val="26"/>
          <w:szCs w:val="26"/>
        </w:rPr>
        <w:t xml:space="preserve">8.3 Substrate envelope shape</w:t>
      </w:r>
    </w:p>
    <w:p>
      <w:pPr>
        <w:spacing w:after="60" w:before="60"/>
        <w:jc w:val="left"/>
      </w:pPr>
      <w:r>
        <w:rPr>
          <w:rFonts w:ascii="Calibri" w:cs="Calibri" w:eastAsia="Calibri" w:hAnsi="Calibri"/>
          <w:b w:val="false"/>
          <w:bCs w:val="false"/>
          <w:i w:val="false"/>
          <w:iCs w:val="false"/>
          <w:color w:val="000000"/>
          <w:sz w:val="20"/>
          <w:szCs w:val="20"/>
        </w:rPr>
        <w:t xml:space="preserve">The final substrate handed to the LLM is a JSON envelope:</w:t>
      </w:r>
    </w:p>
    <w:p>
      <w:pPr>
        <w:shd w:fill="F2F2F2" w:val="clear"/>
        <w:spacing w:after="80" w:before="80"/>
      </w:pPr>
      <w:r>
        <w:rPr>
          <w:rFonts w:ascii="Consolas" w:cs="Consolas" w:eastAsia="Consolas" w:hAnsi="Consolas"/>
          <w:color w:val="111111"/>
          <w:sz w:val="17"/>
          <w:szCs w:val="17"/>
        </w:rPr>
        <w:t xml:space="preserve">{
  "cues":              ["[Project.PRJ-003]", "[Status.Open]", …],
  "traversal_cost":    &lt;int&gt;,
  "priors":            [{ id, score, query, finding }, …],
  "hsl_neighborhoods": ["[Project.PRJ-003].hsl", …],
  "aios":              [{ file, raw }, …]
}
</w:t>
      </w:r>
    </w:p>
    <w:p>
      <w:pPr>
        <w:spacing w:after="60" w:before="60"/>
        <w:jc w:val="left"/>
      </w:pPr>
      <w:r>
        <w:rPr>
          <w:rFonts w:ascii="Calibri" w:cs="Calibri" w:eastAsia="Calibri" w:hAnsi="Calibri"/>
          <w:b w:val="false"/>
          <w:bCs w:val="false"/>
          <w:i w:val="false"/>
          <w:iCs w:val="false"/>
          <w:color w:val="000000"/>
          <w:sz w:val="20"/>
          <w:szCs w:val="20"/>
        </w:rPr>
        <w:t xml:space="preserve">The system prompt teaches the LLM how to consume this — cues are evidence anchors, priors are framing only (never ground truth), aios are direct evidence. Every claim in the model's reply must cite an aio entry by file.</w:t>
      </w:r>
    </w:p>
    <w:p>
      <w:pPr>
        <w:pStyle w:val="Heading1"/>
        <w:spacing w:after="140" w:before="280"/>
      </w:pPr>
      <w:r>
        <w:rPr>
          <w:rFonts w:ascii="Calibri" w:cs="Calibri" w:eastAsia="Calibri" w:hAnsi="Calibri"/>
          <w:b/>
          <w:bCs/>
          <w:color w:val="1F3864"/>
          <w:sz w:val="32"/>
          <w:szCs w:val="32"/>
        </w:rPr>
        <w:t xml:space="preserve">9. Diagnostics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Tool</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Invocation</w:t>
            </w:r>
          </w:p>
        </w:tc>
        <w:tc>
          <w:tcPr>
            <w:tcW w:type="dxa" w:w="47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Use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scripts/trace_recall.ts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BENCHMARK=N MRO_BYPASS=1 …</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Full per-cue HSL probe trace; writes /tmp/recall_trace.json with cue_values, per_cue HSL hits, scopedAios, seed_aios sent to LLM, and reply</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scripts/measure_modes.ts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BENCHMARK=N …</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Side-by-side Recall / Live / Broad / Raw measurement on the same query; reports tokens, latency, and reply preview per mode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R&amp;D → Benchmark dropdown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(GUI)</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10-entry catalog of saved prompts; each opens a full-screen runner with metrics + verbatim replies + Print/Save-as-PDF</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System Management → Search Stats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(GUI)</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Per-query telemetry across all four ChatAIO modes: cue_count, neighborhood_size, matched_hsls, family_count, elapsed_ms, tokens, mro_saved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MRO Linkage view</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(GUI, MRO Data tab)</w:t>
            </w:r>
          </w:p>
        </w:tc>
        <w:tc>
          <w:tcPr>
            <w:tcW w:type="dxa" w:w="4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Symmetric audit of seed_hsls vs. hsl_member back-pointers; surfaces silent linkMroToHsl write failures</w:t>
            </w:r>
          </w:p>
        </w:tc>
      </w:tr>
    </w:tbl>
    <w:p>
      <w:pPr>
        <w:pStyle w:val="Heading1"/>
        <w:spacing w:after="140" w:before="280"/>
      </w:pPr>
      <w:r>
        <w:rPr>
          <w:rFonts w:ascii="Calibri" w:cs="Calibri" w:eastAsia="Calibri" w:hAnsi="Calibri"/>
          <w:b/>
          <w:bCs/>
          <w:color w:val="1F3864"/>
          <w:sz w:val="32"/>
          <w:szCs w:val="32"/>
        </w:rPr>
        <w:t xml:space="preserve">10. Open Roadmap</w:t>
      </w:r>
    </w:p>
    <w:p>
      <w:pPr>
        <w:spacing w:after="60" w:before="60"/>
        <w:jc w:val="left"/>
      </w:pPr>
      <w:r>
        <w:rPr>
          <w:rFonts w:ascii="Calibri" w:cs="Calibri" w:eastAsia="Calibri" w:hAnsi="Calibri"/>
          <w:b w:val="false"/>
          <w:bCs w:val="false"/>
          <w:i w:val="false"/>
          <w:iCs w:val="false"/>
          <w:color w:val="000000"/>
          <w:sz w:val="20"/>
          <w:szCs w:val="20"/>
        </w:rPr>
        <w:t xml:space="preserve">Items deliberately not in V4.5, in priority order. Each is a logical extension of the V4.5 architecture, not a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Item</w:t>
            </w:r>
          </w:p>
        </w:tc>
        <w:tc>
          <w:tcPr>
            <w:tcW w:type="dxa" w:w="65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Description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Token-level multi-word cue split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Stage 2 fuzzy: when a cue value is multi-word, also emit single-token cues with reduced rank weight. Catches `Mitchell` → `S. Mitchell` and similar token-substring patterns the trigram path doesn't handle ideally.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Embedding similarity (Stage 3 fuzzy)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Add a vector column to information_elements with a sentence-transformer embedding. Embed cue values at query time and ANN-search. Catches paraphrases ("who works on the medical project" → records about Highland Medical Center). Largest payoff, largest dependency burden.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Promote canonicalField to backend</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Move the alias table from lib/hsl-aliases.ts into a Postgres function used by ier_refresh_hsl() and find-by-needles-full. Lets the inverted index store canonical keys directly, removing the per-query fold.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MRO-augmented cue extraction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Use the cue_set from short-circuit-strength MRO hits to seed cue extraction on similar queries. Already partially implemented (seedCuesWithMroHits) but not wired into the default path.</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Per-tenant alias table override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Some tenants will have schema variations the global alias table doesn't capture. Allow per-tenant additions to the alias map without forking the lib.</w:t>
            </w:r>
          </w:p>
        </w:tc>
      </w:tr>
    </w:tbl>
    <w:p>
      <w:pPr>
        <w:pStyle w:val="Heading1"/>
        <w:spacing w:after="140" w:before="280"/>
      </w:pPr>
      <w:r>
        <w:rPr>
          <w:rFonts w:ascii="Calibri" w:cs="Calibri" w:eastAsia="Calibri" w:hAnsi="Calibri"/>
          <w:b/>
          <w:bCs/>
          <w:color w:val="1F3864"/>
          <w:sz w:val="32"/>
          <w:szCs w:val="32"/>
        </w:rPr>
        <w:t xml:space="preserve">11.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File</w:t>
            </w:r>
          </w:p>
        </w:tc>
        <w:tc>
          <w:tcPr>
            <w:tcW w:type="dxa" w:w="596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r>
              <w:rPr>
                <w:rFonts w:ascii="Calibri" w:cs="Calibri" w:eastAsia="Calibri" w:hAnsi="Calibri"/>
                <w:b/>
                <w:bCs/>
                <w:color w:val="000000"/>
                <w:sz w:val="18"/>
                <w:szCs w:val="18"/>
              </w:rPr>
              <w:t xml:space="preserve">Contribution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lib/aio-math.ts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extractCues, traverseHSL, computeHslBoost, getMatchedHslIds, collectHslPointerNames, diversifyByCSV, dedupByJaccard, assembleBundle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lib/hsl-aliases.ts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canonicalField — alias table for cross-CSV header normalization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lib/aio-chat-pipeline.ts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runChatPipeline — orchestrator; threads cues into HSL probe, AIO scope union, rank, dedup, substrate assembly</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infophysics_impl_grade/api/routes/hsl.py</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find-by-needles-full endpoint (exact + fuzzy paths)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migrations/017_information_element_refs.sql</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Inverted index introduced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migrations/029_fix_hsl_ier_index.sql</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ier_refresh_hsl() fixed to parse hsl_name; backfill for existing rows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val="false"/>
                <w:bCs w:val="false"/>
                <w:color w:val="000000"/>
                <w:sz w:val="18"/>
                <w:szCs w:val="18"/>
              </w:rPr>
              <w:t xml:space="preserve">migrations/031_information_element_refs_trigram.sql</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18"/>
                <w:szCs w:val="18"/>
              </w:rPr>
              <w:t xml:space="preserve">pg_trgm extension + GIN index on value_lower for fuzzy retrieval</w:t>
            </w:r>
          </w:p>
        </w:tc>
      </w:tr>
    </w:tbl>
    <w:p>
      <w:pPr>
        <w:spacing w:after="60" w:before="60"/>
        <w:jc w:val="left"/>
      </w:pPr>
      <w:r>
        <w:rPr>
          <w:rFonts w:ascii="Calibri" w:cs="Calibri" w:eastAsia="Calibri" w:hAnsi="Calibri"/>
          <w:b w:val="false"/>
          <w:bCs w:val="false"/>
          <w:i w:val="false"/>
          <w:iCs w:val="false"/>
          <w:color w:val="000000"/>
          <w:sz w:val="20"/>
          <w:szCs w:val="20"/>
        </w:rPr>
        <w:t xml:space="preserve"/>
      </w:r>
    </w:p>
    <w:p>
      <w:pPr>
        <w:spacing w:after="60" w:before="320"/>
        <w:jc w:val="center"/>
      </w:pPr>
      <w:r>
        <w:rPr>
          <w:rFonts w:ascii="Calibri" w:cs="Calibri" w:eastAsia="Calibri" w:hAnsi="Calibri"/>
          <w:b w:val="false"/>
          <w:bCs w:val="false"/>
          <w:i/>
          <w:iCs/>
          <w:color w:val="2E5090"/>
          <w:sz w:val="20"/>
          <w:szCs w:val="20"/>
        </w:rPr>
        <w:t xml:space="preserve">End of document.</w:t>
      </w:r>
    </w:p>
    <w:p>
      <w:pPr>
        <w:spacing w:after="60" w:before="60"/>
        <w:jc w:val="center"/>
      </w:pPr>
      <w:r>
        <w:rPr>
          <w:rFonts w:ascii="Calibri" w:cs="Calibri" w:eastAsia="Calibri" w:hAnsi="Calibri"/>
          <w:b w:val="false"/>
          <w:bCs w:val="false"/>
          <w:i/>
          <w:iCs/>
          <w:color w:val="808080"/>
          <w:sz w:val="16"/>
          <w:szCs w:val="16"/>
        </w:rPr>
        <w:t xml:space="preserve">Generated 2026-04-29T16:26:56.105Z · Information Physics V4.5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2026-04-29T16:26:56.106Z</dcterms:created>
  <dcterms:modified xsi:type="dcterms:W3CDTF">2026-04-29T16:26:56.106Z</dcterms:modified>
</cp:coreProperties>
</file>

<file path=docProps/custom.xml><?xml version="1.0" encoding="utf-8"?>
<Properties xmlns="http://schemas.openxmlformats.org/officeDocument/2006/custom-properties" xmlns:vt="http://schemas.openxmlformats.org/officeDocument/2006/docPropsVTypes"/>
</file>