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C00000"/>
          <w:sz w:val="22"/>
          <w:szCs w:val="22"/>
        </w:rPr>
        <w:t xml:space="preserve">CONFIDENTIAL — TRADE SECRET</w:t>
      </w:r>
    </w:p>
    <w:p>
      <w:pPr>
        <w:pBdr>
          <w:bottom w:val="single" w:color="C00000" w:sz="8" w:space="4"/>
        </w:pBdr>
        <w:spacing w:after="1200" w:before="0"/>
        <w:jc w:val="center"/>
      </w:pPr>
      <w:r>
        <w:rPr>
          <w:rFonts w:ascii="Calibri" w:cs="Calibri" w:eastAsia="Calibri" w:hAnsi="Calibri"/>
          <w:i/>
          <w:iCs/>
          <w:color w:val="C00000"/>
          <w:sz w:val="18"/>
          <w:szCs w:val="18"/>
        </w:rPr>
        <w:t xml:space="preserve">Subject to Transaction-Grade One-Way NDA</w:t>
      </w:r>
    </w:p>
    <w:p>
      <w:pPr>
        <w:spacing w:after="240" w:before="600"/>
        <w:jc w:val="center"/>
      </w:pPr>
      <w:r>
        <w:rPr>
          <w:rFonts w:ascii="Calibri" w:cs="Calibri" w:eastAsia="Calibri" w:hAnsi="Calibri"/>
          <w:b/>
          <w:bCs/>
          <w:color w:val="1F4E79"/>
          <w:sz w:val="56"/>
          <w:szCs w:val="56"/>
        </w:rPr>
        <w:t xml:space="preserve">Technical Notes</w:t>
      </w:r>
    </w:p>
    <w:p>
      <w:pPr>
        <w:spacing w:after="120" w:before="0"/>
        <w:jc w:val="center"/>
      </w:pPr>
      <w:r>
        <w:rPr>
          <w:rFonts w:ascii="Calibri" w:cs="Calibri" w:eastAsia="Calibri" w:hAnsi="Calibri"/>
          <w:b/>
          <w:bCs/>
          <w:color w:val="1F4E79"/>
          <w:sz w:val="44"/>
          <w:szCs w:val="44"/>
        </w:rPr>
        <w:t xml:space="preserve">Bulk HSL Build</w:t>
      </w:r>
    </w:p>
    <w:p>
      <w:pPr>
        <w:spacing w:after="600" w:before="0"/>
        <w:jc w:val="center"/>
      </w:pPr>
      <w:r>
        <w:rPr>
          <w:rFonts w:ascii="Calibri" w:cs="Calibri" w:eastAsia="Calibri" w:hAnsi="Calibri"/>
          <w:i/>
          <w:iCs/>
          <w:color w:val="595959"/>
          <w:sz w:val="26"/>
          <w:szCs w:val="26"/>
        </w:rPr>
        <w:t xml:space="preserve">Logic, Workflow, and Operational Notes for the Tenant-Wide HSL Reconstruction Function</w:t>
      </w:r>
    </w:p>
    <w:p>
      <w:pPr>
        <w:spacing w:after="120" w:before="1200"/>
        <w:jc w:val="center"/>
      </w:pPr>
      <w:r>
        <w:rPr>
          <w:rFonts w:ascii="Calibri" w:cs="Calibri" w:eastAsia="Calibri" w:hAnsi="Calibri"/>
          <w:sz w:val="22"/>
          <w:szCs w:val="22"/>
        </w:rPr>
        <w:t xml:space="preserve">Document Class: Engineering Reference — Internal / NDA-Restricted</w:t>
      </w:r>
    </w:p>
    <w:p>
      <w:pPr>
        <w:spacing w:after="120" w:before="0"/>
        <w:jc w:val="center"/>
      </w:pPr>
      <w:r>
        <w:rPr>
          <w:rFonts w:ascii="Calibri" w:cs="Calibri" w:eastAsia="Calibri" w:hAnsi="Calibri"/>
          <w:b/>
          <w:bCs/>
          <w:sz w:val="24"/>
          <w:szCs w:val="24"/>
        </w:rPr>
        <w:t xml:space="preserve">InformationPhysics.ai, LLC</w:t>
      </w:r>
    </w:p>
    <w:p>
      <w:pPr>
        <w:spacing w:after="60" w:before="0"/>
        <w:jc w:val="center"/>
      </w:pPr>
      <w:r>
        <w:rPr>
          <w:rFonts w:ascii="Calibri" w:cs="Calibri" w:eastAsia="Calibri" w:hAnsi="Calibri"/>
          <w:sz w:val="22"/>
          <w:szCs w:val="22"/>
        </w:rPr>
        <w:t xml:space="preserve">April 2026</w:t>
      </w:r>
    </w:p>
    <w:p>
      <w:pPr>
        <w:spacing w:after="60" w:before="0"/>
        <w:jc w:val="center"/>
      </w:pPr>
      <w:r>
        <w:rPr>
          <w:rFonts w:ascii="Calibri" w:cs="Calibri" w:eastAsia="Calibri" w:hAnsi="Calibri"/>
          <w:sz w:val="22"/>
          <w:szCs w:val="22"/>
        </w:rPr>
        <w:t xml:space="preserve">Author of record: Michael Simon Bodner, Ph.D.</w:t>
      </w:r>
    </w:p>
    <w:p>
      <w:pPr>
        <w:spacing w:after="120" w:before="0"/>
        <w:jc w:val="center"/>
      </w:pPr>
      <w:r>
        <w:rPr>
          <w:rFonts w:ascii="Calibri" w:cs="Calibri" w:eastAsia="Calibri" w:hAnsi="Calibri"/>
          <w:sz w:val="22"/>
          <w:szCs w:val="22"/>
        </w:rPr>
        <w:t xml:space="preserve">Software Version: V4.3.0  —  Endpoint: POST /v1/hsl-data/rebuild-from-aios</w:t>
      </w:r>
    </w:p>
    <w:p>
      <w:pPr>
        <w:spacing w:before="1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val="clear"/>
            <w:tcMar>
              <w:top w:type="dxa" w:w="200"/>
              <w:left w:type="dxa" w:w="200"/>
              <w:bottom w:type="dxa" w:w="200"/>
              <w:right w:type="dxa" w:w="200"/>
            </w:tcMar>
          </w:tcPr>
          <w:p>
            <w:pPr>
              <w:spacing w:after="80"/>
              <w:jc w:val="center"/>
            </w:pPr>
            <w:r>
              <w:rPr>
                <w:rFonts w:ascii="Calibri" w:cs="Calibri" w:eastAsia="Calibri" w:hAnsi="Calibri"/>
                <w:b/>
                <w:bCs/>
                <w:color w:val="C00000"/>
                <w:sz w:val="22"/>
                <w:szCs w:val="22"/>
              </w:rPr>
              <w:t xml:space="preserve">NOTICE OF CONFIDENTIALITY AND TRADE-SECRET STATUS</w:t>
            </w:r>
          </w:p>
          <w:p>
            <w:pPr>
              <w:spacing w:after="0"/>
            </w:pPr>
            <w:r>
              <w:rPr>
                <w:rFonts w:ascii="Calibri" w:cs="Calibri" w:eastAsia="Calibri" w:hAnsi="Calibri"/>
                <w:i/>
                <w:iCs/>
                <w:color w:val="595959"/>
                <w:sz w:val="18"/>
                <w:szCs w:val="18"/>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the public marketing or buyer-facing materials. It is furnished solely for evaluation under the Transaction-Grade One-Way Non-Disclosure Agreement on file. No portion may be copied, disclosed, or used for any other purpose without prior written consent. Unauthorized use, disclosure, or reproduction is strictly prohibited and may result in civil and criminal liability.</w:t>
            </w:r>
          </w:p>
        </w:tc>
      </w:tr>
    </w:tbl>
    <w:p>
      <w:r>
        <w:br w:type="page"/>
      </w:r>
    </w:p>
    <w:p>
      <w:pPr>
        <w:pStyle w:val="Heading1"/>
        <w:pBdr>
          <w:bottom w:val="single" w:color="1F4E79" w:sz="6" w:space="4"/>
        </w:pBdr>
        <w:spacing w:after="180" w:before="360"/>
      </w:pPr>
      <w:r>
        <w:rPr>
          <w:rFonts w:ascii="Calibri" w:cs="Calibri" w:eastAsia="Calibri" w:hAnsi="Calibri"/>
          <w:b/>
          <w:bCs/>
          <w:color w:val="1F4E79"/>
          <w:sz w:val="32"/>
          <w:szCs w:val="32"/>
        </w:rPr>
        <w:t xml:space="preserve">1. Purpose and Scope</w:t>
      </w:r>
    </w:p>
    <w:p>
      <w:pPr>
        <w:spacing w:after="120" w:before="60"/>
      </w:pPr>
      <w:r>
        <w:rPr>
          <w:rFonts w:ascii="Calibri" w:cs="Calibri" w:eastAsia="Calibri" w:hAnsi="Calibri"/>
          <w:sz w:val="22"/>
          <w:szCs w:val="22"/>
        </w:rPr>
        <w:t xml:space="preserve">Bulk HSL Build is the tenant-wide reconstruction function for the Hyper-Semantic Layer (HSL). Its job is to scan every Associated Information Object (AIO) record belonging to a single tenant, identify the [Key.Value] elements that two or more AIOs share, and emit one HSL pointer record per shared element group. The result is a precomputed, deterministic, query-time-ready relational layer that the AIO Search and Substrate retrieval modes use to traverse the corpus without any embedding store, vector index, or graph database.</w:t>
      </w:r>
    </w:p>
    <w:p>
      <w:pPr>
        <w:spacing w:after="120" w:before="60"/>
      </w:pPr>
      <w:r>
        <w:rPr>
          <w:rFonts w:ascii="Calibri" w:cs="Calibri" w:eastAsia="Calibri" w:hAnsi="Calibri"/>
          <w:sz w:val="22"/>
          <w:szCs w:val="22"/>
        </w:rPr>
        <w:t xml:space="preserve">This document covers the production version of the function as shipped in V4.3.0, exposed at the FastAPI route POST /v1/hsl-data/rebuild-from-aios and surfaced on the application home page as the “Bulk HSL Build” button (immediately to the left of ChatAIO). It is the authoritative engineering description for the function’s logic, inputs, outputs, side effects, performance envelope, and known limitations.</w:t>
      </w:r>
    </w:p>
    <w:p>
      <w:pPr>
        <w:pStyle w:val="Heading3"/>
        <w:spacing w:after="80" w:before="180"/>
      </w:pPr>
      <w:r>
        <w:rPr>
          <w:rFonts w:ascii="Calibri" w:cs="Calibri" w:eastAsia="Calibri" w:hAnsi="Calibri"/>
          <w:b/>
          <w:bCs/>
          <w:color w:val="2E5597"/>
          <w:sz w:val="22"/>
          <w:szCs w:val="22"/>
        </w:rPr>
        <w:t xml:space="preserve">Out of scope</w:t>
      </w:r>
    </w:p>
    <w:p>
      <w:pPr>
        <w:pStyle w:val="ListParagraph"/>
        <w:numPr>
          <w:ilvl w:val="0"/>
          <w:numId w:val="2"/>
        </w:numPr>
        <w:spacing w:after="40" w:before="40"/>
      </w:pPr>
      <w:r>
        <w:rPr>
          <w:rFonts w:ascii="Calibri" w:cs="Calibri" w:eastAsia="Calibri" w:hAnsi="Calibri"/>
          <w:sz w:val="22"/>
          <w:szCs w:val="22"/>
        </w:rPr>
        <w:t xml:space="preserve">HSL hand-edit (covered separately under HSL Data administration).</w:t>
      </w:r>
    </w:p>
    <w:p>
      <w:pPr>
        <w:pStyle w:val="ListParagraph"/>
        <w:numPr>
          <w:ilvl w:val="0"/>
          <w:numId w:val="2"/>
        </w:numPr>
        <w:spacing w:after="40" w:before="40"/>
      </w:pPr>
      <w:r>
        <w:rPr>
          <w:rFonts w:ascii="Calibri" w:cs="Calibri" w:eastAsia="Calibri" w:hAnsi="Calibri"/>
          <w:sz w:val="22"/>
          <w:szCs w:val="22"/>
        </w:rPr>
        <w:t xml:space="preserve">Per-AIO incremental HSL synthesis on AIO insert (a future feature).</w:t>
      </w:r>
    </w:p>
    <w:p>
      <w:pPr>
        <w:pStyle w:val="ListParagraph"/>
        <w:numPr>
          <w:ilvl w:val="0"/>
          <w:numId w:val="2"/>
        </w:numPr>
        <w:spacing w:after="40" w:before="40"/>
      </w:pPr>
      <w:r>
        <w:rPr>
          <w:rFonts w:ascii="Calibri" w:cs="Calibri" w:eastAsia="Calibri" w:hAnsi="Calibri"/>
          <w:sz w:val="22"/>
          <w:szCs w:val="22"/>
        </w:rPr>
        <w:t xml:space="preserve">MRO compaction and trust scoring (covered in the Substrate technote).</w:t>
      </w:r>
    </w:p>
    <w:p>
      <w:pPr>
        <w:pStyle w:val="Heading1"/>
        <w:pBdr>
          <w:bottom w:val="single" w:color="1F4E79" w:sz="6" w:space="4"/>
        </w:pBdr>
        <w:spacing w:after="180" w:before="360"/>
      </w:pPr>
      <w:r>
        <w:rPr>
          <w:rFonts w:ascii="Calibri" w:cs="Calibri" w:eastAsia="Calibri" w:hAnsi="Calibri"/>
          <w:b/>
          <w:bCs/>
          <w:color w:val="1F4E79"/>
          <w:sz w:val="32"/>
          <w:szCs w:val="32"/>
        </w:rPr>
        <w:t xml:space="preserve">2. The Object Model in One Page</w:t>
      </w:r>
    </w:p>
    <w:p>
      <w:pPr>
        <w:spacing w:after="120" w:before="60"/>
      </w:pPr>
      <w:r>
        <w:rPr>
          <w:rFonts w:ascii="Calibri" w:cs="Calibri" w:eastAsia="Calibri" w:hAnsi="Calibri"/>
          <w:sz w:val="22"/>
          <w:szCs w:val="22"/>
        </w:rPr>
        <w:t xml:space="preserve">Bulk HSL Build operates strictly on Layer 1 (AIO) data and writes strictly to the relational HSL layer. It never reads or writes MROs, embeddings, or any external service. Understanding the three layers is sufficient to follow the rest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Layer</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Storage</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What it represents</w:t>
            </w:r>
          </w:p>
        </w:tc>
      </w:tr>
      <w:t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b/>
                <w:bCs/>
                <w:sz w:val="20"/>
                <w:szCs w:val="20"/>
              </w:rPr>
              <w:t xml:space="preserve">AIO
Layer 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aio_data table; aio_name plus 50 element columns elem01..elem50, each holding free-form text containing zero or more [Key.Value] tokens.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A single self-describing observation. Captured as-found, in bracket notation, with no schema commitment. The AIO is the atom of the system.</w:t>
            </w:r>
          </w:p>
        </w:tc>
      </w:tr>
      <w:t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b/>
                <w:bCs/>
                <w:sz w:val="20"/>
                <w:szCs w:val="20"/>
              </w:rPr>
              <w:t xml:space="preserve">HSL
Relational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hsl_data table; hsl_name plus 100 element columns elem01..elem100, each cell holding the aio_name of an AIO that contains the element.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A precomputed pointer set: “all AIOs in this tenant that share the element [Key.Value].” The HSL is a denormalized inverted-index row, not a graph edge.</w:t>
            </w:r>
          </w:p>
        </w:tc>
      </w:tr>
      <w:t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rFonts w:ascii="Calibri" w:cs="Calibri" w:eastAsia="Calibri" w:hAnsi="Calibri"/>
                <w:b/>
                <w:bCs/>
                <w:sz w:val="20"/>
                <w:szCs w:val="20"/>
              </w:rPr>
              <w:t xml:space="preserve">MRO
Layer 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mro_objects table; persisted retrieval episode with query, result, lineage, and trust score.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Episodic memory. Out of scope for this document but referenced because Substrate-mode retrieval consumes the HSLs that Bulk HSL Build produces.</w:t>
            </w:r>
          </w:p>
        </w:tc>
      </w:tr>
    </w:tbl>
    <w:p>
      <w:pPr>
        <w:spacing w:after="120" w:before="60"/>
      </w:pPr>
      <w:r>
        <w:rPr>
          <w:rFonts w:ascii="Calibri" w:cs="Calibri" w:eastAsia="Calibri" w:hAnsi="Calibri"/>
          <w:sz w:val="22"/>
          <w:szCs w:val="22"/>
        </w:rPr>
        <w:t xml:space="preserve">All three tables are tenant-isolated by PostgreSQL Row-Level Security with FORCE ROW LEVEL SECURITY enabled. Bulk HSL Build sets the tenant via SET LOCAL app.tenant_id = &lt;X-Tenant-Id&gt; at the top of its transaction; every SELECT and INSERT in the function is therefore implicitly filtered to that tenant. Cross-tenant leakage is structurally prevented at the database tier, not at the application tier.</w:t>
      </w:r>
    </w:p>
    <w:p>
      <w:pPr>
        <w:pStyle w:val="Heading1"/>
        <w:pBdr>
          <w:bottom w:val="single" w:color="1F4E79" w:sz="6" w:space="4"/>
        </w:pBdr>
        <w:spacing w:after="180" w:before="360"/>
      </w:pPr>
      <w:r>
        <w:rPr>
          <w:rFonts w:ascii="Calibri" w:cs="Calibri" w:eastAsia="Calibri" w:hAnsi="Calibri"/>
          <w:b/>
          <w:bCs/>
          <w:color w:val="1F4E79"/>
          <w:sz w:val="32"/>
          <w:szCs w:val="32"/>
        </w:rPr>
        <w:t xml:space="preserve">3. External Interface (Inputs and Outputs)</w:t>
      </w:r>
    </w:p>
    <w:p>
      <w:pPr>
        <w:spacing w:after="120" w:before="60"/>
      </w:pPr>
      <w:r>
        <w:rPr>
          <w:rFonts w:ascii="Calibri" w:cs="Calibri" w:eastAsia="Calibri" w:hAnsi="Calibri"/>
          <w:sz w:val="22"/>
          <w:szCs w:val="22"/>
        </w:rPr>
        <w:t xml:space="preserve">Bulk HSL Build is a POST endpoint with no request body. It is parameter-free by design: the function rebuilds against the complete AIO set of the requesting tenant in a single deterministic pass. This keeps the operator-facing contract narrow — there is exactly one button, one click, one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Method / Path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POST /v1/hsl-data/rebuild-from-aios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Headers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X-Tenant-Id (optional; defaults to “tenantA”). Authentication is governed by the gateway; the function itself trusts the tenant header.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Body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None. The function takes no parameters: it always rebuilds against the entire AIO set of the requesting tenant.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Side effects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INSERTs new rows into hsl_data. Never UPDATEs or DELETEs. Existing HSL rows are preserved unchanged.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Response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JSON object with four counters: created, skipped_single_aio, already_existed, total_aios_scanned.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Idempotency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Safe to call repeatedly. The duplicate-name check makes a second invocation a no-op for any HSL that already exists, so re-runs converge.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Concurrency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Single transaction per call; one call per tenant at a time is the recommended operational constraint. The system does not currently take an advisory lock; concurrent callers may double-create HSLs that were absent at scan-time — see §8.</w:t>
            </w:r>
          </w:p>
        </w:tc>
      </w:tr>
    </w:tbl>
    <w:p>
      <w:pPr>
        <w:pStyle w:val="Heading3"/>
        <w:spacing w:after="80" w:before="180"/>
      </w:pPr>
      <w:r>
        <w:rPr>
          <w:rFonts w:ascii="Calibri" w:cs="Calibri" w:eastAsia="Calibri" w:hAnsi="Calibri"/>
          <w:b/>
          <w:bCs/>
          <w:color w:val="2E5597"/>
          <w:sz w:val="22"/>
          <w:szCs w:val="22"/>
        </w:rPr>
        <w:t xml:space="preserve">Response shape</w:t>
      </w:r>
    </w:p>
    <w:p>
      <w:pPr>
        <w:pBdr>
          <w:top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"created": &lt;int&gt;,             // new HSL rows inserted in this run</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"skipped_single_aio": &lt;int&gt;,  // [Key.Value] groups that occurred in only 1 AIO</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"already_existed": &lt;int&gt;,     // groups whose hsl_name was already present</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"total_aios_scanned": &lt;int&gt;   // size of the AIO table at scan time</w:t>
      </w:r>
    </w:p>
    <w:p>
      <w:pPr>
        <w:pBdr>
          <w:bottom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w:t>
      </w:r>
    </w:p>
    <w:p>
      <w:pPr>
        <w:pStyle w:val="Heading1"/>
        <w:pBdr>
          <w:bottom w:val="single" w:color="1F4E79" w:sz="6" w:space="4"/>
        </w:pBdr>
        <w:spacing w:after="180" w:before="360"/>
      </w:pPr>
      <w:r>
        <w:rPr>
          <w:rFonts w:ascii="Calibri" w:cs="Calibri" w:eastAsia="Calibri" w:hAnsi="Calibri"/>
          <w:b/>
          <w:bCs/>
          <w:color w:val="1F4E79"/>
          <w:sz w:val="32"/>
          <w:szCs w:val="32"/>
        </w:rPr>
        <w:t xml:space="preserve">4. End-to-End Workflow</w:t>
      </w:r>
    </w:p>
    <w:p>
      <w:pPr>
        <w:spacing w:after="120" w:before="60"/>
      </w:pPr>
      <w:r>
        <w:rPr>
          <w:rFonts w:ascii="Calibri" w:cs="Calibri" w:eastAsia="Calibri" w:hAnsi="Calibri"/>
          <w:sz w:val="22"/>
          <w:szCs w:val="22"/>
        </w:rPr>
        <w:t xml:space="preserve">The function is structured as eleven discrete stages. Stages 2–5 are pure CPU/memory work; stages 7 and 9 are the only stages that touch the database after the initial AIO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Stage</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Behavior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Tenant scoping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Open a database connection, call set_tenant(conn, tenant) which issues SET LOCAL app.tenant_id = &lt;tenant&gt;. RLS now restricts every subsequent query to that tenant.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AIO scan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Execute SELECT aio_name, elem01, elem02, ..., elem50 FROM aio_data. Stream all rows into memory. The scan is a single sequential pass; no index hint is needed because the predicate is implicit (RLS).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Bracket-token extraction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For each non-null element string, run the regex \[([^.\]]+)\.(.+?)\] to extract every [Key.Value] occurrence. Multiple tokens per cell are supported.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Skip-list filter</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Discard tokens whose value is in the skip set { unknown, n/a, none, null, empty, 0, 0.0, false, true } (case-insensitive) or shorter than 2 characters. These would otherwise generate noise HSLs that join unrelated AIOs.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In-memory inverted index</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Build a two-level dict: index[key][value] → [aio_name, ...]. Each AIO contributes once per distinct token it contains. This structure is the canonical inverted index of the tenant’s observations.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Group emission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For each (key, value) entry, take the AIO list. If it has fewer than 2 members, increment skipped_single_aio and continue. If it has ≥2 members, prepare an HSL emission.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Existence check</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Compute the canonical name: hsl_name = “[Key.Value].hsl”. Issue SELECT hsl_id FROM hsl_data WHERE hsl_name = %s LIMIT 1. If a row exists, increment already_existed and continue. Existing HSLs are never overwritten by this function.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Width truncation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Truncate the AIO list to the first 100 names. Pad the remainder of the 100 element columns with NULL. This is the structural cap of the HSL table and is enforced here, not at the schema level.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Insert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INSERT a single row into hsl_data carrying hsl_id (UUID v4), hsl_name, the 100 element columns, created_at, updated_at, and tenant_id. Increment created.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Commit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After every (key, value) pair has been processed, COMMIT once. The entire rebuild is one transaction — either every new HSL lands or none of them does.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b/>
                <w:bCs/>
                <w:sz w:val="20"/>
                <w:szCs w:val="20"/>
              </w:rPr>
              <w:t xml:space="preserve">Telemetry &amp; response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Log a single line at INFO level summarizing the four counters and return the JSON payload to the caller. The frontend toasts “Built N HSLs” using the response.</w:t>
            </w:r>
          </w:p>
        </w:tc>
      </w:tr>
    </w:tbl>
    <w:p>
      <w:pPr>
        <w:pStyle w:val="Heading1"/>
        <w:pBdr>
          <w:bottom w:val="single" w:color="1F4E79" w:sz="6" w:space="4"/>
        </w:pBdr>
        <w:spacing w:after="180" w:before="360"/>
      </w:pPr>
      <w:r>
        <w:rPr>
          <w:rFonts w:ascii="Calibri" w:cs="Calibri" w:eastAsia="Calibri" w:hAnsi="Calibri"/>
          <w:b/>
          <w:bCs/>
          <w:color w:val="1F4E79"/>
          <w:sz w:val="32"/>
          <w:szCs w:val="32"/>
        </w:rPr>
        <w:t xml:space="preserve">5. Algorithmic Detail</w:t>
      </w:r>
    </w:p>
    <w:p>
      <w:pPr>
        <w:pStyle w:val="Heading2"/>
        <w:spacing w:after="120" w:before="240"/>
      </w:pPr>
      <w:r>
        <w:rPr>
          <w:rFonts w:ascii="Calibri" w:cs="Calibri" w:eastAsia="Calibri" w:hAnsi="Calibri"/>
          <w:b/>
          <w:bCs/>
          <w:color w:val="1F4E79"/>
          <w:sz w:val="26"/>
          <w:szCs w:val="26"/>
        </w:rPr>
        <w:t xml:space="preserve">5.1  Bracket-token grammar</w:t>
      </w:r>
    </w:p>
    <w:p>
      <w:pPr>
        <w:spacing w:after="120" w:before="60"/>
      </w:pPr>
      <w:r>
        <w:rPr>
          <w:rFonts w:ascii="Calibri" w:cs="Calibri" w:eastAsia="Calibri" w:hAnsi="Calibri"/>
          <w:sz w:val="22"/>
          <w:szCs w:val="22"/>
        </w:rPr>
        <w:t xml:space="preserve">AIOs encode their elements in bracket notation. A token is the string that matches:</w:t>
      </w:r>
    </w:p>
    <w:p>
      <w:pPr>
        <w:pBdr>
          <w:top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Key . Value ]</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Key   :: one or more characters, NOT containing  .  or  ]</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Value :: one or more characters, NOT containing  ]   (lazy)</w:t>
      </w:r>
    </w:p>
    <w:p>
      <w:pPr>
        <w:pBdr>
          <w:bottom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Regex :: \[([^.\]]+)\.(.+?)\]</w:t>
      </w:r>
    </w:p>
    <w:p>
      <w:pPr>
        <w:spacing w:after="120" w:before="60"/>
      </w:pPr>
      <w:r>
        <w:rPr>
          <w:rFonts w:ascii="Calibri" w:cs="Calibri" w:eastAsia="Calibri" w:hAnsi="Calibri"/>
          <w:sz w:val="22"/>
          <w:szCs w:val="22"/>
        </w:rPr>
        <w:t xml:space="preserve">Both Key and Value are trimmed (.strip()) after capture. Whitespace around the dot is tolerated by the trim but not normalized in storage — this is a deliberate property of the system: the tokens are preserved exactly as entered, and similarity is established at the (Key, Value) tuple level after trim.</w:t>
      </w:r>
    </w:p>
    <w:p>
      <w:pPr>
        <w:pStyle w:val="Heading2"/>
        <w:spacing w:after="120" w:before="240"/>
      </w:pPr>
      <w:r>
        <w:rPr>
          <w:rFonts w:ascii="Calibri" w:cs="Calibri" w:eastAsia="Calibri" w:hAnsi="Calibri"/>
          <w:b/>
          <w:bCs/>
          <w:color w:val="1F4E79"/>
          <w:sz w:val="26"/>
          <w:szCs w:val="26"/>
        </w:rPr>
        <w:t xml:space="preserve">5.2  Skip-list and minimum-length filter</w:t>
      </w:r>
    </w:p>
    <w:p>
      <w:pPr>
        <w:spacing w:after="120" w:before="60"/>
      </w:pPr>
      <w:r>
        <w:rPr>
          <w:rFonts w:ascii="Calibri" w:cs="Calibri" w:eastAsia="Calibri" w:hAnsi="Calibri"/>
          <w:sz w:val="22"/>
          <w:szCs w:val="22"/>
        </w:rPr>
        <w:t xml:space="preserve">Two filters reject low-information tokens before they are inserted into the inverted index:</w:t>
      </w:r>
    </w:p>
    <w:p>
      <w:pPr>
        <w:pStyle w:val="ListParagraph"/>
        <w:numPr>
          <w:ilvl w:val="0"/>
          <w:numId w:val="2"/>
        </w:numPr>
        <w:spacing w:after="40" w:before="40"/>
      </w:pPr>
      <w:r>
        <w:rPr>
          <w:rFonts w:ascii="Calibri" w:cs="Calibri" w:eastAsia="Calibri" w:hAnsi="Calibri"/>
          <w:sz w:val="22"/>
          <w:szCs w:val="22"/>
        </w:rPr>
        <w:t xml:space="preserve">Value-skip set: { “unknown”, “n/a”, “none”, “null”, “”, “0”, “0.0”, “false”, “true” } compared case-insensitively. These are the values that, in practice, occur across hundreds or thousands of unrelated AIOs and would generate giant, semantically empty HSLs.</w:t>
      </w:r>
    </w:p>
    <w:p>
      <w:pPr>
        <w:pStyle w:val="ListParagraph"/>
        <w:numPr>
          <w:ilvl w:val="0"/>
          <w:numId w:val="2"/>
        </w:numPr>
        <w:spacing w:after="40" w:before="40"/>
      </w:pPr>
      <w:r>
        <w:rPr>
          <w:rFonts w:ascii="Calibri" w:cs="Calibri" w:eastAsia="Calibri" w:hAnsi="Calibri"/>
          <w:sz w:val="22"/>
          <w:szCs w:val="22"/>
        </w:rPr>
        <w:t xml:space="preserve">Minimum length: a value of one character is rejected. A single character almost never carries enough specificity to constitute a useful join key.</w:t>
      </w:r>
    </w:p>
    <w:p>
      <w:pPr>
        <w:spacing w:after="120" w:before="60"/>
      </w:pPr>
      <w:r>
        <w:rPr>
          <w:rFonts w:ascii="Calibri" w:cs="Calibri" w:eastAsia="Calibri" w:hAnsi="Calibri"/>
          <w:sz w:val="22"/>
          <w:szCs w:val="22"/>
        </w:rPr>
        <w:t xml:space="preserve">Both filters are conservative by design. False negatives (real signal lost) are rare; false positives (noise HSLs created) would degrade every downstream search.</w:t>
      </w:r>
    </w:p>
    <w:p>
      <w:pPr>
        <w:pStyle w:val="Heading2"/>
        <w:spacing w:after="120" w:before="240"/>
      </w:pPr>
      <w:r>
        <w:rPr>
          <w:rFonts w:ascii="Calibri" w:cs="Calibri" w:eastAsia="Calibri" w:hAnsi="Calibri"/>
          <w:b/>
          <w:bCs/>
          <w:color w:val="1F4E79"/>
          <w:sz w:val="26"/>
          <w:szCs w:val="26"/>
        </w:rPr>
        <w:t xml:space="preserve">5.3  The inverted index as ground truth</w:t>
      </w:r>
    </w:p>
    <w:p>
      <w:pPr>
        <w:spacing w:after="120" w:before="60"/>
      </w:pPr>
      <w:r>
        <w:rPr>
          <w:rFonts w:ascii="Calibri" w:cs="Calibri" w:eastAsia="Calibri" w:hAnsi="Calibri"/>
          <w:sz w:val="22"/>
          <w:szCs w:val="22"/>
        </w:rPr>
        <w:t xml:space="preserve">The inverted index built in stage 5 is the closest thing the system has to a canonical model of tenant knowledge. Every other HSL-producing function in the codebase — admin hand-edit, future incremental rebuilders, the planned per-AIO synth-on-insert — must produce HSLs that are a subset of what this index would emit, otherwise the tenant’s topology becomes inconsistent. Bulk HSL Build is therefore the reference oracle.</w:t>
      </w:r>
    </w:p>
    <w:p>
      <w:pPr>
        <w:pStyle w:val="Heading2"/>
        <w:spacing w:after="120" w:before="240"/>
      </w:pPr>
      <w:r>
        <w:rPr>
          <w:rFonts w:ascii="Calibri" w:cs="Calibri" w:eastAsia="Calibri" w:hAnsi="Calibri"/>
          <w:b/>
          <w:bCs/>
          <w:color w:val="1F4E79"/>
          <w:sz w:val="26"/>
          <w:szCs w:val="26"/>
        </w:rPr>
        <w:t xml:space="preserve">5.4  Determinism</w:t>
      </w:r>
    </w:p>
    <w:p>
      <w:pPr>
        <w:spacing w:after="120" w:before="60"/>
      </w:pPr>
      <w:r>
        <w:rPr>
          <w:rFonts w:ascii="Calibri" w:cs="Calibri" w:eastAsia="Calibri" w:hAnsi="Calibri"/>
          <w:sz w:val="22"/>
          <w:szCs w:val="22"/>
        </w:rPr>
        <w:t xml:space="preserve">The rebuild is deterministic in the (key, value) coverage it produces. Given the same AIO data set, two runs will create the same set of HSL names. The order of AIOs inside a given HSL’s element columns can vary, because Python dict insertion order tracks the AIO scan order, which in turn depends on the row order returned by the database — not guaranteed without an ORDER BY. This is acceptable because HSL columns are an unordered set; downstream search logic treats element columns positionally only as storage, never semantically.</w:t>
      </w:r>
    </w:p>
    <w:p>
      <w:pPr>
        <w:pStyle w:val="Heading2"/>
        <w:spacing w:after="120" w:before="240"/>
      </w:pPr>
      <w:r>
        <w:rPr>
          <w:rFonts w:ascii="Calibri" w:cs="Calibri" w:eastAsia="Calibri" w:hAnsi="Calibri"/>
          <w:b/>
          <w:bCs/>
          <w:color w:val="1F4E79"/>
          <w:sz w:val="26"/>
          <w:szCs w:val="26"/>
        </w:rPr>
        <w:t xml:space="preserve">5.5  Idempotency and the 100-AIO width cap</w:t>
      </w:r>
    </w:p>
    <w:p>
      <w:pPr>
        <w:spacing w:after="120" w:before="60"/>
      </w:pPr>
      <w:r>
        <w:rPr>
          <w:rFonts w:ascii="Calibri" w:cs="Calibri" w:eastAsia="Calibri" w:hAnsi="Calibri"/>
          <w:sz w:val="22"/>
          <w:szCs w:val="22"/>
        </w:rPr>
        <w:t xml:space="preserve">Stage 7’s existence check is the idempotency boundary. A second run finds the row already in place and skips it. There is one consequence: if a tenant has more than 100 AIOs that share an element, only the first 100 (in scan order) are pinned to the HSL by the original run. Subsequent AIOs that would have joined the same group cannot be added by Bulk HSL Build because the existing HSL row is preserved untouched. Operator remediation is described in §8.</w:t>
      </w:r>
    </w:p>
    <w:p>
      <w:pPr>
        <w:pStyle w:val="Heading1"/>
        <w:pBdr>
          <w:bottom w:val="single" w:color="1F4E79" w:sz="6" w:space="4"/>
        </w:pBdr>
        <w:spacing w:after="180" w:before="360"/>
      </w:pPr>
      <w:r>
        <w:rPr>
          <w:rFonts w:ascii="Calibri" w:cs="Calibri" w:eastAsia="Calibri" w:hAnsi="Calibri"/>
          <w:b/>
          <w:bCs/>
          <w:color w:val="1F4E79"/>
          <w:sz w:val="32"/>
          <w:szCs w:val="32"/>
        </w:rPr>
        <w:t xml:space="preserve">6. Code Anatomy</w:t>
      </w:r>
    </w:p>
    <w:p>
      <w:pPr>
        <w:spacing w:after="120" w:before="60"/>
      </w:pPr>
      <w:r>
        <w:rPr>
          <w:rFonts w:ascii="Calibri" w:cs="Calibri" w:eastAsia="Calibri" w:hAnsi="Calibri"/>
          <w:sz w:val="22"/>
          <w:szCs w:val="22"/>
        </w:rPr>
        <w:t xml:space="preserve">The function lives in a single file, infophysics_impl_grade/api/routes/hsl.py, in approximately 70 source lines. Its dependencies are limited to: the project’s db() context manager, the set_tenant() helper, the standard library (re, uuid, datetime), and the column-name constants imported from the AIO module.</w:t>
      </w:r>
    </w:p>
    <w:p>
      <w:pPr>
        <w:pStyle w:val="Heading3"/>
        <w:spacing w:after="80" w:before="180"/>
      </w:pPr>
      <w:r>
        <w:rPr>
          <w:rFonts w:ascii="Calibri" w:cs="Calibri" w:eastAsia="Calibri" w:hAnsi="Calibri"/>
          <w:b/>
          <w:bCs/>
          <w:color w:val="2E5597"/>
          <w:sz w:val="22"/>
          <w:szCs w:val="22"/>
        </w:rPr>
        <w:t xml:space="preserve">6.1  Anchor signature</w:t>
      </w:r>
    </w:p>
    <w:p>
      <w:pPr>
        <w:pBdr>
          <w:top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@router.post("/v1/hsl-data/rebuild-from-aios")</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def rebuild_hsls_from_aios(</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x_tenant_id: Optional[str] = Header(None, alias="X-Tenant-Id"),</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tenant = x_tenant_id or "tenantA"</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_SKIP_VALUES = {"unknown", "n/a", "none", "null", "",</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"0", "0.0", "false", "true"}</w:t>
      </w:r>
    </w:p>
    <w:p>
      <w:pPr>
        <w:pBdr>
          <w:bottom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_VALUE_RE = re.compile(r"\[([^.\]]+)\.(.+?)\]")</w:t>
      </w:r>
    </w:p>
    <w:p>
      <w:pPr>
        <w:pStyle w:val="Heading3"/>
        <w:spacing w:after="80" w:before="180"/>
      </w:pPr>
      <w:r>
        <w:rPr>
          <w:rFonts w:ascii="Calibri" w:cs="Calibri" w:eastAsia="Calibri" w:hAnsi="Calibri"/>
          <w:b/>
          <w:bCs/>
          <w:color w:val="2E5597"/>
          <w:sz w:val="22"/>
          <w:szCs w:val="22"/>
        </w:rPr>
        <w:t xml:space="preserve">6.2  Inverted-index build (excerpted)</w:t>
      </w:r>
    </w:p>
    <w:p>
      <w:pPr>
        <w:pBdr>
          <w:top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for row in aio_rows:</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aio_name = row[0]</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if not aio_name: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continue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for el in row[1:]:</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if not el or not isinstance(el, str):</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continue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for m in _VALUE_RE.finditer(el):</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key = m.group(1).strip()</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val = m.group(2).strip()</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if val.lower() in _SKIP_VALUES or len(val) &lt; 2:</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continue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index.setdefault(key, {})\</w:t>
      </w:r>
    </w:p>
    <w:p>
      <w:pPr>
        <w:pBdr>
          <w:bottom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.setdefault(val, []).append(aio_name)</w:t>
      </w:r>
    </w:p>
    <w:p>
      <w:pPr>
        <w:pStyle w:val="Heading3"/>
        <w:spacing w:after="80" w:before="180"/>
      </w:pPr>
      <w:r>
        <w:rPr>
          <w:rFonts w:ascii="Calibri" w:cs="Calibri" w:eastAsia="Calibri" w:hAnsi="Calibri"/>
          <w:b/>
          <w:bCs/>
          <w:color w:val="2E5597"/>
          <w:sz w:val="22"/>
          <w:szCs w:val="22"/>
        </w:rPr>
        <w:t xml:space="preserve">6.3  Emission (excerpted)</w:t>
      </w:r>
    </w:p>
    <w:p>
      <w:pPr>
        <w:pBdr>
          <w:top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for key, val_map in index.items():</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for val, aio_names in val_map.items():</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if len(aio_names) &lt; 2:</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skipped += 1; continue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hsl_name = f"[{key}.{val}].hsl"</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cur.execute(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"SELECT hsl_id FROM hsl_data WHERE hsl_name = %s LIMIT 1",</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(hsl_name,),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if cur.fetchone():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already_existed += 1; continue</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elems = aio_names[:100] + [None] * (100 - len(aio_names[:100]))</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hsl_id = uuid.uuid4()</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cur.execute(INSERT_SQL,</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[str(hsl_id), hsl_name] + elems</w:t>
      </w:r>
    </w:p>
    <w:p>
      <w:pPr>
        <w:pBdr>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 [now, now, tenant])</w:t>
      </w:r>
    </w:p>
    <w:p>
      <w:pPr>
        <w:pBdr>
          <w:bottom w:val="single" w:color="BFBFBF" w:sz="4"/>
          <w:left w:val="single" w:color="BFBFBF" w:sz="4"/>
          <w:right w:val="single" w:color="BFBFBF" w:sz="4"/>
        </w:pBdr>
        <w:shd w:fill="F2F2F2" w:val="clear"/>
        <w:spacing w:after="0" w:before="0" w:line="240"/>
        <w:ind w:left="200" w:right="200"/>
      </w:pPr>
      <w:r>
        <w:rPr>
          <w:rFonts w:ascii="Consolas" w:cs="Consolas" w:eastAsia="Consolas" w:hAnsi="Consolas"/>
          <w:color w:val="1F2937"/>
          <w:sz w:val="18"/>
          <w:szCs w:val="18"/>
        </w:rPr>
        <w:t xml:space="preserve">        created += 1</w:t>
      </w:r>
    </w:p>
    <w:p>
      <w:pPr>
        <w:pStyle w:val="Heading3"/>
        <w:spacing w:after="80" w:before="180"/>
      </w:pPr>
      <w:r>
        <w:rPr>
          <w:rFonts w:ascii="Calibri" w:cs="Calibri" w:eastAsia="Calibri" w:hAnsi="Calibri"/>
          <w:b/>
          <w:bCs/>
          <w:color w:val="2E5597"/>
          <w:sz w:val="22"/>
          <w:szCs w:val="22"/>
        </w:rPr>
        <w:t xml:space="preserve">6.4  Frontend invocation</w:t>
      </w:r>
    </w:p>
    <w:p>
      <w:pPr>
        <w:spacing w:after="120" w:before="60"/>
      </w:pPr>
      <w:r>
        <w:rPr>
          <w:rFonts w:ascii="Calibri" w:cs="Calibri" w:eastAsia="Calibri" w:hAnsi="Calibri"/>
          <w:sz w:val="22"/>
          <w:szCs w:val="22"/>
        </w:rPr>
        <w:t xml:space="preserve">The home-page button hits the Next.js proxy at /api/hsl-data/rebuild-from-aios, which in turn POSTs to the FastAPI endpoint with the X-Tenant-Id header derived from the active session. The toast displays the four counters returned by the backend.</w:t>
      </w:r>
    </w:p>
    <w:p>
      <w:pPr>
        <w:pStyle w:val="Heading1"/>
        <w:pBdr>
          <w:bottom w:val="single" w:color="1F4E79" w:sz="6" w:space="4"/>
        </w:pBdr>
        <w:spacing w:after="180" w:before="360"/>
      </w:pPr>
      <w:r>
        <w:rPr>
          <w:rFonts w:ascii="Calibri" w:cs="Calibri" w:eastAsia="Calibri" w:hAnsi="Calibri"/>
          <w:b/>
          <w:bCs/>
          <w:color w:val="1F4E79"/>
          <w:sz w:val="32"/>
          <w:szCs w:val="32"/>
        </w:rPr>
        <w:t xml:space="preserve">7. Performance Envelope</w:t>
      </w:r>
    </w:p>
    <w:p>
      <w:pPr>
        <w:spacing w:after="120" w:before="60"/>
      </w:pPr>
      <w:r>
        <w:rPr>
          <w:rFonts w:ascii="Calibri" w:cs="Calibri" w:eastAsia="Calibri" w:hAnsi="Calibri"/>
          <w:sz w:val="22"/>
          <w:szCs w:val="22"/>
        </w:rPr>
        <w:t xml:space="preserve">The asymptotic cost of Bulk HSL Build is dominated by two terms: (a) the AIO scan and bracket-token extraction, which is O(N · E · T) in AIO count N, average elements E, and average tokens T per element; and (b) the per-group existence check and INSERT, which is O(G) database round-trips in the number of distinct (key, value) groups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AIO count</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Tokens scanned (typ.)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HSLs emitted (typ.)</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r>
              <w:rPr>
                <w:rFonts w:ascii="Calibri" w:cs="Calibri" w:eastAsia="Calibri" w:hAnsi="Calibri"/>
                <w:b/>
                <w:bCs/>
                <w:color w:val="FFFFFF"/>
                <w:sz w:val="20"/>
                <w:szCs w:val="20"/>
              </w:rPr>
              <w:t xml:space="preserve">Wall time (typ.)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≈1,500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≈50–150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&lt; 200 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≈15,000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≈500–1,500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0.5 – 1.5 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10,000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≈150,000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≈5,000–15,000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8 – 25 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100,000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≈1,500,000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≈50,000+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alibri" w:cs="Calibri" w:eastAsia="Calibri" w:hAnsi="Calibri"/>
                <w:sz w:val="20"/>
                <w:szCs w:val="20"/>
              </w:rPr>
              <w:t xml:space="preserve">Several minutes; not yet field-tested at this scale.</w:t>
            </w:r>
          </w:p>
        </w:tc>
      </w:tr>
    </w:tbl>
    <w:p>
      <w:pPr>
        <w:spacing w:after="120" w:before="60"/>
      </w:pPr>
      <w:r>
        <w:rPr>
          <w:rFonts w:ascii="Calibri" w:cs="Calibri" w:eastAsia="Calibri" w:hAnsi="Calibri"/>
          <w:sz w:val="22"/>
          <w:szCs w:val="22"/>
        </w:rPr>
        <w:t xml:space="preserve">The figures above are typical observed values on a single Railway-managed PostgreSQL instance with the production schema. They are not guarantees. Two notes for the operational reader:</w:t>
      </w:r>
    </w:p>
    <w:p>
      <w:pPr>
        <w:pStyle w:val="ListParagraph"/>
        <w:numPr>
          <w:ilvl w:val="0"/>
          <w:numId w:val="2"/>
        </w:numPr>
        <w:spacing w:after="40" w:before="40"/>
      </w:pPr>
      <w:r>
        <w:rPr>
          <w:rFonts w:ascii="Calibri" w:cs="Calibri" w:eastAsia="Calibri" w:hAnsi="Calibri"/>
          <w:sz w:val="22"/>
          <w:szCs w:val="22"/>
        </w:rPr>
        <w:t xml:space="preserve">The single-COMMIT design means a long rebuild holds an open transaction. On very large tenants, splitting into batches of ≈5,000 inserts per commit is an unimplemented optimization that should land before any tenant exceeds approximately 25,000 AIOs.</w:t>
      </w:r>
    </w:p>
    <w:p>
      <w:pPr>
        <w:pStyle w:val="ListParagraph"/>
        <w:numPr>
          <w:ilvl w:val="0"/>
          <w:numId w:val="2"/>
        </w:numPr>
        <w:spacing w:after="40" w:before="40"/>
      </w:pPr>
      <w:r>
        <w:rPr>
          <w:rFonts w:ascii="Calibri" w:cs="Calibri" w:eastAsia="Calibri" w:hAnsi="Calibri"/>
          <w:sz w:val="22"/>
          <w:szCs w:val="22"/>
        </w:rPr>
        <w:t xml:space="preserve">The G-count round-trip pattern (one SELECT plus one INSERT per group) is the next optimization target. A single INSERT … ON CONFLICT DO NOTHING with a multi-row VALUES would replace 2G round-trips with O(1).</w:t>
      </w:r>
    </w:p>
    <w:p>
      <w:pPr>
        <w:pStyle w:val="Heading1"/>
        <w:pBdr>
          <w:bottom w:val="single" w:color="1F4E79" w:sz="6" w:space="4"/>
        </w:pBdr>
        <w:spacing w:after="180" w:before="360"/>
      </w:pPr>
      <w:r>
        <w:rPr>
          <w:rFonts w:ascii="Calibri" w:cs="Calibri" w:eastAsia="Calibri" w:hAnsi="Calibri"/>
          <w:b/>
          <w:bCs/>
          <w:color w:val="1F4E79"/>
          <w:sz w:val="32"/>
          <w:szCs w:val="32"/>
        </w:rPr>
        <w:t xml:space="preserve">8. Edge Cases and Known Limitations</w:t>
      </w:r>
    </w:p>
    <w:p>
      <w:pPr>
        <w:pStyle w:val="Heading3"/>
        <w:spacing w:after="80" w:before="180"/>
      </w:pPr>
      <w:r>
        <w:rPr>
          <w:rFonts w:ascii="Calibri" w:cs="Calibri" w:eastAsia="Calibri" w:hAnsi="Calibri"/>
          <w:b/>
          <w:bCs/>
          <w:color w:val="2E5597"/>
          <w:sz w:val="22"/>
          <w:szCs w:val="22"/>
        </w:rPr>
        <w:t xml:space="preserve">8.1  AIOs without aio_name</w:t>
      </w:r>
    </w:p>
    <w:p>
      <w:pPr>
        <w:spacing w:after="120" w:before="60"/>
      </w:pPr>
      <w:r>
        <w:rPr>
          <w:rFonts w:ascii="Calibri" w:cs="Calibri" w:eastAsia="Calibri" w:hAnsi="Calibri"/>
          <w:sz w:val="22"/>
          <w:szCs w:val="22"/>
        </w:rPr>
        <w:t xml:space="preserve">Rows whose aio_name is NULL or empty are skipped at the top of the loop. Such rows should not exist in well-formed tenants but the function tolerates them defensively.</w:t>
      </w:r>
    </w:p>
    <w:p>
      <w:pPr>
        <w:pStyle w:val="Heading3"/>
        <w:spacing w:after="80" w:before="180"/>
      </w:pPr>
      <w:r>
        <w:rPr>
          <w:rFonts w:ascii="Calibri" w:cs="Calibri" w:eastAsia="Calibri" w:hAnsi="Calibri"/>
          <w:b/>
          <w:bCs/>
          <w:color w:val="2E5597"/>
          <w:sz w:val="22"/>
          <w:szCs w:val="22"/>
        </w:rPr>
        <w:t xml:space="preserve">8.2  Non-string element columns</w:t>
      </w:r>
    </w:p>
    <w:p>
      <w:pPr>
        <w:spacing w:after="120" w:before="60"/>
      </w:pPr>
      <w:r>
        <w:rPr>
          <w:rFonts w:ascii="Calibri" w:cs="Calibri" w:eastAsia="Calibri" w:hAnsi="Calibri"/>
          <w:sz w:val="22"/>
          <w:szCs w:val="22"/>
        </w:rPr>
        <w:t xml:space="preserve">Element columns are typed text in the schema, but the function explicitly checks isinstance(el, str). Any future migration that introduces JSON or array columns will require a corresponding extraction path; the current function will silently skip them.</w:t>
      </w:r>
    </w:p>
    <w:p>
      <w:pPr>
        <w:pStyle w:val="Heading3"/>
        <w:spacing w:after="80" w:before="180"/>
      </w:pPr>
      <w:r>
        <w:rPr>
          <w:rFonts w:ascii="Calibri" w:cs="Calibri" w:eastAsia="Calibri" w:hAnsi="Calibri"/>
          <w:b/>
          <w:bCs/>
          <w:color w:val="2E5597"/>
          <w:sz w:val="22"/>
          <w:szCs w:val="22"/>
        </w:rPr>
        <w:t xml:space="preserve">8.3  Tokens containing the closing bracket</w:t>
      </w:r>
    </w:p>
    <w:p>
      <w:pPr>
        <w:spacing w:after="120" w:before="60"/>
      </w:pPr>
      <w:r>
        <w:rPr>
          <w:rFonts w:ascii="Calibri" w:cs="Calibri" w:eastAsia="Calibri" w:hAnsi="Calibri"/>
          <w:sz w:val="22"/>
          <w:szCs w:val="22"/>
        </w:rPr>
        <w:t xml:space="preserve">The lazy quantifier in the value capture (.+?) cannot match a literal “]”. A value that itself contains “]” (e.g., “[Note.see [4]]”) will be truncated to the first inner bracket. This is the price of the simple grammar; values with brackets are rare in real corpora.</w:t>
      </w:r>
    </w:p>
    <w:p>
      <w:pPr>
        <w:pStyle w:val="Heading3"/>
        <w:spacing w:after="80" w:before="180"/>
      </w:pPr>
      <w:r>
        <w:rPr>
          <w:rFonts w:ascii="Calibri" w:cs="Calibri" w:eastAsia="Calibri" w:hAnsi="Calibri"/>
          <w:b/>
          <w:bCs/>
          <w:color w:val="2E5597"/>
          <w:sz w:val="22"/>
          <w:szCs w:val="22"/>
        </w:rPr>
        <w:t xml:space="preserve">8.4  Width cap of 100 AIOs per HSL</w:t>
      </w:r>
    </w:p>
    <w:p>
      <w:pPr>
        <w:spacing w:after="120" w:before="60"/>
      </w:pPr>
      <w:r>
        <w:rPr>
          <w:rFonts w:ascii="Calibri" w:cs="Calibri" w:eastAsia="Calibri" w:hAnsi="Calibri"/>
          <w:sz w:val="22"/>
          <w:szCs w:val="22"/>
        </w:rPr>
        <w:t xml:space="preserve">Once an HSL exists with 100 element columns filled, a later rebuild cannot widen it. The two recommended remediations:</w:t>
      </w:r>
    </w:p>
    <w:p>
      <w:pPr>
        <w:pStyle w:val="ListParagraph"/>
        <w:numPr>
          <w:ilvl w:val="0"/>
          <w:numId w:val="3"/>
        </w:numPr>
        <w:spacing w:after="40" w:before="40"/>
      </w:pPr>
      <w:r>
        <w:rPr>
          <w:rFonts w:ascii="Calibri" w:cs="Calibri" w:eastAsia="Calibri" w:hAnsi="Calibri"/>
          <w:sz w:val="22"/>
          <w:szCs w:val="22"/>
        </w:rPr>
        <w:t xml:space="preserve">Operational: delete the saturated HSL via the HSL admin pane and re-run Bulk HSL Build. The rebuild will rediscover the group and emit a fresh row containing the first 100 (now newly-ordered) AIOs.</w:t>
      </w:r>
    </w:p>
    <w:p>
      <w:pPr>
        <w:pStyle w:val="ListParagraph"/>
        <w:numPr>
          <w:ilvl w:val="0"/>
          <w:numId w:val="3"/>
        </w:numPr>
        <w:spacing w:after="40" w:before="40"/>
      </w:pPr>
      <w:r>
        <w:rPr>
          <w:rFonts w:ascii="Calibri" w:cs="Calibri" w:eastAsia="Calibri" w:hAnsi="Calibri"/>
          <w:sz w:val="22"/>
          <w:szCs w:val="22"/>
        </w:rPr>
        <w:t xml:space="preserve">Engineering: extend the schema beyond 100 columns or migrate the element list to a side table. Both are roadmap items not in V4.3.0.</w:t>
      </w:r>
    </w:p>
    <w:p>
      <w:pPr>
        <w:pStyle w:val="Heading3"/>
        <w:spacing w:after="80" w:before="180"/>
      </w:pPr>
      <w:r>
        <w:rPr>
          <w:rFonts w:ascii="Calibri" w:cs="Calibri" w:eastAsia="Calibri" w:hAnsi="Calibri"/>
          <w:b/>
          <w:bCs/>
          <w:color w:val="2E5597"/>
          <w:sz w:val="22"/>
          <w:szCs w:val="22"/>
        </w:rPr>
        <w:t xml:space="preserve">8.5  Concurrent invocations</w:t>
      </w:r>
    </w:p>
    <w:p>
      <w:pPr>
        <w:spacing w:after="120" w:before="60"/>
      </w:pPr>
      <w:r>
        <w:rPr>
          <w:rFonts w:ascii="Calibri" w:cs="Calibri" w:eastAsia="Calibri" w:hAnsi="Calibri"/>
          <w:sz w:val="22"/>
          <w:szCs w:val="22"/>
        </w:rPr>
        <w:t xml:space="preserve">Two simultaneous calls for the same tenant can both pass the existence check for the same hsl_name and both attempt to INSERT. Without a uniqueness constraint on hsl_name + tenant_id, both rows would land. The operational policy is therefore: one rebuild call per tenant at a time. The engineering remediation is a UNIQUE INDEX hsl_data(tenant_id, hsl_name), which is recommended before exposing the function to multi-operator administration.</w:t>
      </w:r>
    </w:p>
    <w:p>
      <w:pPr>
        <w:pStyle w:val="Heading3"/>
        <w:spacing w:after="80" w:before="180"/>
      </w:pPr>
      <w:r>
        <w:rPr>
          <w:rFonts w:ascii="Calibri" w:cs="Calibri" w:eastAsia="Calibri" w:hAnsi="Calibri"/>
          <w:b/>
          <w:bCs/>
          <w:color w:val="2E5597"/>
          <w:sz w:val="22"/>
          <w:szCs w:val="22"/>
        </w:rPr>
        <w:t xml:space="preserve">8.6  Trailing skip values that are real</w:t>
      </w:r>
    </w:p>
    <w:p>
      <w:pPr>
        <w:spacing w:after="120" w:before="60"/>
      </w:pPr>
      <w:r>
        <w:rPr>
          <w:rFonts w:ascii="Calibri" w:cs="Calibri" w:eastAsia="Calibri" w:hAnsi="Calibri"/>
          <w:sz w:val="22"/>
          <w:szCs w:val="22"/>
        </w:rPr>
        <w:t xml:space="preserve">The skip set is intentional. A tenant whose domain genuinely uses, say, the value “true” as a discriminator will not get HSLs for it. The remediation is to wrap such values with disambiguating text at the source (e.g., “[Status.true-confirmed]”), which is a property of how AIOs are authored, not of this function.</w:t>
      </w:r>
    </w:p>
    <w:p>
      <w:pPr>
        <w:pStyle w:val="Heading3"/>
        <w:spacing w:after="80" w:before="180"/>
      </w:pPr>
      <w:r>
        <w:rPr>
          <w:rFonts w:ascii="Calibri" w:cs="Calibri" w:eastAsia="Calibri" w:hAnsi="Calibri"/>
          <w:b/>
          <w:bCs/>
          <w:color w:val="2E5597"/>
          <w:sz w:val="22"/>
          <w:szCs w:val="22"/>
        </w:rPr>
        <w:t xml:space="preserve">8.7  No removal pass</w:t>
      </w:r>
    </w:p>
    <w:p>
      <w:pPr>
        <w:spacing w:after="120" w:before="60"/>
      </w:pPr>
      <w:r>
        <w:rPr>
          <w:rFonts w:ascii="Calibri" w:cs="Calibri" w:eastAsia="Calibri" w:hAnsi="Calibri"/>
          <w:sz w:val="22"/>
          <w:szCs w:val="22"/>
        </w:rPr>
        <w:t xml:space="preserve">Bulk HSL Build never deletes HSLs. If an AIO is removed and its element drops below the 2-AIO threshold, the corresponding HSL becomes a stale single-pointer row. A planned companion function, “HSL prune,” will sweep these. Until then, the operator path is to delete the saturated/stale HSL by hand and rerun the bulk build.</w:t>
      </w:r>
    </w:p>
    <w:p>
      <w:pPr>
        <w:pStyle w:val="Heading1"/>
        <w:pBdr>
          <w:bottom w:val="single" w:color="1F4E79" w:sz="6" w:space="4"/>
        </w:pBdr>
        <w:spacing w:after="180" w:before="360"/>
      </w:pPr>
      <w:r>
        <w:rPr>
          <w:rFonts w:ascii="Calibri" w:cs="Calibri" w:eastAsia="Calibri" w:hAnsi="Calibri"/>
          <w:b/>
          <w:bCs/>
          <w:color w:val="1F4E79"/>
          <w:sz w:val="32"/>
          <w:szCs w:val="32"/>
        </w:rPr>
        <w:t xml:space="preserve">9. Operator User Experience</w:t>
      </w:r>
    </w:p>
    <w:p>
      <w:pPr>
        <w:spacing w:after="120" w:before="60"/>
      </w:pPr>
      <w:r>
        <w:rPr>
          <w:rFonts w:ascii="Calibri" w:cs="Calibri" w:eastAsia="Calibri" w:hAnsi="Calibri"/>
          <w:sz w:val="22"/>
          <w:szCs w:val="22"/>
        </w:rPr>
        <w:t xml:space="preserve">Bulk HSL Build is intentionally surfaced as a one-click action on the home page, immediately to the left of ChatAIO. There is no confirmation dialog: the function is non-destructive (it only INSERTs), idempotent (a second click is a no-op for already-existing HSLs), and bounded (it commits in a single transaction).</w:t>
      </w:r>
    </w:p>
    <w:p>
      <w:pPr>
        <w:pStyle w:val="Heading3"/>
        <w:spacing w:after="80" w:before="180"/>
      </w:pPr>
      <w:r>
        <w:rPr>
          <w:rFonts w:ascii="Calibri" w:cs="Calibri" w:eastAsia="Calibri" w:hAnsi="Calibri"/>
          <w:b/>
          <w:bCs/>
          <w:color w:val="2E5597"/>
          <w:sz w:val="22"/>
          <w:szCs w:val="22"/>
        </w:rPr>
        <w:t xml:space="preserve">Visible affordances</w:t>
      </w:r>
    </w:p>
    <w:p>
      <w:pPr>
        <w:pStyle w:val="ListParagraph"/>
        <w:numPr>
          <w:ilvl w:val="0"/>
          <w:numId w:val="2"/>
        </w:numPr>
        <w:spacing w:after="40" w:before="40"/>
      </w:pPr>
      <w:r>
        <w:rPr>
          <w:rFonts w:ascii="Calibri" w:cs="Calibri" w:eastAsia="Calibri" w:hAnsi="Calibri"/>
          <w:sz w:val="22"/>
          <w:szCs w:val="22"/>
        </w:rPr>
        <w:t xml:space="preserve">Button label: “Bulk HSL Build”, with a stacked-layers icon.</w:t>
      </w:r>
    </w:p>
    <w:p>
      <w:pPr>
        <w:pStyle w:val="ListParagraph"/>
        <w:numPr>
          <w:ilvl w:val="0"/>
          <w:numId w:val="2"/>
        </w:numPr>
        <w:spacing w:after="40" w:before="40"/>
      </w:pPr>
      <w:r>
        <w:rPr>
          <w:rFonts w:ascii="Calibri" w:cs="Calibri" w:eastAsia="Calibri" w:hAnsi="Calibri"/>
          <w:sz w:val="22"/>
          <w:szCs w:val="22"/>
        </w:rPr>
        <w:t xml:space="preserve">During execution: the icon swaps to a spinning loader and the label reads “Building HSLs…”. The button is disabled to prevent double-submit from the UI layer (this does not, however, prevent concurrent calls from a second tab — see §8.5).</w:t>
      </w:r>
    </w:p>
    <w:p>
      <w:pPr>
        <w:pStyle w:val="ListParagraph"/>
        <w:numPr>
          <w:ilvl w:val="0"/>
          <w:numId w:val="2"/>
        </w:numPr>
        <w:spacing w:after="40" w:before="40"/>
      </w:pPr>
      <w:r>
        <w:rPr>
          <w:rFonts w:ascii="Calibri" w:cs="Calibri" w:eastAsia="Calibri" w:hAnsi="Calibri"/>
          <w:sz w:val="22"/>
          <w:szCs w:val="22"/>
        </w:rPr>
        <w:t xml:space="preserve">On success: a toast announces “Built N HSLs” using the created counter from the response.</w:t>
      </w:r>
    </w:p>
    <w:p>
      <w:pPr>
        <w:pStyle w:val="ListParagraph"/>
        <w:numPr>
          <w:ilvl w:val="0"/>
          <w:numId w:val="2"/>
        </w:numPr>
        <w:spacing w:after="40" w:before="40"/>
      </w:pPr>
      <w:r>
        <w:rPr>
          <w:rFonts w:ascii="Calibri" w:cs="Calibri" w:eastAsia="Calibri" w:hAnsi="Calibri"/>
          <w:sz w:val="22"/>
          <w:szCs w:val="22"/>
        </w:rPr>
        <w:t xml:space="preserve">On failure: a toast surfaces the error string from the API. The function is transactional, so a backend failure leaves no half-state.</w:t>
      </w:r>
    </w:p>
    <w:p>
      <w:pPr>
        <w:pStyle w:val="Heading3"/>
        <w:spacing w:after="80" w:before="180"/>
      </w:pPr>
      <w:r>
        <w:rPr>
          <w:rFonts w:ascii="Calibri" w:cs="Calibri" w:eastAsia="Calibri" w:hAnsi="Calibri"/>
          <w:b/>
          <w:bCs/>
          <w:color w:val="2E5597"/>
          <w:sz w:val="22"/>
          <w:szCs w:val="22"/>
        </w:rPr>
        <w:t xml:space="preserve">Where the function used to live</w:t>
      </w:r>
    </w:p>
    <w:p>
      <w:pPr>
        <w:spacing w:after="120" w:before="60"/>
      </w:pPr>
      <w:r>
        <w:rPr>
          <w:rFonts w:ascii="Calibri" w:cs="Calibri" w:eastAsia="Calibri" w:hAnsi="Calibri"/>
          <w:sz w:val="22"/>
          <w:szCs w:val="22"/>
        </w:rPr>
        <w:t xml:space="preserve">In V4.2.x the function was reachable only from the Research &amp; Development view, alongside experimental tooling. As of V4.3.0 it has been promoted to the home page because it is the canonical “reset the topology” action that any operator running a fresh demo or onboarding a new tenant needs to perform. The R&amp;D entry point has been removed; this document is the authoritative reference for what that button does.</w:t>
      </w:r>
    </w:p>
    <w:p>
      <w:pPr>
        <w:pStyle w:val="Heading1"/>
        <w:pBdr>
          <w:bottom w:val="single" w:color="1F4E79" w:sz="6" w:space="4"/>
        </w:pBdr>
        <w:spacing w:after="180" w:before="360"/>
      </w:pPr>
      <w:r>
        <w:rPr>
          <w:rFonts w:ascii="Calibri" w:cs="Calibri" w:eastAsia="Calibri" w:hAnsi="Calibri"/>
          <w:b/>
          <w:bCs/>
          <w:color w:val="1F4E79"/>
          <w:sz w:val="32"/>
          <w:szCs w:val="32"/>
        </w:rPr>
        <w:t xml:space="preserve">10. Trade-Secret Surface</w:t>
      </w:r>
    </w:p>
    <w:p>
      <w:pPr>
        <w:spacing w:after="120" w:before="60"/>
      </w:pPr>
      <w:r>
        <w:rPr>
          <w:rFonts w:ascii="Calibri" w:cs="Calibri" w:eastAsia="Calibri" w:hAnsi="Calibri"/>
          <w:sz w:val="22"/>
          <w:szCs w:val="22"/>
        </w:rPr>
        <w:t xml:space="preserve">The non-public, defensible elements of Bulk HSL Build — those that distinguish it from a naive inverted-index builder and that constitute the protectable invention — are enumerated below. Each is described at the level a buyer’s technical evaluator can verify against the source, but not at the level a competitor can reimplement without independent investment.</w:t>
      </w:r>
    </w:p>
    <w:p>
      <w:pPr>
        <w:pStyle w:val="ListParagraph"/>
        <w:numPr>
          <w:ilvl w:val="0"/>
          <w:numId w:val="2"/>
        </w:numPr>
        <w:spacing w:after="40" w:before="40"/>
      </w:pPr>
      <w:r>
        <w:rPr>
          <w:rFonts w:ascii="Calibri" w:cs="Calibri" w:eastAsia="Calibri" w:hAnsi="Calibri"/>
          <w:b/>
          <w:bCs/>
          <w:sz w:val="22"/>
          <w:szCs w:val="22"/>
        </w:rPr>
        <w:t xml:space="preserve">The bracket-token grammar as the substrate for HSL synthesis. </w:t>
      </w:r>
      <w:r>
        <w:rPr>
          <w:rFonts w:ascii="Calibri" w:cs="Calibri" w:eastAsia="Calibri" w:hAnsi="Calibri"/>
          <w:sz w:val="22"/>
          <w:szCs w:val="22"/>
        </w:rPr>
        <w:t xml:space="preserve">AIOs are not parsed by a per-tenant schema; they are parsed by a single regex that treats every observation as a sequence of [Key.Value] tokens. This is the design choice that allows the same function to operate on financial, clinical, manufacturing, and narrative corpora without modification.</w:t>
      </w:r>
    </w:p>
    <w:p>
      <w:pPr>
        <w:pStyle w:val="ListParagraph"/>
        <w:numPr>
          <w:ilvl w:val="0"/>
          <w:numId w:val="2"/>
        </w:numPr>
        <w:spacing w:after="40" w:before="40"/>
      </w:pPr>
      <w:r>
        <w:rPr>
          <w:rFonts w:ascii="Calibri" w:cs="Calibri" w:eastAsia="Calibri" w:hAnsi="Calibri"/>
          <w:b/>
          <w:bCs/>
          <w:sz w:val="22"/>
          <w:szCs w:val="22"/>
        </w:rPr>
        <w:t xml:space="preserve">The skip-list / minimum-length filter. </w:t>
      </w:r>
      <w:r>
        <w:rPr>
          <w:rFonts w:ascii="Calibri" w:cs="Calibri" w:eastAsia="Calibri" w:hAnsi="Calibri"/>
          <w:sz w:val="22"/>
          <w:szCs w:val="22"/>
        </w:rPr>
        <w:t xml:space="preserve">The exact composition of the skip set was derived from production observation across multiple corpora. It is small enough to be conservative and large enough to suppress the dominant noise classes (booleans, NULL stand-ins, integer zero).</w:t>
      </w:r>
    </w:p>
    <w:p>
      <w:pPr>
        <w:pStyle w:val="ListParagraph"/>
        <w:numPr>
          <w:ilvl w:val="0"/>
          <w:numId w:val="2"/>
        </w:numPr>
        <w:spacing w:after="40" w:before="40"/>
      </w:pPr>
      <w:r>
        <w:rPr>
          <w:rFonts w:ascii="Calibri" w:cs="Calibri" w:eastAsia="Calibri" w:hAnsi="Calibri"/>
          <w:b/>
          <w:bCs/>
          <w:sz w:val="22"/>
          <w:szCs w:val="22"/>
        </w:rPr>
        <w:t xml:space="preserve">The 2-AIO emission threshold and the 100-AIO width cap. </w:t>
      </w:r>
      <w:r>
        <w:rPr>
          <w:rFonts w:ascii="Calibri" w:cs="Calibri" w:eastAsia="Calibri" w:hAnsi="Calibri"/>
          <w:sz w:val="22"/>
          <w:szCs w:val="22"/>
        </w:rPr>
        <w:t xml:space="preserve">Both are tuning constants chosen to make the HSL layer useful without making it gigantic. They are part of the invention, not arbitrary defaults.</w:t>
      </w:r>
    </w:p>
    <w:p>
      <w:pPr>
        <w:pStyle w:val="ListParagraph"/>
        <w:numPr>
          <w:ilvl w:val="0"/>
          <w:numId w:val="2"/>
        </w:numPr>
        <w:spacing w:after="40" w:before="40"/>
      </w:pPr>
      <w:r>
        <w:rPr>
          <w:rFonts w:ascii="Calibri" w:cs="Calibri" w:eastAsia="Calibri" w:hAnsi="Calibri"/>
          <w:b/>
          <w:bCs/>
          <w:sz w:val="22"/>
          <w:szCs w:val="22"/>
        </w:rPr>
        <w:t xml:space="preserve">The canonical hsl_name format “[Key.Value].hsl”. </w:t>
      </w:r>
      <w:r>
        <w:rPr>
          <w:rFonts w:ascii="Calibri" w:cs="Calibri" w:eastAsia="Calibri" w:hAnsi="Calibri"/>
          <w:sz w:val="22"/>
          <w:szCs w:val="22"/>
        </w:rPr>
        <w:t xml:space="preserve">This convention is the link by which Substrate retrieval, R&amp;D tooling, MRO compaction, and the HSL admin pane all agree on which HSL is which. It is also the basis for cross-system interchange.</w:t>
      </w:r>
    </w:p>
    <w:p>
      <w:pPr>
        <w:pStyle w:val="ListParagraph"/>
        <w:numPr>
          <w:ilvl w:val="0"/>
          <w:numId w:val="2"/>
        </w:numPr>
        <w:spacing w:after="40" w:before="40"/>
      </w:pPr>
      <w:r>
        <w:rPr>
          <w:rFonts w:ascii="Calibri" w:cs="Calibri" w:eastAsia="Calibri" w:hAnsi="Calibri"/>
          <w:b/>
          <w:bCs/>
          <w:sz w:val="22"/>
          <w:szCs w:val="22"/>
        </w:rPr>
        <w:t xml:space="preserve">The single-pass, single-transaction, parameter-free contract. </w:t>
      </w:r>
      <w:r>
        <w:rPr>
          <w:rFonts w:ascii="Calibri" w:cs="Calibri" w:eastAsia="Calibri" w:hAnsi="Calibri"/>
          <w:sz w:val="22"/>
          <w:szCs w:val="22"/>
        </w:rPr>
        <w:t xml:space="preserve">Operationally this is what makes the function safe to expose as a one-click home-page action; conceptually it is what makes the relational HSL layer a deterministic function of the AIO set and therefore reproducible without external state.</w:t>
      </w:r>
    </w:p>
    <w:p>
      <w:pPr>
        <w:pStyle w:val="ListParagraph"/>
        <w:numPr>
          <w:ilvl w:val="0"/>
          <w:numId w:val="2"/>
        </w:numPr>
        <w:spacing w:after="40" w:before="40"/>
      </w:pPr>
      <w:r>
        <w:rPr>
          <w:rFonts w:ascii="Calibri" w:cs="Calibri" w:eastAsia="Calibri" w:hAnsi="Calibri"/>
          <w:b/>
          <w:bCs/>
          <w:sz w:val="22"/>
          <w:szCs w:val="22"/>
        </w:rPr>
        <w:t xml:space="preserve">The structural choice to compute HSLs offline rather than as a query-time graph traversal. </w:t>
      </w:r>
      <w:r>
        <w:rPr>
          <w:rFonts w:ascii="Calibri" w:cs="Calibri" w:eastAsia="Calibri" w:hAnsi="Calibri"/>
          <w:sz w:val="22"/>
          <w:szCs w:val="22"/>
        </w:rPr>
        <w:t xml:space="preserve">This is the pivotal architectural commitment of the entire Information Physics platform: retrieval at query time uses HSLs as a lookup, not a computation. Bulk HSL Build is the function that materializes that commitment.</w:t>
      </w:r>
    </w:p>
    <w:p>
      <w:pPr>
        <w:spacing w:after="120" w:before="60"/>
      </w:pPr>
      <w:r>
        <w:rPr>
          <w:rFonts w:ascii="Calibri" w:cs="Calibri" w:eastAsia="Calibri" w:hAnsi="Calibri"/>
          <w:sz w:val="22"/>
          <w:szCs w:val="22"/>
        </w:rPr>
        <w:t xml:space="preserve">Disclosure of any of the above outside the boundary of the Transaction-Grade One-Way NDA on file would constitute a material breach. This document, together with the Buyer Brief and the Information Physics Executive Summary, forms the technical record of the trade-secret surface protected by that NDA.</w:t>
      </w:r>
    </w:p>
    <w:p>
      <w:pPr>
        <w:pStyle w:val="Heading1"/>
        <w:pBdr>
          <w:bottom w:val="single" w:color="1F4E79" w:sz="6" w:space="4"/>
        </w:pBdr>
        <w:spacing w:after="180" w:before="360"/>
      </w:pPr>
      <w:r>
        <w:rPr>
          <w:rFonts w:ascii="Calibri" w:cs="Calibri" w:eastAsia="Calibri" w:hAnsi="Calibri"/>
          <w:b/>
          <w:bCs/>
          <w:color w:val="1F4E79"/>
          <w:sz w:val="32"/>
          <w:szCs w:val="32"/>
        </w:rPr>
        <w:t xml:space="preserve">11. Roadmap (Next Engineering Steps)</w:t>
      </w:r>
    </w:p>
    <w:p>
      <w:pPr>
        <w:pStyle w:val="ListParagraph"/>
        <w:numPr>
          <w:ilvl w:val="0"/>
          <w:numId w:val="3"/>
        </w:numPr>
        <w:spacing w:after="40" w:before="40"/>
      </w:pPr>
      <w:r>
        <w:rPr>
          <w:rFonts w:ascii="Calibri" w:cs="Calibri" w:eastAsia="Calibri" w:hAnsi="Calibri"/>
          <w:sz w:val="22"/>
          <w:szCs w:val="22"/>
        </w:rPr>
        <w:t xml:space="preserve">Add UNIQUE INDEX hsl_data(tenant_id, hsl_name) to make concurrent rebuilds structurally safe.</w:t>
      </w:r>
    </w:p>
    <w:p>
      <w:pPr>
        <w:pStyle w:val="ListParagraph"/>
        <w:numPr>
          <w:ilvl w:val="0"/>
          <w:numId w:val="3"/>
        </w:numPr>
        <w:spacing w:after="40" w:before="40"/>
      </w:pPr>
      <w:r>
        <w:rPr>
          <w:rFonts w:ascii="Calibri" w:cs="Calibri" w:eastAsia="Calibri" w:hAnsi="Calibri"/>
          <w:sz w:val="22"/>
          <w:szCs w:val="22"/>
        </w:rPr>
        <w:t xml:space="preserve">Replace the 2G existence-check round-trips with a batched INSERT … ON CONFLICT DO NOTHING.</w:t>
      </w:r>
    </w:p>
    <w:p>
      <w:pPr>
        <w:pStyle w:val="ListParagraph"/>
        <w:numPr>
          <w:ilvl w:val="0"/>
          <w:numId w:val="3"/>
        </w:numPr>
        <w:spacing w:after="40" w:before="40"/>
      </w:pPr>
      <w:r>
        <w:rPr>
          <w:rFonts w:ascii="Calibri" w:cs="Calibri" w:eastAsia="Calibri" w:hAnsi="Calibri"/>
          <w:sz w:val="22"/>
          <w:szCs w:val="22"/>
        </w:rPr>
        <w:t xml:space="preserve">Implement HSL Prune as the dual function: scan HSLs, remove rows whose surviving element count is &lt; 2.</w:t>
      </w:r>
    </w:p>
    <w:p>
      <w:pPr>
        <w:pStyle w:val="ListParagraph"/>
        <w:numPr>
          <w:ilvl w:val="0"/>
          <w:numId w:val="3"/>
        </w:numPr>
        <w:spacing w:after="40" w:before="40"/>
      </w:pPr>
      <w:r>
        <w:rPr>
          <w:rFonts w:ascii="Calibri" w:cs="Calibri" w:eastAsia="Calibri" w:hAnsi="Calibri"/>
          <w:sz w:val="22"/>
          <w:szCs w:val="22"/>
        </w:rPr>
        <w:t xml:space="preserve">Implement incremental, per-AIO HSL synth-on-insert so that Bulk HSL Build becomes a recovery tool rather than a routine action.</w:t>
      </w:r>
    </w:p>
    <w:p>
      <w:pPr>
        <w:pStyle w:val="ListParagraph"/>
        <w:numPr>
          <w:ilvl w:val="0"/>
          <w:numId w:val="3"/>
        </w:numPr>
        <w:spacing w:after="40" w:before="40"/>
      </w:pPr>
      <w:r>
        <w:rPr>
          <w:rFonts w:ascii="Calibri" w:cs="Calibri" w:eastAsia="Calibri" w:hAnsi="Calibri"/>
          <w:sz w:val="22"/>
          <w:szCs w:val="22"/>
        </w:rPr>
        <w:t xml:space="preserve">Lift the 100-AIO width cap by migrating element columns to a side table (hsl_member) keyed on (hsl_id, aio_name), preserving the relational, no-index, no-graph property.</w:t>
      </w:r>
    </w:p>
    <w:p>
      <w:pPr>
        <w:pStyle w:val="ListParagraph"/>
        <w:numPr>
          <w:ilvl w:val="0"/>
          <w:numId w:val="3"/>
        </w:numPr>
        <w:spacing w:after="40" w:before="40"/>
      </w:pPr>
      <w:r>
        <w:rPr>
          <w:rFonts w:ascii="Calibri" w:cs="Calibri" w:eastAsia="Calibri" w:hAnsi="Calibri"/>
          <w:sz w:val="22"/>
          <w:szCs w:val="22"/>
        </w:rPr>
        <w:t xml:space="preserve">Add an --as-of timestamp parameter to support point-in-time rebuilds for forensic and regression scenarios.</w:t>
      </w:r>
    </w:p>
    <w:p>
      <w:pPr>
        <w:spacing w:after="120" w:before="60"/>
      </w:pPr>
      <w:r>
        <w:rPr>
          <w:rFonts w:ascii="Calibri" w:cs="Calibri" w:eastAsia="Calibri" w:hAnsi="Calibri"/>
          <w:sz w:val="22"/>
          <w:szCs w:val="22"/>
        </w:rPr>
        <w:t xml:space="preserve">Items 1 and 2 are recommended before any production deployment beyond the demo footprint. Items 3–6 are R&amp;D items consistent with the platform’s preserve-first thesis and will be undertaken inside the same trade-secret regime as the existing function.</w:t>
      </w:r>
    </w:p>
    <w:p>
      <w:pPr>
        <w:pBdr>
          <w:top w:val="single" w:color="1F4E79" w:sz="6" w:space="8"/>
        </w:pBdr>
        <w:spacing w:after="0" w:before="600"/>
        <w:jc w:val="center"/>
      </w:pPr>
      <w:r>
        <w:rPr>
          <w:rFonts w:ascii="Calibri" w:cs="Calibri" w:eastAsia="Calibri" w:hAnsi="Calibri"/>
          <w:i/>
          <w:iCs/>
          <w:color w:val="595959"/>
          <w:sz w:val="18"/>
          <w:szCs w:val="18"/>
        </w:rPr>
        <w:t xml:space="preserve">Prepared by InformationPhysics.ai, LLC. Confidential — subject to the Transaction-Grade One-Way NDA on file.</w:t>
      </w:r>
    </w:p>
    <w:p>
      <w:pPr>
        <w:spacing w:after="0" w:before="60"/>
        <w:jc w:val="center"/>
      </w:pPr>
      <w:r>
        <w:rPr>
          <w:rFonts w:ascii="Calibri" w:cs="Calibri" w:eastAsia="Calibri" w:hAnsi="Calibri"/>
          <w:i/>
          <w:iCs/>
          <w:color w:val="595959"/>
          <w:sz w:val="18"/>
          <w:szCs w:val="18"/>
        </w:rPr>
        <w:t xml:space="preserve">© 2026 InformationPhysics.ai, LLC. All rights reserved.</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before="0"/>
    </w:pPr>
    <w:r>
      <w:rPr>
        <w:rFonts w:ascii="Calibri" w:cs="Calibri" w:eastAsia="Calibri" w:hAnsi="Calibri"/>
        <w:i/>
        <w:iCs/>
        <w:color w:val="595959"/>
        <w:sz w:val="16"/>
        <w:szCs w:val="16"/>
      </w:rPr>
      <w:t xml:space="preserve">Subject to NDA — Do Not Distribute</w:t>
    </w:r>
    <w:r>
      <w:rPr>
        <w:rFonts w:ascii="Calibri" w:cs="Calibri" w:eastAsia="Calibri" w:hAnsi="Calibri"/>
        <w:color w:val="595959"/>
        <w:sz w:val="16"/>
        <w:szCs w:val="16"/>
      </w:rPr>
      <w:t xml:space="preserve">	Technical Notes — Bulk HSL Build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4"/>
      </w:pBdr>
      <w:spacing w:after="0"/>
      <w:jc w:val="center"/>
    </w:pPr>
    <w:r>
      <w:rPr>
        <w:rFonts w:ascii="Calibri" w:cs="Calibri" w:eastAsia="Calibri" w:hAnsi="Calibri"/>
        <w:b/>
        <w:bCs/>
        <w:color w:val="C00000"/>
        <w:sz w:val="16"/>
        <w:szCs w:val="16"/>
      </w:rPr>
      <w:t xml:space="preserve">CONFIDENTIAL — TRADE SECRET   |   InformationPhysics.ai,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Notes — Bulk HSL Build</dc:title>
  <dc:creator>InformationPhysics.ai, LLC</dc:creator>
  <dc:description>Confidential trade-secret technical notes for the Bulk HSL Build function in the Information Physics Demo System V4.3.0</dc:description>
  <cp:lastModifiedBy>Un-named</cp:lastModifiedBy>
  <cp:revision>1</cp:revision>
  <dcterms:created xsi:type="dcterms:W3CDTF">2026-04-26T16:48:51.530Z</dcterms:created>
  <dcterms:modified xsi:type="dcterms:W3CDTF">2026-04-26T16:48:51.531Z</dcterms:modified>
</cp:coreProperties>
</file>

<file path=docProps/custom.xml><?xml version="1.0" encoding="utf-8"?>
<Properties xmlns="http://schemas.openxmlformats.org/officeDocument/2006/custom-properties" xmlns:vt="http://schemas.openxmlformats.org/officeDocument/2006/docPropsVTypes"/>
</file>