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color w:val="C00000"/>
          <w:sz w:val="22"/>
          <w:szCs w:val="22"/>
        </w:rPr>
        <w:t xml:space="preserve">CONFIDENTIAL — TRADE SECRET</w:t>
      </w:r>
    </w:p>
    <w:p>
      <w:pPr>
        <w:pBdr>
          <w:bottom w:val="single" w:color="C00000" w:sz="8" w:space="4"/>
        </w:pBdr>
        <w:spacing w:after="1200" w:before="0"/>
        <w:jc w:val="center"/>
      </w:pPr>
      <w:r>
        <w:rPr>
          <w:rFonts w:ascii="Calibri" w:cs="Calibri" w:eastAsia="Calibri" w:hAnsi="Calibri"/>
          <w:i/>
          <w:iCs/>
          <w:color w:val="C00000"/>
          <w:sz w:val="18"/>
          <w:szCs w:val="18"/>
        </w:rPr>
        <w:t xml:space="preserve">Subject to Transaction-Grade One-Way NDA</w:t>
      </w:r>
    </w:p>
    <w:p>
      <w:pPr>
        <w:spacing w:after="240" w:before="600"/>
        <w:jc w:val="center"/>
      </w:pPr>
      <w:r>
        <w:rPr>
          <w:rFonts w:ascii="Calibri" w:cs="Calibri" w:eastAsia="Calibri" w:hAnsi="Calibri"/>
          <w:b/>
          <w:bCs/>
          <w:color w:val="1F4E79"/>
          <w:sz w:val="56"/>
          <w:szCs w:val="56"/>
        </w:rPr>
        <w:t xml:space="preserve">Information Physics Demo System</w:t>
      </w:r>
    </w:p>
    <w:p>
      <w:pPr>
        <w:spacing w:after="600" w:before="0"/>
        <w:jc w:val="center"/>
      </w:pPr>
      <w:r>
        <w:rPr>
          <w:rFonts w:ascii="Calibri" w:cs="Calibri" w:eastAsia="Calibri" w:hAnsi="Calibri"/>
          <w:i/>
          <w:iCs/>
          <w:color w:val="595959"/>
          <w:sz w:val="28"/>
          <w:szCs w:val="28"/>
        </w:rPr>
        <w:t xml:space="preserve">A Prototype Platform, Research &amp; Development Tool, and Proof of Concept for the Information Physics Standard Model</w:t>
      </w:r>
    </w:p>
    <w:p>
      <w:pPr>
        <w:spacing w:after="120" w:before="1200"/>
        <w:jc w:val="center"/>
      </w:pPr>
      <w:r>
        <w:rPr>
          <w:rFonts w:ascii="Calibri" w:cs="Calibri" w:eastAsia="Calibri" w:hAnsi="Calibri"/>
          <w:sz w:val="22"/>
          <w:szCs w:val="22"/>
        </w:rPr>
        <w:t xml:space="preserve">Prepared for prospective acquirers, licensees, and strategic partners</w:t>
      </w:r>
    </w:p>
    <w:p>
      <w:pPr>
        <w:spacing w:after="120" w:before="0"/>
        <w:jc w:val="center"/>
      </w:pPr>
      <w:r>
        <w:rPr>
          <w:rFonts w:ascii="Calibri" w:cs="Calibri" w:eastAsia="Calibri" w:hAnsi="Calibri"/>
          <w:b/>
          <w:bCs/>
          <w:sz w:val="24"/>
          <w:szCs w:val="24"/>
        </w:rPr>
        <w:t xml:space="preserve">InformationPhysics.ai, LLC</w:t>
      </w:r>
    </w:p>
    <w:p>
      <w:pPr>
        <w:spacing w:after="60" w:before="0"/>
        <w:jc w:val="center"/>
      </w:pPr>
      <w:r>
        <w:rPr>
          <w:rFonts w:ascii="Calibri" w:cs="Calibri" w:eastAsia="Calibri" w:hAnsi="Calibri"/>
          <w:sz w:val="22"/>
          <w:szCs w:val="22"/>
        </w:rPr>
        <w:t xml:space="preserve">April 2026</w:t>
      </w:r>
    </w:p>
    <w:p>
      <w:pPr>
        <w:spacing w:after="60" w:before="0"/>
        <w:jc w:val="center"/>
      </w:pPr>
      <w:r>
        <w:rPr>
          <w:rFonts w:ascii="Calibri" w:cs="Calibri" w:eastAsia="Calibri" w:hAnsi="Calibri"/>
          <w:sz w:val="22"/>
          <w:szCs w:val="22"/>
        </w:rPr>
        <w:t xml:space="preserve">Author of record: Michael Simon Bodner, Ph.D.</w:t>
      </w:r>
    </w:p>
    <w:p>
      <w:pPr>
        <w:spacing w:after="120" w:before="0"/>
        <w:jc w:val="center"/>
      </w:pPr>
      <w:r>
        <w:rPr>
          <w:rFonts w:ascii="Calibri" w:cs="Calibri" w:eastAsia="Calibri" w:hAnsi="Calibri"/>
          <w:sz w:val="22"/>
          <w:szCs w:val="22"/>
        </w:rPr>
        <w:t xml:space="preserve">Software Version: V4.2.0 (desktop + cloud)</w:t>
      </w:r>
    </w:p>
    <w:p>
      <w:pPr>
        <w:spacing w:before="10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single" w:color="C00000" w:sz="8"/>
              <w:right w:val="single" w:color="C00000" w:sz="8"/>
            </w:tcBorders>
            <w:shd w:fill="FFF2F2" w:val="clear"/>
            <w:tcMar>
              <w:top w:type="dxa" w:w="200"/>
              <w:left w:type="dxa" w:w="200"/>
              <w:bottom w:type="dxa" w:w="200"/>
              <w:right w:type="dxa" w:w="200"/>
            </w:tcMar>
          </w:tcPr>
          <w:p>
            <w:pPr>
              <w:spacing w:after="80"/>
              <w:jc w:val="center"/>
            </w:pPr>
            <w:r>
              <w:rPr>
                <w:rFonts w:ascii="Calibri" w:cs="Calibri" w:eastAsia="Calibri" w:hAnsi="Calibri"/>
                <w:b/>
                <w:bCs/>
                <w:color w:val="C00000"/>
                <w:sz w:val="22"/>
                <w:szCs w:val="22"/>
              </w:rPr>
              <w:t xml:space="preserve">NOTICE OF CONFIDENTIALITY AND TRADE-SECRET STATUS</w:t>
            </w:r>
          </w:p>
          <w:p>
            <w:pPr>
              <w:spacing w:after="0"/>
            </w:pPr>
            <w:r>
              <w:rPr>
                <w:rFonts w:ascii="Calibri" w:cs="Calibri" w:eastAsia="Calibri" w:hAnsi="Calibri"/>
                <w:i/>
                <w:iCs/>
                <w:color w:val="595959"/>
                <w:sz w:val="18"/>
                <w:szCs w:val="18"/>
              </w:rPr>
              <w:t xml:space="preserve">This document contains confidential information and trade secrets of InformationPhysics.ai, LLC. It is furnished solely for the purpose of evaluating a potential transaction and is subject to the Transaction-Grade One-Way Non-Disclosure Agreement on file. No portion may be copied, disclosed, or used for any other purpose without the prior written consent of InformationPhysics.ai, LLC. Unauthorized use, disclosure, or reproduction is strictly prohibited and may result in civil and criminal liability.</w:t>
            </w:r>
          </w:p>
        </w:tc>
      </w:tr>
    </w:tbl>
    <w:p>
      <w:r>
        <w:br w:type="page"/>
      </w:r>
    </w:p>
    <w:p>
      <w:pPr>
        <w:pStyle w:val="Heading1"/>
        <w:pBdr>
          <w:bottom w:val="single" w:color="1F4E79" w:sz="6" w:space="4"/>
        </w:pBdr>
        <w:spacing w:after="180" w:before="360"/>
      </w:pPr>
      <w:r>
        <w:rPr>
          <w:rFonts w:ascii="Calibri" w:cs="Calibri" w:eastAsia="Calibri" w:hAnsi="Calibri"/>
          <w:b/>
          <w:bCs/>
          <w:color w:val="1F4E79"/>
          <w:sz w:val="32"/>
          <w:szCs w:val="32"/>
        </w:rPr>
        <w:t xml:space="preserve">1. Executive Summary</w:t>
      </w:r>
    </w:p>
    <w:p>
      <w:pPr>
        <w:spacing w:after="120" w:before="60"/>
      </w:pPr>
      <w:r>
        <w:rPr>
          <w:rFonts w:ascii="Calibri" w:cs="Calibri" w:eastAsia="Calibri" w:hAnsi="Calibri"/>
          <w:sz w:val="22"/>
          <w:szCs w:val="22"/>
        </w:rPr>
        <w:t xml:space="preserve">The Information Physics Demo System (the “Platform”) is the working, end-to-end reference implementation of the Information Physics Standard Model — a new architecture for AI memory, retrieval, and reasoning invented by Michael Simon Bodner, Ph.D. and held as proprietary technology by InformationPhysics.ai, LLC.</w:t>
      </w:r>
    </w:p>
    <w:p>
      <w:pPr>
        <w:spacing w:after="120" w:before="60"/>
      </w:pPr>
      <w:r>
        <w:rPr>
          <w:rFonts w:ascii="Calibri" w:cs="Calibri" w:eastAsia="Calibri" w:hAnsi="Calibri"/>
          <w:sz w:val="22"/>
          <w:szCs w:val="22"/>
        </w:rPr>
        <w:t xml:space="preserve">It is offered to a buyer in three concurrent capacities:</w:t>
      </w:r>
    </w:p>
    <w:p>
      <w:pPr>
        <w:pStyle w:val="ListParagraph"/>
        <w:numPr>
          <w:ilvl w:val="0"/>
          <w:numId w:val="2"/>
        </w:numPr>
        <w:spacing w:after="40" w:before="40"/>
      </w:pPr>
      <w:r>
        <w:rPr>
          <w:rFonts w:ascii="Calibri" w:cs="Calibri" w:eastAsia="Calibri" w:hAnsi="Calibri"/>
          <w:sz w:val="22"/>
          <w:szCs w:val="22"/>
        </w:rPr>
        <w:t xml:space="preserve">A Prototype Platform for the underlying technology — a deployable, auditable software system that operationalizes the AIO / HSL / MRO three-layer model on a modern cloud and desktop stack.</w:t>
      </w:r>
    </w:p>
    <w:p>
      <w:pPr>
        <w:pStyle w:val="ListParagraph"/>
        <w:numPr>
          <w:ilvl w:val="0"/>
          <w:numId w:val="2"/>
        </w:numPr>
        <w:spacing w:after="40" w:before="40"/>
      </w:pPr>
      <w:r>
        <w:rPr>
          <w:rFonts w:ascii="Calibri" w:cs="Calibri" w:eastAsia="Calibri" w:hAnsi="Calibri"/>
          <w:sz w:val="22"/>
          <w:szCs w:val="22"/>
        </w:rPr>
        <w:t xml:space="preserve">A Research &amp; Development Tool — an instrumented sandbox for exploring schema-free information capture, semantic-topology retrieval, and episodic memory in production-grade conditions. Every operator surface (System Admin, Compare Modes, MRO Compaction, Budget) was built specifically to make the science observable.</w:t>
      </w:r>
    </w:p>
    <w:p>
      <w:pPr>
        <w:pStyle w:val="ListParagraph"/>
        <w:numPr>
          <w:ilvl w:val="0"/>
          <w:numId w:val="2"/>
        </w:numPr>
        <w:spacing w:after="40" w:before="40"/>
      </w:pPr>
      <w:r>
        <w:rPr>
          <w:rFonts w:ascii="Calibri" w:cs="Calibri" w:eastAsia="Calibri" w:hAnsi="Calibri"/>
          <w:sz w:val="22"/>
          <w:szCs w:val="22"/>
        </w:rPr>
        <w:t xml:space="preserve">A Proof of Concept — a demonstrated, falsifiable answer to the central thesis of Information Physics: that an AI system that preserves observations, precomputes semantic topology, and persists its own retrieval episodes outperforms schema-first / pipeline-first AI on auditability, recall under unanticipated questions, and total cost of ownership.</w:t>
      </w:r>
    </w:p>
    <w:p>
      <w:pPr>
        <w:spacing w:after="120" w:before="60"/>
      </w:pPr>
      <w:r>
        <w:rPr>
          <w:rFonts w:ascii="Calibri" w:cs="Calibri" w:eastAsia="Calibri" w:hAnsi="Calibri"/>
          <w:sz w:val="22"/>
          <w:szCs w:val="22"/>
        </w:rPr>
        <w:t xml:space="preserve">The Platform is not a research notebook. It is a multi-tenant, row-level-secured, FastAPI + Next.js + PostgreSQL system with approximately sixty REST endpoints, an Electron desktop distribution (signed-installer-ready DMGs for Apple Silicon and Intel x64), automated Railway cloud deployment, an Anthropic Claude integration with per-tenant token budget enforcement, and a complete administrator console. It runs today, against real data, with real users.</w:t>
      </w:r>
    </w:p>
    <w:p>
      <w:pPr>
        <w:spacing w:after="120" w:before="60"/>
      </w:pPr>
      <w:r>
        <w:rPr>
          <w:rFonts w:ascii="Calibri" w:cs="Calibri" w:eastAsia="Calibri" w:hAnsi="Calibri"/>
          <w:sz w:val="22"/>
          <w:szCs w:val="22"/>
        </w:rPr>
        <w:t xml:space="preserve">A buyer acquires (a) the executable artifact, (b) the codebase under the existing InformationPhysics.ai trade-secret regime, and (c) a working laboratory for moving the underlying invention from R&amp;D into product.</w:t>
      </w:r>
    </w:p>
    <w:p>
      <w:pPr>
        <w:pStyle w:val="Heading1"/>
        <w:pBdr>
          <w:bottom w:val="single" w:color="1F4E79" w:sz="6" w:space="4"/>
        </w:pBdr>
        <w:spacing w:after="180" w:before="360"/>
      </w:pPr>
      <w:r>
        <w:rPr>
          <w:rFonts w:ascii="Calibri" w:cs="Calibri" w:eastAsia="Calibri" w:hAnsi="Calibri"/>
          <w:b/>
          <w:bCs/>
          <w:color w:val="1F4E79"/>
          <w:sz w:val="32"/>
          <w:szCs w:val="32"/>
        </w:rPr>
        <w:t xml:space="preserve">2. The Underlying Technology — Information Physics in One Page</w:t>
      </w:r>
    </w:p>
    <w:p>
      <w:pPr>
        <w:spacing w:after="120" w:before="60"/>
      </w:pPr>
      <w:r>
        <w:rPr>
          <w:rFonts w:ascii="Calibri" w:cs="Calibri" w:eastAsia="Calibri" w:hAnsi="Calibri"/>
          <w:sz w:val="22"/>
          <w:szCs w:val="22"/>
        </w:rPr>
        <w:t xml:space="preserve">Conventional AI memory architectures (vector RAG, schema-first databases, LLM-only “stateless” systems) share a common failure mode: they discard context to fit the index. Questions that were not anticipated at ingestion time are answered poorly, with no audit trail and no persistent learning.</w:t>
      </w:r>
    </w:p>
    <w:p>
      <w:pPr>
        <w:spacing w:after="120" w:before="60"/>
      </w:pPr>
      <w:r>
        <w:rPr>
          <w:rFonts w:ascii="Calibri" w:cs="Calibri" w:eastAsia="Calibri" w:hAnsi="Calibri"/>
          <w:sz w:val="22"/>
          <w:szCs w:val="22"/>
        </w:rPr>
        <w:t xml:space="preserve">Information Physics inverts the model. Its core paradigm shift is from schema-first to preserve-first information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The Old Way: Schema-First</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The New Way: Preserve-First</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2"/>
                <w:szCs w:val="22"/>
              </w:rPr>
              <w:t xml:space="preserve">Traditional systems require designers to decide which questions matter before storing data. Efficient for structured transactions; brittle when faced with the unpredictable, unstructured nature of modern Generative AI.</w:t>
            </w:r>
          </w:p>
        </w:tc>
        <w:tc>
          <w:tcPr>
            <w:tcW w:type="dxa" w:w="46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top"/>
          </w:tcPr>
          <w:p>
            <w:r>
              <w:rPr>
                <w:rFonts w:ascii="Calibri" w:cs="Calibri" w:eastAsia="Calibri" w:hAnsi="Calibri"/>
                <w:sz w:val="22"/>
                <w:szCs w:val="22"/>
              </w:rPr>
              <w:t xml:space="preserve">Information is captured and preserved in its full, contextual state. Queries, analytics, and AI prompts are treated as measurements applied to that preserved state, allowing the system to answer questions that were never anticipated at ingestion.</w:t>
            </w:r>
          </w:p>
        </w:tc>
      </w:tr>
    </w:tbl>
    <w:p>
      <w:pPr>
        <w:pStyle w:val="Heading2"/>
        <w:spacing w:after="120" w:before="240"/>
      </w:pPr>
      <w:r>
        <w:rPr>
          <w:rFonts w:ascii="Calibri" w:cs="Calibri" w:eastAsia="Calibri" w:hAnsi="Calibri"/>
          <w:b/>
          <w:bCs/>
          <w:color w:val="1F4E79"/>
          <w:sz w:val="26"/>
          <w:szCs w:val="26"/>
        </w:rPr>
        <w:t xml:space="preserve">The Three Structural Primitives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Primitive</w:t>
            </w:r>
          </w:p>
        </w:tc>
        <w:tc>
          <w:tcPr>
            <w:tcW w:type="dxa" w:w="4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Role</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Physical Analogy</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b/>
                <w:bCs/>
                <w:sz w:val="22"/>
                <w:szCs w:val="22"/>
              </w:rPr>
              <w:t xml:space="preserve">AIO — Associated Information Object</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2"/>
                <w:szCs w:val="22"/>
              </w:rPr>
              <w:t xml:space="preserve">A self-describing, minimal observation unit carrying its own semantic labels, provenance, identity, and temporal context. The “atom.”</w:t>
            </w:r>
          </w:p>
        </w:tc>
        <w:tc>
          <w:tcPr>
            <w:tcW w:type="dxa" w:w="22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top"/>
          </w:tcPr>
          <w:p>
            <w:r>
              <w:rPr>
                <w:rFonts w:ascii="Calibri" w:cs="Calibri" w:eastAsia="Calibri" w:hAnsi="Calibri"/>
                <w:sz w:val="22"/>
                <w:szCs w:val="22"/>
              </w:rPr>
              <w:t xml:space="preserve">The quantum particle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b/>
                <w:bCs/>
                <w:sz w:val="22"/>
                <w:szCs w:val="22"/>
              </w:rPr>
              <w:t xml:space="preserve">HSL — Hyper-Semantic Layer</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2"/>
                <w:szCs w:val="22"/>
              </w:rPr>
              <w:t xml:space="preserve">A precomputed, typed-relationship topology that links AIOs by shared elements, similarity, time, or policy. Retrieval becomes traversal, not search.</w:t>
            </w:r>
          </w:p>
        </w:tc>
        <w:tc>
          <w:tcPr>
            <w:tcW w:type="dxa" w:w="22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top"/>
          </w:tcPr>
          <w:p>
            <w:r>
              <w:rPr>
                <w:rFonts w:ascii="Calibri" w:cs="Calibri" w:eastAsia="Calibri" w:hAnsi="Calibri"/>
                <w:sz w:val="22"/>
                <w:szCs w:val="22"/>
              </w:rPr>
              <w:t xml:space="preserve">The connective field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b/>
                <w:bCs/>
                <w:sz w:val="22"/>
                <w:szCs w:val="22"/>
              </w:rPr>
              <w:t xml:space="preserve">MRO — Memory Result Object</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2"/>
                <w:szCs w:val="22"/>
              </w:rPr>
              <w:t xml:space="preserve">A persisted retrieval episode — query, result, search-term lineage, context bundle, and instrument declaration — that becomes future evidence.</w:t>
            </w:r>
          </w:p>
        </w:tc>
        <w:tc>
          <w:tcPr>
            <w:tcW w:type="dxa" w:w="22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top"/>
          </w:tcPr>
          <w:p>
            <w:r>
              <w:rPr>
                <w:rFonts w:ascii="Calibri" w:cs="Calibri" w:eastAsia="Calibri" w:hAnsi="Calibri"/>
                <w:sz w:val="22"/>
                <w:szCs w:val="22"/>
              </w:rPr>
              <w:t xml:space="preserve">Episodic memory</w:t>
            </w:r>
          </w:p>
        </w:tc>
      </w:tr>
    </w:tbl>
    <w:p>
      <w:pPr>
        <w:pStyle w:val="Heading2"/>
        <w:spacing w:after="120" w:before="240"/>
      </w:pPr>
      <w:r>
        <w:rPr>
          <w:rFonts w:ascii="Calibri" w:cs="Calibri" w:eastAsia="Calibri" w:hAnsi="Calibri"/>
          <w:b/>
          <w:bCs/>
          <w:color w:val="1F4E79"/>
          <w:sz w:val="26"/>
          <w:szCs w:val="26"/>
        </w:rPr>
        <w:t xml:space="preserve">The Seven Foundational Laws</w:t>
      </w:r>
    </w:p>
    <w:p>
      <w:pPr>
        <w:spacing w:after="120" w:before="60"/>
      </w:pPr>
      <w:r>
        <w:rPr>
          <w:rFonts w:ascii="Calibri" w:cs="Calibri" w:eastAsia="Calibri" w:hAnsi="Calibri"/>
          <w:sz w:val="22"/>
          <w:szCs w:val="22"/>
        </w:rPr>
        <w:t xml:space="preserve">These laws govern every operation, from data capture through retrieval and synthesis, and are enforced as structural properties of the running system — not advisory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Law</w:t>
            </w:r>
          </w:p>
        </w:tc>
        <w:tc>
          <w:tcPr>
            <w:tcW w:type="dxa" w:w="5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Principle</w:t>
            </w:r>
          </w:p>
        </w:tc>
      </w:tr>
      <w:tr>
        <w:tc>
          <w:tcPr>
            <w:tcW w:type="dxa" w:w="600"/>
            <w:tcBorders>
              <w:top w:val="single" w:color="BFBFBF" w:sz="4"/>
              <w:left w:val="single" w:color="BFBFBF" w:sz="4"/>
              <w:bottom w:val="single" w:color="BFBFBF" w:sz="4"/>
              <w:right w:val="single" w:color="BFBFBF" w:sz="4"/>
            </w:tcBorders>
            <w:shd w:fill="F5F8FC" w:val="clear"/>
            <w:tcMar>
              <w:top w:type="dxa" w:w="100"/>
              <w:left w:type="dxa" w:w="140"/>
              <w:bottom w:type="dxa" w:w="100"/>
              <w:right w:type="dxa" w:w="140"/>
            </w:tcMar>
            <w:vAlign w:val="top"/>
          </w:tcPr>
          <w:p>
            <w:r>
              <w:rPr>
                <w:rFonts w:ascii="Calibri" w:cs="Calibri" w:eastAsia="Calibri" w:hAnsi="Calibri"/>
                <w:b/>
                <w:bCs/>
                <w:sz w:val="22"/>
                <w:szCs w:val="22"/>
              </w:rPr>
              <w:t xml:space="preserve">1</w:t>
            </w:r>
          </w:p>
        </w:tc>
        <w:tc>
          <w:tcPr>
            <w:tcW w:type="dxa" w:w="2800"/>
            <w:tcBorders>
              <w:top w:val="single" w:color="BFBFBF" w:sz="4"/>
              <w:left w:val="single" w:color="BFBFBF" w:sz="4"/>
              <w:bottom w:val="single" w:color="BFBFBF" w:sz="4"/>
              <w:right w:val="single" w:color="BFBFBF" w:sz="4"/>
            </w:tcBorders>
            <w:shd w:fill="F5F8FC" w:val="clear"/>
            <w:tcMar>
              <w:top w:type="dxa" w:w="100"/>
              <w:left w:type="dxa" w:w="140"/>
              <w:bottom w:type="dxa" w:w="100"/>
              <w:right w:type="dxa" w:w="140"/>
            </w:tcMar>
            <w:vAlign w:val="top"/>
          </w:tcPr>
          <w:p>
            <w:r>
              <w:rPr>
                <w:rFonts w:ascii="Calibri" w:cs="Calibri" w:eastAsia="Calibri" w:hAnsi="Calibri"/>
                <w:b/>
                <w:bCs/>
                <w:sz w:val="22"/>
                <w:szCs w:val="22"/>
              </w:rPr>
              <w:t xml:space="preserve">Conservation of Provenance</w:t>
            </w:r>
          </w:p>
        </w:tc>
        <w:tc>
          <w:tcPr>
            <w:tcW w:type="dxa" w:w="5960"/>
            <w:tcBorders>
              <w:top w:val="single" w:color="BFBFBF" w:sz="4"/>
              <w:left w:val="single" w:color="BFBFBF" w:sz="4"/>
              <w:bottom w:val="single" w:color="BFBFBF" w:sz="4"/>
              <w:right w:val="single" w:color="BFBFBF" w:sz="4"/>
            </w:tcBorders>
            <w:shd w:fill="F5F8FC" w:val="clear"/>
            <w:tcMar>
              <w:top w:type="dxa" w:w="100"/>
              <w:left w:type="dxa" w:w="140"/>
              <w:bottom w:type="dxa" w:w="100"/>
              <w:right w:type="dxa" w:w="140"/>
            </w:tcMar>
            <w:vAlign w:val="top"/>
          </w:tcPr>
          <w:p>
            <w:r>
              <w:rPr>
                <w:rFonts w:ascii="Calibri" w:cs="Calibri" w:eastAsia="Calibri" w:hAnsi="Calibri"/>
                <w:sz w:val="22"/>
                <w:szCs w:val="22"/>
              </w:rPr>
              <w:t xml:space="preserve">Every answer must trace back to its source. No derived result may exist without explicit lineage to the observations that produced it.</w:t>
            </w:r>
          </w:p>
        </w:tc>
      </w:tr>
      <w:tr>
        <w:tc>
          <w:tcPr>
            <w:tcW w:type="dxa" w:w="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r>
              <w:rPr>
                <w:rFonts w:ascii="Calibri" w:cs="Calibri" w:eastAsia="Calibri" w:hAnsi="Calibri"/>
                <w:b/>
                <w:bCs/>
                <w:sz w:val="22"/>
                <w:szCs w:val="22"/>
              </w:rPr>
              <w:t xml:space="preserve">2</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r>
              <w:rPr>
                <w:rFonts w:ascii="Calibri" w:cs="Calibri" w:eastAsia="Calibri" w:hAnsi="Calibri"/>
                <w:b/>
                <w:bCs/>
                <w:sz w:val="22"/>
                <w:szCs w:val="22"/>
              </w:rPr>
              <w:t xml:space="preserve">Contextual Meaning</w:t>
            </w:r>
          </w:p>
        </w:tc>
        <w:tc>
          <w:tcPr>
            <w:tcW w:type="dxa" w:w="5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r>
              <w:rPr>
                <w:rFonts w:ascii="Calibri" w:cs="Calibri" w:eastAsia="Calibri" w:hAnsi="Calibri"/>
                <w:sz w:val="22"/>
                <w:szCs w:val="22"/>
              </w:rPr>
              <w:t xml:space="preserve">No measurement is valid without an explicit context frame. The same data may yield different answers under different measurement conditions.</w:t>
            </w:r>
          </w:p>
        </w:tc>
      </w:tr>
      <w:tr>
        <w:tc>
          <w:tcPr>
            <w:tcW w:type="dxa" w:w="600"/>
            <w:tcBorders>
              <w:top w:val="single" w:color="BFBFBF" w:sz="4"/>
              <w:left w:val="single" w:color="BFBFBF" w:sz="4"/>
              <w:bottom w:val="single" w:color="BFBFBF" w:sz="4"/>
              <w:right w:val="single" w:color="BFBFBF" w:sz="4"/>
            </w:tcBorders>
            <w:shd w:fill="F5F8FC" w:val="clear"/>
            <w:tcMar>
              <w:top w:type="dxa" w:w="100"/>
              <w:left w:type="dxa" w:w="140"/>
              <w:bottom w:type="dxa" w:w="100"/>
              <w:right w:type="dxa" w:w="140"/>
            </w:tcMar>
            <w:vAlign w:val="top"/>
          </w:tcPr>
          <w:p>
            <w:r>
              <w:rPr>
                <w:rFonts w:ascii="Calibri" w:cs="Calibri" w:eastAsia="Calibri" w:hAnsi="Calibri"/>
                <w:b/>
                <w:bCs/>
                <w:sz w:val="22"/>
                <w:szCs w:val="22"/>
              </w:rPr>
              <w:t xml:space="preserve">3</w:t>
            </w:r>
          </w:p>
        </w:tc>
        <w:tc>
          <w:tcPr>
            <w:tcW w:type="dxa" w:w="2800"/>
            <w:tcBorders>
              <w:top w:val="single" w:color="BFBFBF" w:sz="4"/>
              <w:left w:val="single" w:color="BFBFBF" w:sz="4"/>
              <w:bottom w:val="single" w:color="BFBFBF" w:sz="4"/>
              <w:right w:val="single" w:color="BFBFBF" w:sz="4"/>
            </w:tcBorders>
            <w:shd w:fill="F5F8FC" w:val="clear"/>
            <w:tcMar>
              <w:top w:type="dxa" w:w="100"/>
              <w:left w:type="dxa" w:w="140"/>
              <w:bottom w:type="dxa" w:w="100"/>
              <w:right w:type="dxa" w:w="140"/>
            </w:tcMar>
            <w:vAlign w:val="top"/>
          </w:tcPr>
          <w:p>
            <w:r>
              <w:rPr>
                <w:rFonts w:ascii="Calibri" w:cs="Calibri" w:eastAsia="Calibri" w:hAnsi="Calibri"/>
                <w:b/>
                <w:bCs/>
                <w:sz w:val="22"/>
                <w:szCs w:val="22"/>
              </w:rPr>
              <w:t xml:space="preserve">Reversibility through Versioning</w:t>
            </w:r>
          </w:p>
        </w:tc>
        <w:tc>
          <w:tcPr>
            <w:tcW w:type="dxa" w:w="5960"/>
            <w:tcBorders>
              <w:top w:val="single" w:color="BFBFBF" w:sz="4"/>
              <w:left w:val="single" w:color="BFBFBF" w:sz="4"/>
              <w:bottom w:val="single" w:color="BFBFBF" w:sz="4"/>
              <w:right w:val="single" w:color="BFBFBF" w:sz="4"/>
            </w:tcBorders>
            <w:shd w:fill="F5F8FC" w:val="clear"/>
            <w:tcMar>
              <w:top w:type="dxa" w:w="100"/>
              <w:left w:type="dxa" w:w="140"/>
              <w:bottom w:type="dxa" w:w="100"/>
              <w:right w:type="dxa" w:w="140"/>
            </w:tcMar>
            <w:vAlign w:val="top"/>
          </w:tcPr>
          <w:p>
            <w:r>
              <w:rPr>
                <w:rFonts w:ascii="Calibri" w:cs="Calibri" w:eastAsia="Calibri" w:hAnsi="Calibri"/>
                <w:sz w:val="22"/>
                <w:szCs w:val="22"/>
              </w:rPr>
              <w:t xml:space="preserve">Transformations create new versions rather than overwriting the original. The information universe only grows; it never silently loses state.</w:t>
            </w:r>
          </w:p>
        </w:tc>
      </w:tr>
      <w:tr>
        <w:tc>
          <w:tcPr>
            <w:tcW w:type="dxa" w:w="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r>
              <w:rPr>
                <w:rFonts w:ascii="Calibri" w:cs="Calibri" w:eastAsia="Calibri" w:hAnsi="Calibri"/>
                <w:b/>
                <w:bCs/>
                <w:sz w:val="22"/>
                <w:szCs w:val="22"/>
              </w:rPr>
              <w:t xml:space="preserve">4</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r>
              <w:rPr>
                <w:rFonts w:ascii="Calibri" w:cs="Calibri" w:eastAsia="Calibri" w:hAnsi="Calibri"/>
                <w:b/>
                <w:bCs/>
                <w:sz w:val="22"/>
                <w:szCs w:val="22"/>
              </w:rPr>
              <w:t xml:space="preserve">Entropy Accounting</w:t>
            </w:r>
          </w:p>
        </w:tc>
        <w:tc>
          <w:tcPr>
            <w:tcW w:type="dxa" w:w="5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r>
              <w:rPr>
                <w:rFonts w:ascii="Calibri" w:cs="Calibri" w:eastAsia="Calibri" w:hAnsi="Calibri"/>
                <w:sz w:val="22"/>
                <w:szCs w:val="22"/>
              </w:rPr>
              <w:t xml:space="preserve">The system must record what was lost or compressed during a measurement. Every summarization, aggregation, or inference acknowledges its information cost.</w:t>
            </w:r>
          </w:p>
        </w:tc>
      </w:tr>
      <w:tr>
        <w:tc>
          <w:tcPr>
            <w:tcW w:type="dxa" w:w="600"/>
            <w:tcBorders>
              <w:top w:val="single" w:color="BFBFBF" w:sz="4"/>
              <w:left w:val="single" w:color="BFBFBF" w:sz="4"/>
              <w:bottom w:val="single" w:color="BFBFBF" w:sz="4"/>
              <w:right w:val="single" w:color="BFBFBF" w:sz="4"/>
            </w:tcBorders>
            <w:shd w:fill="F5F8FC" w:val="clear"/>
            <w:tcMar>
              <w:top w:type="dxa" w:w="100"/>
              <w:left w:type="dxa" w:w="140"/>
              <w:bottom w:type="dxa" w:w="100"/>
              <w:right w:type="dxa" w:w="140"/>
            </w:tcMar>
            <w:vAlign w:val="top"/>
          </w:tcPr>
          <w:p>
            <w:r>
              <w:rPr>
                <w:rFonts w:ascii="Calibri" w:cs="Calibri" w:eastAsia="Calibri" w:hAnsi="Calibri"/>
                <w:b/>
                <w:bCs/>
                <w:sz w:val="22"/>
                <w:szCs w:val="22"/>
              </w:rPr>
              <w:t xml:space="preserve">5</w:t>
            </w:r>
          </w:p>
        </w:tc>
        <w:tc>
          <w:tcPr>
            <w:tcW w:type="dxa" w:w="2800"/>
            <w:tcBorders>
              <w:top w:val="single" w:color="BFBFBF" w:sz="4"/>
              <w:left w:val="single" w:color="BFBFBF" w:sz="4"/>
              <w:bottom w:val="single" w:color="BFBFBF" w:sz="4"/>
              <w:right w:val="single" w:color="BFBFBF" w:sz="4"/>
            </w:tcBorders>
            <w:shd w:fill="F5F8FC" w:val="clear"/>
            <w:tcMar>
              <w:top w:type="dxa" w:w="100"/>
              <w:left w:type="dxa" w:w="140"/>
              <w:bottom w:type="dxa" w:w="100"/>
              <w:right w:type="dxa" w:w="140"/>
            </w:tcMar>
            <w:vAlign w:val="top"/>
          </w:tcPr>
          <w:p>
            <w:r>
              <w:rPr>
                <w:rFonts w:ascii="Calibri" w:cs="Calibri" w:eastAsia="Calibri" w:hAnsi="Calibri"/>
                <w:b/>
                <w:bCs/>
                <w:sz w:val="22"/>
                <w:szCs w:val="22"/>
              </w:rPr>
              <w:t xml:space="preserve">Instrument Declaration</w:t>
            </w:r>
          </w:p>
        </w:tc>
        <w:tc>
          <w:tcPr>
            <w:tcW w:type="dxa" w:w="5960"/>
            <w:tcBorders>
              <w:top w:val="single" w:color="BFBFBF" w:sz="4"/>
              <w:left w:val="single" w:color="BFBFBF" w:sz="4"/>
              <w:bottom w:val="single" w:color="BFBFBF" w:sz="4"/>
              <w:right w:val="single" w:color="BFBFBF" w:sz="4"/>
            </w:tcBorders>
            <w:shd w:fill="F5F8FC" w:val="clear"/>
            <w:tcMar>
              <w:top w:type="dxa" w:w="100"/>
              <w:left w:type="dxa" w:w="140"/>
              <w:bottom w:type="dxa" w:w="100"/>
              <w:right w:type="dxa" w:w="140"/>
            </w:tcMar>
            <w:vAlign w:val="top"/>
          </w:tcPr>
          <w:p>
            <w:r>
              <w:rPr>
                <w:rFonts w:ascii="Calibri" w:cs="Calibri" w:eastAsia="Calibri" w:hAnsi="Calibri"/>
                <w:sz w:val="22"/>
                <w:szCs w:val="22"/>
              </w:rPr>
              <w:t xml:space="preserve">Every answer must state which model or tool produced it. The measurement instrument is part of the measurement record.</w:t>
            </w:r>
          </w:p>
        </w:tc>
      </w:tr>
      <w:tr>
        <w:tc>
          <w:tcPr>
            <w:tcW w:type="dxa" w:w="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r>
              <w:rPr>
                <w:rFonts w:ascii="Calibri" w:cs="Calibri" w:eastAsia="Calibri" w:hAnsi="Calibri"/>
                <w:b/>
                <w:bCs/>
                <w:sz w:val="22"/>
                <w:szCs w:val="22"/>
              </w:rPr>
              <w:t xml:space="preserve">6</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r>
              <w:rPr>
                <w:rFonts w:ascii="Calibri" w:cs="Calibri" w:eastAsia="Calibri" w:hAnsi="Calibri"/>
                <w:b/>
                <w:bCs/>
                <w:sz w:val="22"/>
                <w:szCs w:val="22"/>
              </w:rPr>
              <w:t xml:space="preserve">Topological Boundedness</w:t>
            </w:r>
          </w:p>
        </w:tc>
        <w:tc>
          <w:tcPr>
            <w:tcW w:type="dxa" w:w="5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r>
              <w:rPr>
                <w:rFonts w:ascii="Calibri" w:cs="Calibri" w:eastAsia="Calibri" w:hAnsi="Calibri"/>
                <w:sz w:val="22"/>
                <w:szCs w:val="22"/>
              </w:rPr>
              <w:t xml:space="preserve">Reasoning must define the boundaries of the evidence. Every answer specifies the neighborhood of the information universe it traversed.</w:t>
            </w:r>
          </w:p>
        </w:tc>
      </w:tr>
      <w:tr>
        <w:tc>
          <w:tcPr>
            <w:tcW w:type="dxa" w:w="600"/>
            <w:tcBorders>
              <w:top w:val="single" w:color="BFBFBF" w:sz="4"/>
              <w:left w:val="single" w:color="BFBFBF" w:sz="4"/>
              <w:bottom w:val="single" w:color="BFBFBF" w:sz="4"/>
              <w:right w:val="single" w:color="BFBFBF" w:sz="4"/>
            </w:tcBorders>
            <w:shd w:fill="F5F8FC" w:val="clear"/>
            <w:tcMar>
              <w:top w:type="dxa" w:w="100"/>
              <w:left w:type="dxa" w:w="140"/>
              <w:bottom w:type="dxa" w:w="100"/>
              <w:right w:type="dxa" w:w="140"/>
            </w:tcMar>
            <w:vAlign w:val="top"/>
          </w:tcPr>
          <w:p>
            <w:r>
              <w:rPr>
                <w:rFonts w:ascii="Calibri" w:cs="Calibri" w:eastAsia="Calibri" w:hAnsi="Calibri"/>
                <w:b/>
                <w:bCs/>
                <w:sz w:val="22"/>
                <w:szCs w:val="22"/>
              </w:rPr>
              <w:t xml:space="preserve">7</w:t>
            </w:r>
          </w:p>
        </w:tc>
        <w:tc>
          <w:tcPr>
            <w:tcW w:type="dxa" w:w="2800"/>
            <w:tcBorders>
              <w:top w:val="single" w:color="BFBFBF" w:sz="4"/>
              <w:left w:val="single" w:color="BFBFBF" w:sz="4"/>
              <w:bottom w:val="single" w:color="BFBFBF" w:sz="4"/>
              <w:right w:val="single" w:color="BFBFBF" w:sz="4"/>
            </w:tcBorders>
            <w:shd w:fill="F5F8FC" w:val="clear"/>
            <w:tcMar>
              <w:top w:type="dxa" w:w="100"/>
              <w:left w:type="dxa" w:w="140"/>
              <w:bottom w:type="dxa" w:w="100"/>
              <w:right w:type="dxa" w:w="140"/>
            </w:tcMar>
            <w:vAlign w:val="top"/>
          </w:tcPr>
          <w:p>
            <w:r>
              <w:rPr>
                <w:rFonts w:ascii="Calibri" w:cs="Calibri" w:eastAsia="Calibri" w:hAnsi="Calibri"/>
                <w:b/>
                <w:bCs/>
                <w:sz w:val="22"/>
                <w:szCs w:val="22"/>
              </w:rPr>
              <w:t xml:space="preserve">Policy-Constrained Observability</w:t>
            </w:r>
          </w:p>
        </w:tc>
        <w:tc>
          <w:tcPr>
            <w:tcW w:type="dxa" w:w="5960"/>
            <w:tcBorders>
              <w:top w:val="single" w:color="BFBFBF" w:sz="4"/>
              <w:left w:val="single" w:color="BFBFBF" w:sz="4"/>
              <w:bottom w:val="single" w:color="BFBFBF" w:sz="4"/>
              <w:right w:val="single" w:color="BFBFBF" w:sz="4"/>
            </w:tcBorders>
            <w:shd w:fill="F5F8FC" w:val="clear"/>
            <w:tcMar>
              <w:top w:type="dxa" w:w="100"/>
              <w:left w:type="dxa" w:w="140"/>
              <w:bottom w:type="dxa" w:w="100"/>
              <w:right w:type="dxa" w:w="140"/>
            </w:tcMar>
            <w:vAlign w:val="top"/>
          </w:tcPr>
          <w:p>
            <w:r>
              <w:rPr>
                <w:rFonts w:ascii="Calibri" w:cs="Calibri" w:eastAsia="Calibri" w:hAnsi="Calibri"/>
                <w:sz w:val="22"/>
                <w:szCs w:val="22"/>
              </w:rPr>
              <w:t xml:space="preserve">Access and visibility are governed by the physics of the system. Not all observers may measure all states; policy is a physical constraint.</w:t>
            </w:r>
          </w:p>
        </w:tc>
      </w:tr>
    </w:tbl>
    <w:p>
      <w:pPr>
        <w:pStyle w:val="Heading2"/>
        <w:spacing w:after="120" w:before="240"/>
      </w:pPr>
      <w:r>
        <w:rPr>
          <w:rFonts w:ascii="Calibri" w:cs="Calibri" w:eastAsia="Calibri" w:hAnsi="Calibri"/>
          <w:b/>
          <w:bCs/>
          <w:color w:val="1F4E79"/>
          <w:sz w:val="26"/>
          <w:szCs w:val="26"/>
        </w:rPr>
        <w:t xml:space="preserve">Why this matters commercially</w:t>
      </w:r>
    </w:p>
    <w:p>
      <w:pPr>
        <w:spacing w:after="120" w:before="60"/>
      </w:pPr>
      <w:r>
        <w:rPr>
          <w:rFonts w:ascii="Calibri" w:cs="Calibri" w:eastAsia="Calibri" w:hAnsi="Calibri"/>
          <w:sz w:val="22"/>
          <w:szCs w:val="22"/>
        </w:rPr>
        <w:t xml:space="preserve">A preserve-first, traversal-based architecture answers the three questions current AI cannot:</w:t>
      </w:r>
    </w:p>
    <w:p>
      <w:pPr>
        <w:pStyle w:val="ListParagraph"/>
        <w:numPr>
          <w:ilvl w:val="0"/>
          <w:numId w:val="3"/>
        </w:numPr>
        <w:spacing w:after="40" w:before="40"/>
      </w:pPr>
      <w:r>
        <w:rPr>
          <w:rFonts w:ascii="Calibri" w:cs="Calibri" w:eastAsia="Calibri" w:hAnsi="Calibri"/>
          <w:b/>
          <w:bCs/>
          <w:sz w:val="22"/>
          <w:szCs w:val="22"/>
        </w:rPr>
        <w:t xml:space="preserve">What was observed? </w:t>
      </w:r>
      <w:r>
        <w:rPr>
          <w:rFonts w:ascii="Calibri" w:cs="Calibri" w:eastAsia="Calibri" w:hAnsi="Calibri"/>
          <w:sz w:val="22"/>
          <w:szCs w:val="22"/>
        </w:rPr>
        <w:t xml:space="preserve">AIOs preserve observations as measurement-bound, self-describing objects with full provenance.</w:t>
      </w:r>
    </w:p>
    <w:p>
      <w:pPr>
        <w:pStyle w:val="ListParagraph"/>
        <w:numPr>
          <w:ilvl w:val="0"/>
          <w:numId w:val="3"/>
        </w:numPr>
        <w:spacing w:after="40" w:before="40"/>
      </w:pPr>
      <w:r>
        <w:rPr>
          <w:rFonts w:ascii="Calibri" w:cs="Calibri" w:eastAsia="Calibri" w:hAnsi="Calibri"/>
          <w:b/>
          <w:bCs/>
          <w:sz w:val="22"/>
          <w:szCs w:val="22"/>
        </w:rPr>
        <w:t xml:space="preserve">How do things relate? </w:t>
      </w:r>
      <w:r>
        <w:rPr>
          <w:rFonts w:ascii="Calibri" w:cs="Calibri" w:eastAsia="Calibri" w:hAnsi="Calibri"/>
          <w:sz w:val="22"/>
          <w:szCs w:val="22"/>
        </w:rPr>
        <w:t xml:space="preserve">HSLs precompute semantic topology, transforming retrieval from search into traversal.</w:t>
      </w:r>
    </w:p>
    <w:p>
      <w:pPr>
        <w:pStyle w:val="ListParagraph"/>
        <w:numPr>
          <w:ilvl w:val="0"/>
          <w:numId w:val="3"/>
        </w:numPr>
        <w:spacing w:after="40" w:before="40"/>
      </w:pPr>
      <w:r>
        <w:rPr>
          <w:rFonts w:ascii="Calibri" w:cs="Calibri" w:eastAsia="Calibri" w:hAnsi="Calibri"/>
          <w:b/>
          <w:bCs/>
          <w:sz w:val="22"/>
          <w:szCs w:val="22"/>
        </w:rPr>
        <w:t xml:space="preserve">What was previously concluded? </w:t>
      </w:r>
      <w:r>
        <w:rPr>
          <w:rFonts w:ascii="Calibri" w:cs="Calibri" w:eastAsia="Calibri" w:hAnsi="Calibri"/>
          <w:sz w:val="22"/>
          <w:szCs w:val="22"/>
        </w:rPr>
        <w:t xml:space="preserve">MROs persist retrieval episodes as governed episodic memory, enabling recursive learning.</w:t>
      </w:r>
    </w:p>
    <w:p>
      <w:pPr>
        <w:spacing w:after="120" w:before="60"/>
      </w:pPr>
      <w:r>
        <w:rPr>
          <w:rFonts w:ascii="Calibri" w:cs="Calibri" w:eastAsia="Calibri" w:hAnsi="Calibri"/>
          <w:sz w:val="22"/>
          <w:szCs w:val="22"/>
        </w:rPr>
        <w:t xml:space="preserve">The result is AI that is auditable by construction, resilient to question drift, and economically efficient — queries that have been answered before are served from memory at near-zero marginal cost.</w:t>
      </w:r>
    </w:p>
    <w:p>
      <w:pPr>
        <w:pStyle w:val="Heading1"/>
        <w:pBdr>
          <w:bottom w:val="single" w:color="1F4E79" w:sz="6" w:space="4"/>
        </w:pBdr>
        <w:spacing w:after="180" w:before="360"/>
      </w:pPr>
      <w:r>
        <w:rPr>
          <w:rFonts w:ascii="Calibri" w:cs="Calibri" w:eastAsia="Calibri" w:hAnsi="Calibri"/>
          <w:b/>
          <w:bCs/>
          <w:color w:val="1F4E79"/>
          <w:sz w:val="32"/>
          <w:szCs w:val="32"/>
        </w:rPr>
        <w:t xml:space="preserve">3. What the Platform Is, Concretely</w:t>
      </w:r>
    </w:p>
    <w:p>
      <w:pPr>
        <w:spacing w:after="120" w:before="60"/>
      </w:pPr>
      <w:r>
        <w:rPr>
          <w:rFonts w:ascii="Calibri" w:cs="Calibri" w:eastAsia="Calibri" w:hAnsi="Calibri"/>
          <w:sz w:val="22"/>
          <w:szCs w:val="22"/>
        </w:rPr>
        <w:t xml:space="preserve">The Platform is a working deployment of the five-layer engineering stack that implements the standard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260"/>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Layer</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Biological Analogue</w:t>
            </w:r>
          </w:p>
        </w:tc>
        <w:tc>
          <w:tcPr>
            <w:tcW w:type="dxa" w:w="52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Implementation in the Platform</w:t>
            </w:r>
          </w:p>
        </w:tc>
      </w:tr>
      <w:tr>
        <w:tc>
          <w:tcPr>
            <w:tcW w:type="dxa" w:w="1900"/>
            <w:tcBorders>
              <w:top w:val="single" w:color="BFBFBF" w:sz="4"/>
              <w:left w:val="single" w:color="BFBFBF" w:sz="4"/>
              <w:bottom w:val="single" w:color="BFBFBF" w:sz="4"/>
              <w:right w:val="single" w:color="BFBFBF" w:sz="4"/>
            </w:tcBorders>
            <w:shd w:fill="F5F8FC" w:val="clear"/>
            <w:tcMar>
              <w:top w:type="dxa" w:w="100"/>
              <w:left w:type="dxa" w:w="140"/>
              <w:bottom w:type="dxa" w:w="100"/>
              <w:right w:type="dxa" w:w="140"/>
            </w:tcMar>
            <w:vAlign w:val="top"/>
          </w:tcPr>
          <w:p>
            <w:r>
              <w:rPr>
                <w:rFonts w:ascii="Calibri" w:cs="Calibri" w:eastAsia="Calibri" w:hAnsi="Calibri"/>
                <w:b/>
                <w:bCs/>
                <w:color w:val="1F4E79"/>
                <w:sz w:val="22"/>
                <w:szCs w:val="22"/>
              </w:rPr>
              <w:t xml:space="preserve">CORTEX</w:t>
            </w:r>
          </w:p>
        </w:tc>
        <w:tc>
          <w:tcPr>
            <w:tcW w:type="dxa" w:w="2200"/>
            <w:tcBorders>
              <w:top w:val="single" w:color="BFBFBF" w:sz="4"/>
              <w:left w:val="single" w:color="BFBFBF" w:sz="4"/>
              <w:bottom w:val="single" w:color="BFBFBF" w:sz="4"/>
              <w:right w:val="single" w:color="BFBFBF" w:sz="4"/>
            </w:tcBorders>
            <w:shd w:fill="F5F8FC" w:val="clear"/>
            <w:tcMar>
              <w:top w:type="dxa" w:w="100"/>
              <w:left w:type="dxa" w:w="140"/>
              <w:bottom w:type="dxa" w:w="100"/>
              <w:right w:type="dxa" w:w="140"/>
            </w:tcMar>
            <w:vAlign w:val="top"/>
          </w:tcPr>
          <w:p>
            <w:r>
              <w:rPr>
                <w:rFonts w:ascii="Calibri" w:cs="Calibri" w:eastAsia="Calibri" w:hAnsi="Calibri"/>
                <w:sz w:val="22"/>
                <w:szCs w:val="22"/>
              </w:rPr>
              <w:t xml:space="preserve">Cerebral cortex</w:t>
            </w:r>
          </w:p>
        </w:tc>
        <w:tc>
          <w:tcPr>
            <w:tcW w:type="dxa" w:w="5260"/>
            <w:tcBorders>
              <w:top w:val="single" w:color="BFBFBF" w:sz="4"/>
              <w:left w:val="single" w:color="BFBFBF" w:sz="4"/>
              <w:bottom w:val="single" w:color="BFBFBF" w:sz="4"/>
              <w:right w:val="single" w:color="BFBFBF" w:sz="4"/>
            </w:tcBorders>
            <w:shd w:fill="F5F8FC" w:val="clear"/>
            <w:tcMar>
              <w:top w:type="dxa" w:w="100"/>
              <w:left w:type="dxa" w:w="140"/>
              <w:bottom w:type="dxa" w:w="100"/>
              <w:right w:type="dxa" w:w="140"/>
            </w:tcMar>
            <w:vAlign w:val="top"/>
          </w:tcPr>
          <w:p>
            <w:r>
              <w:rPr>
                <w:rFonts w:ascii="Calibri" w:cs="Calibri" w:eastAsia="Calibri" w:hAnsi="Calibri"/>
                <w:sz w:val="22"/>
                <w:szCs w:val="22"/>
              </w:rPr>
              <w:t xml:space="preserve">Anthropic Claude Sonnet 4.6 with cache_control: ephemeral; LLM synthesis, multi-step inference, four search modes.</w:t>
            </w:r>
          </w:p>
        </w:tc>
      </w:tr>
      <w:tr>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r>
              <w:rPr>
                <w:rFonts w:ascii="Calibri" w:cs="Calibri" w:eastAsia="Calibri" w:hAnsi="Calibri"/>
                <w:b/>
                <w:bCs/>
                <w:color w:val="1F4E79"/>
                <w:sz w:val="22"/>
                <w:szCs w:val="22"/>
              </w:rPr>
              <w:t xml:space="preserve">HIPPOCAMPUS</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r>
              <w:rPr>
                <w:rFonts w:ascii="Calibri" w:cs="Calibri" w:eastAsia="Calibri" w:hAnsi="Calibri"/>
                <w:sz w:val="22"/>
                <w:szCs w:val="22"/>
              </w:rPr>
              <w:t xml:space="preserve">Hippocampus</w:t>
            </w:r>
          </w:p>
        </w:tc>
        <w:tc>
          <w:tcPr>
            <w:tcW w:type="dxa" w:w="52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r>
              <w:rPr>
                <w:rFonts w:ascii="Calibri" w:cs="Calibri" w:eastAsia="Calibri" w:hAnsi="Calibri"/>
                <w:sz w:val="22"/>
                <w:szCs w:val="22"/>
              </w:rPr>
              <w:t xml:space="preserve">PostgreSQL 15 with FORCE RLS — aio_data, hsl_data, mro_objects — with GENERATED-STORED tsvector and trust-score MRO ranker.</w:t>
            </w:r>
          </w:p>
        </w:tc>
      </w:tr>
      <w:tr>
        <w:tc>
          <w:tcPr>
            <w:tcW w:type="dxa" w:w="1900"/>
            <w:tcBorders>
              <w:top w:val="single" w:color="BFBFBF" w:sz="4"/>
              <w:left w:val="single" w:color="BFBFBF" w:sz="4"/>
              <w:bottom w:val="single" w:color="BFBFBF" w:sz="4"/>
              <w:right w:val="single" w:color="BFBFBF" w:sz="4"/>
            </w:tcBorders>
            <w:shd w:fill="F5F8FC" w:val="clear"/>
            <w:tcMar>
              <w:top w:type="dxa" w:w="100"/>
              <w:left w:type="dxa" w:w="140"/>
              <w:bottom w:type="dxa" w:w="100"/>
              <w:right w:type="dxa" w:w="140"/>
            </w:tcMar>
            <w:vAlign w:val="top"/>
          </w:tcPr>
          <w:p>
            <w:r>
              <w:rPr>
                <w:rFonts w:ascii="Calibri" w:cs="Calibri" w:eastAsia="Calibri" w:hAnsi="Calibri"/>
                <w:b/>
                <w:bCs/>
                <w:color w:val="1F4E79"/>
                <w:sz w:val="22"/>
                <w:szCs w:val="22"/>
              </w:rPr>
              <w:t xml:space="preserve">THALAMUS</w:t>
            </w:r>
          </w:p>
        </w:tc>
        <w:tc>
          <w:tcPr>
            <w:tcW w:type="dxa" w:w="2200"/>
            <w:tcBorders>
              <w:top w:val="single" w:color="BFBFBF" w:sz="4"/>
              <w:left w:val="single" w:color="BFBFBF" w:sz="4"/>
              <w:bottom w:val="single" w:color="BFBFBF" w:sz="4"/>
              <w:right w:val="single" w:color="BFBFBF" w:sz="4"/>
            </w:tcBorders>
            <w:shd w:fill="F5F8FC" w:val="clear"/>
            <w:tcMar>
              <w:top w:type="dxa" w:w="100"/>
              <w:left w:type="dxa" w:w="140"/>
              <w:bottom w:type="dxa" w:w="100"/>
              <w:right w:type="dxa" w:w="140"/>
            </w:tcMar>
            <w:vAlign w:val="top"/>
          </w:tcPr>
          <w:p>
            <w:r>
              <w:rPr>
                <w:rFonts w:ascii="Calibri" w:cs="Calibri" w:eastAsia="Calibri" w:hAnsi="Calibri"/>
                <w:sz w:val="22"/>
                <w:szCs w:val="22"/>
              </w:rPr>
              <w:t xml:space="preserve">Thalamus</w:t>
            </w:r>
          </w:p>
        </w:tc>
        <w:tc>
          <w:tcPr>
            <w:tcW w:type="dxa" w:w="5260"/>
            <w:tcBorders>
              <w:top w:val="single" w:color="BFBFBF" w:sz="4"/>
              <w:left w:val="single" w:color="BFBFBF" w:sz="4"/>
              <w:bottom w:val="single" w:color="BFBFBF" w:sz="4"/>
              <w:right w:val="single" w:color="BFBFBF" w:sz="4"/>
            </w:tcBorders>
            <w:shd w:fill="F5F8FC" w:val="clear"/>
            <w:tcMar>
              <w:top w:type="dxa" w:w="100"/>
              <w:left w:type="dxa" w:w="140"/>
              <w:bottom w:type="dxa" w:w="100"/>
              <w:right w:type="dxa" w:w="140"/>
            </w:tcMar>
            <w:vAlign w:val="top"/>
          </w:tcPr>
          <w:p>
            <w:r>
              <w:rPr>
                <w:rFonts w:ascii="Calibri" w:cs="Calibri" w:eastAsia="Calibri" w:hAnsi="Calibri"/>
                <w:sz w:val="22"/>
                <w:szCs w:val="22"/>
              </w:rPr>
              <w:t xml:space="preserve">FastAPI route layer (~60 endpoints) plus Next.js proxy routes; query parsing, instrument selection, four-phase AIO Search algebra.</w:t>
            </w:r>
          </w:p>
        </w:tc>
      </w:tr>
      <w:tr>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r>
              <w:rPr>
                <w:rFonts w:ascii="Calibri" w:cs="Calibri" w:eastAsia="Calibri" w:hAnsi="Calibri"/>
                <w:b/>
                <w:bCs/>
                <w:color w:val="1F4E79"/>
                <w:sz w:val="22"/>
                <w:szCs w:val="22"/>
              </w:rPr>
              <w:t xml:space="preserve">BASAL GANGLIA</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r>
              <w:rPr>
                <w:rFonts w:ascii="Calibri" w:cs="Calibri" w:eastAsia="Calibri" w:hAnsi="Calibri"/>
                <w:sz w:val="22"/>
                <w:szCs w:val="22"/>
              </w:rPr>
              <w:t xml:space="preserve">Basal ganglia</w:t>
            </w:r>
          </w:p>
        </w:tc>
        <w:tc>
          <w:tcPr>
            <w:tcW w:type="dxa" w:w="52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r>
              <w:rPr>
                <w:rFonts w:ascii="Calibri" w:cs="Calibri" w:eastAsia="Calibri" w:hAnsi="Calibri"/>
                <w:sz w:val="22"/>
                <w:szCs w:val="22"/>
              </w:rPr>
              <w:t xml:space="preserve">Per-tenant token-budget guardrail, role-based access, RLS isolation, HTTP 429 short-circuit.</w:t>
            </w:r>
          </w:p>
        </w:tc>
      </w:tr>
      <w:tr>
        <w:tc>
          <w:tcPr>
            <w:tcW w:type="dxa" w:w="1900"/>
            <w:tcBorders>
              <w:top w:val="single" w:color="BFBFBF" w:sz="4"/>
              <w:left w:val="single" w:color="BFBFBF" w:sz="4"/>
              <w:bottom w:val="single" w:color="BFBFBF" w:sz="4"/>
              <w:right w:val="single" w:color="BFBFBF" w:sz="4"/>
            </w:tcBorders>
            <w:shd w:fill="F5F8FC" w:val="clear"/>
            <w:tcMar>
              <w:top w:type="dxa" w:w="100"/>
              <w:left w:type="dxa" w:w="140"/>
              <w:bottom w:type="dxa" w:w="100"/>
              <w:right w:type="dxa" w:w="140"/>
            </w:tcMar>
            <w:vAlign w:val="top"/>
          </w:tcPr>
          <w:p>
            <w:r>
              <w:rPr>
                <w:rFonts w:ascii="Calibri" w:cs="Calibri" w:eastAsia="Calibri" w:hAnsi="Calibri"/>
                <w:b/>
                <w:bCs/>
                <w:color w:val="1F4E79"/>
                <w:sz w:val="22"/>
                <w:szCs w:val="22"/>
              </w:rPr>
              <w:t xml:space="preserve">CEREBELLUM</w:t>
            </w:r>
          </w:p>
        </w:tc>
        <w:tc>
          <w:tcPr>
            <w:tcW w:type="dxa" w:w="2200"/>
            <w:tcBorders>
              <w:top w:val="single" w:color="BFBFBF" w:sz="4"/>
              <w:left w:val="single" w:color="BFBFBF" w:sz="4"/>
              <w:bottom w:val="single" w:color="BFBFBF" w:sz="4"/>
              <w:right w:val="single" w:color="BFBFBF" w:sz="4"/>
            </w:tcBorders>
            <w:shd w:fill="F5F8FC" w:val="clear"/>
            <w:tcMar>
              <w:top w:type="dxa" w:w="100"/>
              <w:left w:type="dxa" w:w="140"/>
              <w:bottom w:type="dxa" w:w="100"/>
              <w:right w:type="dxa" w:w="140"/>
            </w:tcMar>
            <w:vAlign w:val="top"/>
          </w:tcPr>
          <w:p>
            <w:r>
              <w:rPr>
                <w:rFonts w:ascii="Calibri" w:cs="Calibri" w:eastAsia="Calibri" w:hAnsi="Calibri"/>
                <w:sz w:val="22"/>
                <w:szCs w:val="22"/>
              </w:rPr>
              <w:t xml:space="preserve">Cerebellum</w:t>
            </w:r>
          </w:p>
        </w:tc>
        <w:tc>
          <w:tcPr>
            <w:tcW w:type="dxa" w:w="5260"/>
            <w:tcBorders>
              <w:top w:val="single" w:color="BFBFBF" w:sz="4"/>
              <w:left w:val="single" w:color="BFBFBF" w:sz="4"/>
              <w:bottom w:val="single" w:color="BFBFBF" w:sz="4"/>
              <w:right w:val="single" w:color="BFBFBF" w:sz="4"/>
            </w:tcBorders>
            <w:shd w:fill="F5F8FC" w:val="clear"/>
            <w:tcMar>
              <w:top w:type="dxa" w:w="100"/>
              <w:left w:type="dxa" w:w="140"/>
              <w:bottom w:type="dxa" w:w="100"/>
              <w:right w:type="dxa" w:w="140"/>
            </w:tcMar>
            <w:vAlign w:val="top"/>
          </w:tcPr>
          <w:p>
            <w:r>
              <w:rPr>
                <w:rFonts w:ascii="Calibri" w:cs="Calibri" w:eastAsia="Calibri" w:hAnsi="Calibri"/>
                <w:sz w:val="22"/>
                <w:szCs w:val="22"/>
              </w:rPr>
              <w:t xml:space="preserve">CSV/PDF converters, AIO Generator, HSL Builder, Rebuild HSLs from All AIOs, MRO Compaction (Jaccard cluster + merge).</w:t>
            </w:r>
          </w:p>
        </w:tc>
      </w:tr>
    </w:tbl>
    <w:p>
      <w:pPr>
        <w:pStyle w:val="Heading2"/>
        <w:spacing w:after="120" w:before="240"/>
      </w:pPr>
      <w:r>
        <w:rPr>
          <w:rFonts w:ascii="Calibri" w:cs="Calibri" w:eastAsia="Calibri" w:hAnsi="Calibri"/>
          <w:b/>
          <w:bCs/>
          <w:color w:val="1F4E79"/>
          <w:sz w:val="26"/>
          <w:szCs w:val="26"/>
        </w:rPr>
        <w:t xml:space="preserve">Tech Stack (2026-current)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Layer</w:t>
            </w:r>
          </w:p>
        </w:tc>
        <w:tc>
          <w:tcPr>
            <w:tcW w:type="dxa" w:w="7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Technology</w:t>
            </w:r>
          </w:p>
        </w:tc>
      </w:tr>
      <w:tr>
        <w:tc>
          <w:tcPr>
            <w:tcW w:type="dxa" w:w="2200"/>
            <w:tcBorders>
              <w:top w:val="single" w:color="BFBFBF" w:sz="4"/>
              <w:left w:val="single" w:color="BFBFBF" w:sz="4"/>
              <w:bottom w:val="single" w:color="BFBFBF" w:sz="4"/>
              <w:right w:val="single" w:color="BFBFBF" w:sz="4"/>
            </w:tcBorders>
            <w:shd w:fill="F5F8FC" w:val="clear"/>
            <w:tcMar>
              <w:top w:type="dxa" w:w="100"/>
              <w:left w:type="dxa" w:w="140"/>
              <w:bottom w:type="dxa" w:w="100"/>
              <w:right w:type="dxa" w:w="140"/>
            </w:tcMar>
            <w:vAlign w:val="top"/>
          </w:tcPr>
          <w:p>
            <w:r>
              <w:rPr>
                <w:rFonts w:ascii="Calibri" w:cs="Calibri" w:eastAsia="Calibri" w:hAnsi="Calibri"/>
                <w:b/>
                <w:bCs/>
                <w:sz w:val="22"/>
                <w:szCs w:val="22"/>
              </w:rPr>
              <w:t xml:space="preserve">Frontend</w:t>
            </w:r>
          </w:p>
        </w:tc>
        <w:tc>
          <w:tcPr>
            <w:tcW w:type="dxa" w:w="7160"/>
            <w:tcBorders>
              <w:top w:val="single" w:color="BFBFBF" w:sz="4"/>
              <w:left w:val="single" w:color="BFBFBF" w:sz="4"/>
              <w:bottom w:val="single" w:color="BFBFBF" w:sz="4"/>
              <w:right w:val="single" w:color="BFBFBF" w:sz="4"/>
            </w:tcBorders>
            <w:shd w:fill="F5F8FC" w:val="clear"/>
            <w:tcMar>
              <w:top w:type="dxa" w:w="100"/>
              <w:left w:type="dxa" w:w="140"/>
              <w:bottom w:type="dxa" w:w="100"/>
              <w:right w:type="dxa" w:w="140"/>
            </w:tcMar>
            <w:vAlign w:val="top"/>
          </w:tcPr>
          <w:p>
            <w:r>
              <w:rPr>
                <w:rFonts w:ascii="Calibri" w:cs="Calibri" w:eastAsia="Calibri" w:hAnsi="Calibri"/>
                <w:sz w:val="22"/>
                <w:szCs w:val="22"/>
              </w:rPr>
              <w:t xml:space="preserve">Next.js 16 (Turbopack), React 19, Tailwind CSS, Radix UI, Recharts</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r>
              <w:rPr>
                <w:rFonts w:ascii="Calibri" w:cs="Calibri" w:eastAsia="Calibri" w:hAnsi="Calibri"/>
                <w:b/>
                <w:bCs/>
                <w:sz w:val="22"/>
                <w:szCs w:val="22"/>
              </w:rPr>
              <w:t xml:space="preserve">Backend</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r>
              <w:rPr>
                <w:rFonts w:ascii="Calibri" w:cs="Calibri" w:eastAsia="Calibri" w:hAnsi="Calibri"/>
                <w:sz w:val="22"/>
                <w:szCs w:val="22"/>
              </w:rPr>
              <w:t xml:space="preserve">FastAPI, Python 3.10+, psycopg</w:t>
            </w:r>
          </w:p>
        </w:tc>
      </w:tr>
      <w:tr>
        <w:tc>
          <w:tcPr>
            <w:tcW w:type="dxa" w:w="2200"/>
            <w:tcBorders>
              <w:top w:val="single" w:color="BFBFBF" w:sz="4"/>
              <w:left w:val="single" w:color="BFBFBF" w:sz="4"/>
              <w:bottom w:val="single" w:color="BFBFBF" w:sz="4"/>
              <w:right w:val="single" w:color="BFBFBF" w:sz="4"/>
            </w:tcBorders>
            <w:shd w:fill="F5F8FC" w:val="clear"/>
            <w:tcMar>
              <w:top w:type="dxa" w:w="100"/>
              <w:left w:type="dxa" w:w="140"/>
              <w:bottom w:type="dxa" w:w="100"/>
              <w:right w:type="dxa" w:w="140"/>
            </w:tcMar>
            <w:vAlign w:val="top"/>
          </w:tcPr>
          <w:p>
            <w:r>
              <w:rPr>
                <w:rFonts w:ascii="Calibri" w:cs="Calibri" w:eastAsia="Calibri" w:hAnsi="Calibri"/>
                <w:b/>
                <w:bCs/>
                <w:sz w:val="22"/>
                <w:szCs w:val="22"/>
              </w:rPr>
              <w:t xml:space="preserve">Database</w:t>
            </w:r>
          </w:p>
        </w:tc>
        <w:tc>
          <w:tcPr>
            <w:tcW w:type="dxa" w:w="7160"/>
            <w:tcBorders>
              <w:top w:val="single" w:color="BFBFBF" w:sz="4"/>
              <w:left w:val="single" w:color="BFBFBF" w:sz="4"/>
              <w:bottom w:val="single" w:color="BFBFBF" w:sz="4"/>
              <w:right w:val="single" w:color="BFBFBF" w:sz="4"/>
            </w:tcBorders>
            <w:shd w:fill="F5F8FC" w:val="clear"/>
            <w:tcMar>
              <w:top w:type="dxa" w:w="100"/>
              <w:left w:type="dxa" w:w="140"/>
              <w:bottom w:type="dxa" w:w="100"/>
              <w:right w:type="dxa" w:w="140"/>
            </w:tcMar>
            <w:vAlign w:val="top"/>
          </w:tcPr>
          <w:p>
            <w:r>
              <w:rPr>
                <w:rFonts w:ascii="Calibri" w:cs="Calibri" w:eastAsia="Calibri" w:hAnsi="Calibri"/>
                <w:sz w:val="22"/>
                <w:szCs w:val="22"/>
              </w:rPr>
              <w:t xml:space="preserve">PostgreSQL 15 with FORCE Row-Level Security for tenant isolation</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r>
              <w:rPr>
                <w:rFonts w:ascii="Calibri" w:cs="Calibri" w:eastAsia="Calibri" w:hAnsi="Calibri"/>
                <w:b/>
                <w:bCs/>
                <w:sz w:val="22"/>
                <w:szCs w:val="22"/>
              </w:rPr>
              <w:t xml:space="preserve">AI</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r>
              <w:rPr>
                <w:rFonts w:ascii="Calibri" w:cs="Calibri" w:eastAsia="Calibri" w:hAnsi="Calibri"/>
                <w:sz w:val="22"/>
                <w:szCs w:val="22"/>
              </w:rPr>
              <w:t xml:space="preserve">Anthropic Claude Sonnet 4.6 with prompt-cache ephemeral control</w:t>
            </w:r>
          </w:p>
        </w:tc>
      </w:tr>
      <w:tr>
        <w:tc>
          <w:tcPr>
            <w:tcW w:type="dxa" w:w="2200"/>
            <w:tcBorders>
              <w:top w:val="single" w:color="BFBFBF" w:sz="4"/>
              <w:left w:val="single" w:color="BFBFBF" w:sz="4"/>
              <w:bottom w:val="single" w:color="BFBFBF" w:sz="4"/>
              <w:right w:val="single" w:color="BFBFBF" w:sz="4"/>
            </w:tcBorders>
            <w:shd w:fill="F5F8FC" w:val="clear"/>
            <w:tcMar>
              <w:top w:type="dxa" w:w="100"/>
              <w:left w:type="dxa" w:w="140"/>
              <w:bottom w:type="dxa" w:w="100"/>
              <w:right w:type="dxa" w:w="140"/>
            </w:tcMar>
            <w:vAlign w:val="top"/>
          </w:tcPr>
          <w:p>
            <w:r>
              <w:rPr>
                <w:rFonts w:ascii="Calibri" w:cs="Calibri" w:eastAsia="Calibri" w:hAnsi="Calibri"/>
                <w:b/>
                <w:bCs/>
                <w:sz w:val="22"/>
                <w:szCs w:val="22"/>
              </w:rPr>
              <w:t xml:space="preserve">Desktop</w:t>
            </w:r>
          </w:p>
        </w:tc>
        <w:tc>
          <w:tcPr>
            <w:tcW w:type="dxa" w:w="7160"/>
            <w:tcBorders>
              <w:top w:val="single" w:color="BFBFBF" w:sz="4"/>
              <w:left w:val="single" w:color="BFBFBF" w:sz="4"/>
              <w:bottom w:val="single" w:color="BFBFBF" w:sz="4"/>
              <w:right w:val="single" w:color="BFBFBF" w:sz="4"/>
            </w:tcBorders>
            <w:shd w:fill="F5F8FC" w:val="clear"/>
            <w:tcMar>
              <w:top w:type="dxa" w:w="100"/>
              <w:left w:type="dxa" w:w="140"/>
              <w:bottom w:type="dxa" w:w="100"/>
              <w:right w:type="dxa" w:w="140"/>
            </w:tcMar>
            <w:vAlign w:val="top"/>
          </w:tcPr>
          <w:p>
            <w:r>
              <w:rPr>
                <w:rFonts w:ascii="Calibri" w:cs="Calibri" w:eastAsia="Calibri" w:hAnsi="Calibri"/>
                <w:sz w:val="22"/>
                <w:szCs w:val="22"/>
              </w:rPr>
              <w:t xml:space="preserve">Electron 28 + electron-builder; bundled Python 3.12 standalone, embedded PostgreSQL binaries, Next.js standalone build</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r>
              <w:rPr>
                <w:rFonts w:ascii="Calibri" w:cs="Calibri" w:eastAsia="Calibri" w:hAnsi="Calibri"/>
                <w:b/>
                <w:bCs/>
                <w:sz w:val="22"/>
                <w:szCs w:val="22"/>
              </w:rPr>
              <w:t xml:space="preserve">Cloud</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r>
              <w:rPr>
                <w:rFonts w:ascii="Calibri" w:cs="Calibri" w:eastAsia="Calibri" w:hAnsi="Calibri"/>
                <w:sz w:val="22"/>
                <w:szCs w:val="22"/>
              </w:rPr>
              <w:t xml:space="preserve">Railway auto-deploy from GitHub main; managed Postgres; healthchecks at /v1/health and /</w:t>
            </w:r>
          </w:p>
        </w:tc>
      </w:tr>
      <w:tr>
        <w:tc>
          <w:tcPr>
            <w:tcW w:type="dxa" w:w="2200"/>
            <w:tcBorders>
              <w:top w:val="single" w:color="BFBFBF" w:sz="4"/>
              <w:left w:val="single" w:color="BFBFBF" w:sz="4"/>
              <w:bottom w:val="single" w:color="BFBFBF" w:sz="4"/>
              <w:right w:val="single" w:color="BFBFBF" w:sz="4"/>
            </w:tcBorders>
            <w:shd w:fill="F5F8FC" w:val="clear"/>
            <w:tcMar>
              <w:top w:type="dxa" w:w="100"/>
              <w:left w:type="dxa" w:w="140"/>
              <w:bottom w:type="dxa" w:w="100"/>
              <w:right w:type="dxa" w:w="140"/>
            </w:tcMar>
            <w:vAlign w:val="top"/>
          </w:tcPr>
          <w:p>
            <w:r>
              <w:rPr>
                <w:rFonts w:ascii="Calibri" w:cs="Calibri" w:eastAsia="Calibri" w:hAnsi="Calibri"/>
                <w:b/>
                <w:bCs/>
                <w:sz w:val="22"/>
                <w:szCs w:val="22"/>
              </w:rPr>
              <w:t xml:space="preserve">Distribution</w:t>
            </w:r>
          </w:p>
        </w:tc>
        <w:tc>
          <w:tcPr>
            <w:tcW w:type="dxa" w:w="7160"/>
            <w:tcBorders>
              <w:top w:val="single" w:color="BFBFBF" w:sz="4"/>
              <w:left w:val="single" w:color="BFBFBF" w:sz="4"/>
              <w:bottom w:val="single" w:color="BFBFBF" w:sz="4"/>
              <w:right w:val="single" w:color="BFBFBF" w:sz="4"/>
            </w:tcBorders>
            <w:shd w:fill="F5F8FC" w:val="clear"/>
            <w:tcMar>
              <w:top w:type="dxa" w:w="100"/>
              <w:left w:type="dxa" w:w="140"/>
              <w:bottom w:type="dxa" w:w="100"/>
              <w:right w:type="dxa" w:w="140"/>
            </w:tcMar>
            <w:vAlign w:val="top"/>
          </w:tcPr>
          <w:p>
            <w:r>
              <w:rPr>
                <w:rFonts w:ascii="Calibri" w:cs="Calibri" w:eastAsia="Calibri" w:hAnsi="Calibri"/>
                <w:sz w:val="22"/>
                <w:szCs w:val="22"/>
              </w:rPr>
              <w:t xml:space="preserve">macOS DMGs (arm64 174 MB, x64 179 MB), Windows NSIS, Linux AppImage</w:t>
            </w:r>
          </w:p>
        </w:tc>
      </w:tr>
    </w:tbl>
    <w:p>
      <w:pPr>
        <w:pStyle w:val="Heading2"/>
        <w:spacing w:after="120" w:before="240"/>
      </w:pPr>
      <w:r>
        <w:rPr>
          <w:rFonts w:ascii="Calibri" w:cs="Calibri" w:eastAsia="Calibri" w:hAnsi="Calibri"/>
          <w:b/>
          <w:bCs/>
          <w:color w:val="1F4E79"/>
          <w:sz w:val="26"/>
          <w:szCs w:val="26"/>
        </w:rPr>
        <w:t xml:space="preserve">Capability Surface (V4.2)</w:t>
      </w:r>
    </w:p>
    <w:p>
      <w:pPr>
        <w:pStyle w:val="ListParagraph"/>
        <w:numPr>
          <w:ilvl w:val="0"/>
          <w:numId w:val="3"/>
        </w:numPr>
        <w:spacing w:after="40" w:before="40"/>
      </w:pPr>
      <w:r>
        <w:rPr>
          <w:rFonts w:ascii="Calibri" w:cs="Calibri" w:eastAsia="Calibri" w:hAnsi="Calibri"/>
          <w:sz w:val="22"/>
          <w:szCs w:val="22"/>
        </w:rPr>
        <w:t xml:space="preserve">CSV / PDF ingestion with AI-generated field maps and [Key.Value] bracket-notation AIO emission.</w:t>
      </w:r>
    </w:p>
    <w:p>
      <w:pPr>
        <w:pStyle w:val="ListParagraph"/>
        <w:numPr>
          <w:ilvl w:val="0"/>
          <w:numId w:val="3"/>
        </w:numPr>
        <w:spacing w:after="40" w:before="40"/>
      </w:pPr>
      <w:r>
        <w:rPr>
          <w:rFonts w:ascii="Calibri" w:cs="Calibri" w:eastAsia="Calibri" w:hAnsi="Calibri"/>
          <w:sz w:val="22"/>
          <w:szCs w:val="22"/>
        </w:rPr>
        <w:t xml:space="preserve">Bulk CSV processing with progress tracking.</w:t>
      </w:r>
    </w:p>
    <w:p>
      <w:pPr>
        <w:pStyle w:val="ListParagraph"/>
        <w:numPr>
          <w:ilvl w:val="0"/>
          <w:numId w:val="3"/>
        </w:numPr>
        <w:spacing w:after="40" w:before="40"/>
      </w:pPr>
      <w:r>
        <w:rPr>
          <w:rFonts w:ascii="Calibri" w:cs="Calibri" w:eastAsia="Calibri" w:hAnsi="Calibri"/>
          <w:sz w:val="22"/>
          <w:szCs w:val="22"/>
        </w:rPr>
        <w:t xml:space="preserve">HSL Builder and Rebuild HSLs from All AIOs (scan → group by shared elements → write → skip duplicates → report).</w:t>
      </w:r>
    </w:p>
    <w:p>
      <w:pPr>
        <w:pStyle w:val="ListParagraph"/>
        <w:numPr>
          <w:ilvl w:val="0"/>
          <w:numId w:val="3"/>
        </w:numPr>
        <w:spacing w:after="40" w:before="40"/>
      </w:pPr>
      <w:r>
        <w:rPr>
          <w:rFonts w:ascii="Calibri" w:cs="Calibri" w:eastAsia="Calibri" w:hAnsi="Calibri"/>
          <w:sz w:val="22"/>
          <w:szCs w:val="22"/>
        </w:rPr>
        <w:t xml:space="preserve">ChatAIO with four search modes: Broad Search, AIO Search (four-phase algebra: parse → match HSLs → gather AIOs → synthesize), Substrate Chat, and Pure LLM.</w:t>
      </w:r>
    </w:p>
    <w:p>
      <w:pPr>
        <w:pStyle w:val="ListParagraph"/>
        <w:numPr>
          <w:ilvl w:val="0"/>
          <w:numId w:val="3"/>
        </w:numPr>
        <w:spacing w:after="40" w:before="40"/>
      </w:pPr>
      <w:r>
        <w:rPr>
          <w:rFonts w:ascii="Calibri" w:cs="Calibri" w:eastAsia="Calibri" w:hAnsi="Calibri"/>
          <w:sz w:val="22"/>
          <w:szCs w:val="22"/>
        </w:rPr>
        <w:t xml:space="preserve">AIO Search V4.2 retrieval upgrades: field-aware re-rank, predicate pushdown, exclusion handling, alias expansion, MRO ranker (tsvector + ts_rank + trust_score), adaptive sizing, embedding hooks.</w:t>
      </w:r>
    </w:p>
    <w:p>
      <w:pPr>
        <w:pStyle w:val="ListParagraph"/>
        <w:numPr>
          <w:ilvl w:val="0"/>
          <w:numId w:val="3"/>
        </w:numPr>
        <w:spacing w:after="40" w:before="40"/>
      </w:pPr>
      <w:r>
        <w:rPr>
          <w:rFonts w:ascii="Calibri" w:cs="Calibri" w:eastAsia="Calibri" w:hAnsi="Calibri"/>
          <w:sz w:val="22"/>
          <w:szCs w:val="22"/>
        </w:rPr>
        <w:t xml:space="preserve">Compare Modes endpoint — runs the same query under multiple modes in parallel (ThreadPoolExecutor, max four workers) for empirical evaluation.</w:t>
      </w:r>
    </w:p>
    <w:p>
      <w:pPr>
        <w:pStyle w:val="ListParagraph"/>
        <w:numPr>
          <w:ilvl w:val="0"/>
          <w:numId w:val="3"/>
        </w:numPr>
        <w:spacing w:after="40" w:before="40"/>
      </w:pPr>
      <w:r>
        <w:rPr>
          <w:rFonts w:ascii="Calibri" w:cs="Calibri" w:eastAsia="Calibri" w:hAnsi="Calibri"/>
          <w:sz w:val="22"/>
          <w:szCs w:val="22"/>
        </w:rPr>
        <w:t xml:space="preserve">MRO Compaction — single-link Jaccard clustering with dual thresholds (seed-HSL ≥ 0.85 AND query-token ≥ 0.60); dry-run report or transactional apply.</w:t>
      </w:r>
    </w:p>
    <w:p>
      <w:pPr>
        <w:pStyle w:val="ListParagraph"/>
        <w:numPr>
          <w:ilvl w:val="0"/>
          <w:numId w:val="3"/>
        </w:numPr>
        <w:spacing w:after="40" w:before="40"/>
      </w:pPr>
      <w:r>
        <w:rPr>
          <w:rFonts w:ascii="Calibri" w:cs="Calibri" w:eastAsia="Calibri" w:hAnsi="Calibri"/>
          <w:sz w:val="22"/>
          <w:szCs w:val="22"/>
        </w:rPr>
        <w:t xml:space="preserve">Per-tenant token-budget guardrail with HTTP 429 short-circuit at all LLM call sites.</w:t>
      </w:r>
    </w:p>
    <w:p>
      <w:pPr>
        <w:pStyle w:val="ListParagraph"/>
        <w:numPr>
          <w:ilvl w:val="0"/>
          <w:numId w:val="3"/>
        </w:numPr>
        <w:spacing w:after="40" w:before="40"/>
      </w:pPr>
      <w:r>
        <w:rPr>
          <w:rFonts w:ascii="Calibri" w:cs="Calibri" w:eastAsia="Calibri" w:hAnsi="Calibri"/>
          <w:sz w:val="22"/>
          <w:szCs w:val="22"/>
        </w:rPr>
        <w:t xml:space="preserve">SHA-256 query micro-cache with ON DELETE SET NULL foreign-key to mro_objects.</w:t>
      </w:r>
    </w:p>
    <w:p>
      <w:pPr>
        <w:pStyle w:val="ListParagraph"/>
        <w:numPr>
          <w:ilvl w:val="0"/>
          <w:numId w:val="3"/>
        </w:numPr>
        <w:spacing w:after="40" w:before="40"/>
      </w:pPr>
      <w:r>
        <w:rPr>
          <w:rFonts w:ascii="Calibri" w:cs="Calibri" w:eastAsia="Calibri" w:hAnsi="Calibri"/>
          <w:sz w:val="22"/>
          <w:szCs w:val="22"/>
        </w:rPr>
        <w:t xml:space="preserve">System Administration — thirteen-tab admin console: users, roles, AIO Data, HSL Data, MRO Data (browse and edit with lazy hydration), saved CSVs / AIOs / Prompts, Information Elements, API key, storage, architecture reference, and operator tools.</w:t>
      </w:r>
    </w:p>
    <w:p>
      <w:pPr>
        <w:pStyle w:val="ListParagraph"/>
        <w:numPr>
          <w:ilvl w:val="0"/>
          <w:numId w:val="3"/>
        </w:numPr>
        <w:spacing w:after="40" w:before="40"/>
      </w:pPr>
      <w:r>
        <w:rPr>
          <w:rFonts w:ascii="Calibri" w:cs="Calibri" w:eastAsia="Calibri" w:hAnsi="Calibri"/>
          <w:sz w:val="22"/>
          <w:szCs w:val="22"/>
        </w:rPr>
        <w:t xml:space="preserve">Live Dashboard — counts of AIOs, HSLs, MROs, Information Elements, and Field Maps.</w:t>
      </w:r>
    </w:p>
    <w:p>
      <w:pPr>
        <w:pStyle w:val="ListParagraph"/>
        <w:numPr>
          <w:ilvl w:val="0"/>
          <w:numId w:val="3"/>
        </w:numPr>
        <w:spacing w:after="40" w:before="40"/>
      </w:pPr>
      <w:r>
        <w:rPr>
          <w:rFonts w:ascii="Calibri" w:cs="Calibri" w:eastAsia="Calibri" w:hAnsi="Calibri"/>
          <w:sz w:val="22"/>
          <w:szCs w:val="22"/>
        </w:rPr>
        <w:t xml:space="preserve">Standalone Desktop App — Electron DMG with the entire backend, database, and frontend bundled; runs offline.</w:t>
      </w:r>
    </w:p>
    <w:p>
      <w:pPr>
        <w:pStyle w:val="Heading1"/>
        <w:pBdr>
          <w:bottom w:val="single" w:color="1F4E79" w:sz="6" w:space="4"/>
        </w:pBdr>
        <w:spacing w:after="180" w:before="360"/>
      </w:pPr>
      <w:r>
        <w:rPr>
          <w:rFonts w:ascii="Calibri" w:cs="Calibri" w:eastAsia="Calibri" w:hAnsi="Calibri"/>
          <w:b/>
          <w:bCs/>
          <w:color w:val="1F4E79"/>
          <w:sz w:val="32"/>
          <w:szCs w:val="32"/>
        </w:rPr>
        <w:t xml:space="preserve">4. The Platform as a Prototype Platform</w:t>
      </w:r>
    </w:p>
    <w:p>
      <w:pPr>
        <w:spacing w:after="120" w:before="60"/>
      </w:pPr>
      <w:r>
        <w:rPr>
          <w:rFonts w:ascii="Calibri" w:cs="Calibri" w:eastAsia="Calibri" w:hAnsi="Calibri"/>
          <w:sz w:val="22"/>
          <w:szCs w:val="22"/>
        </w:rPr>
        <w:t xml:space="preserve">A “prototype platform” is more than a demo — it is the artifact a buyer’s engineering team can deploy, extend, productize, and sell from on day one. The Platform satisfies that bar:</w:t>
      </w:r>
    </w:p>
    <w:p>
      <w:pPr>
        <w:pStyle w:val="ListParagraph"/>
        <w:numPr>
          <w:ilvl w:val="0"/>
          <w:numId w:val="3"/>
        </w:numPr>
        <w:spacing w:after="40" w:before="40"/>
      </w:pPr>
      <w:r>
        <w:rPr>
          <w:rFonts w:ascii="Calibri" w:cs="Calibri" w:eastAsia="Calibri" w:hAnsi="Calibri"/>
          <w:b/>
          <w:bCs/>
          <w:sz w:val="22"/>
          <w:szCs w:val="22"/>
        </w:rPr>
        <w:t xml:space="preserve">Production-grade scaffolding. </w:t>
      </w:r>
      <w:r>
        <w:rPr>
          <w:rFonts w:ascii="Calibri" w:cs="Calibri" w:eastAsia="Calibri" w:hAnsi="Calibri"/>
          <w:sz w:val="22"/>
          <w:szCs w:val="22"/>
        </w:rPr>
        <w:t xml:space="preserve">Multi-tenant RLS, idempotent SQL migrations (000–013, applied automatically by start.sh), Docker Compose for full-stack local bring-up, Railway cloud deploy from main, and signed-installer-ready Electron builds. Nothing is mocked.</w:t>
      </w:r>
    </w:p>
    <w:p>
      <w:pPr>
        <w:pStyle w:val="ListParagraph"/>
        <w:numPr>
          <w:ilvl w:val="0"/>
          <w:numId w:val="3"/>
        </w:numPr>
        <w:spacing w:after="40" w:before="40"/>
      </w:pPr>
      <w:r>
        <w:rPr>
          <w:rFonts w:ascii="Calibri" w:cs="Calibri" w:eastAsia="Calibri" w:hAnsi="Calibri"/>
          <w:b/>
          <w:bCs/>
          <w:sz w:val="22"/>
          <w:szCs w:val="22"/>
        </w:rPr>
        <w:t xml:space="preserve">Clean separation of concerns. </w:t>
      </w:r>
      <w:r>
        <w:rPr>
          <w:rFonts w:ascii="Calibri" w:cs="Calibri" w:eastAsia="Calibri" w:hAnsi="Calibri"/>
          <w:sz w:val="22"/>
          <w:szCs w:val="22"/>
        </w:rPr>
        <w:t xml:space="preserve">Frontend is decoupled from backend through Next.js API proxy routes; backend is the system of record. A buyer can replace the UI shell, the LLM provider, or the storage substrate without disturbing the algebra.</w:t>
      </w:r>
    </w:p>
    <w:p>
      <w:pPr>
        <w:pStyle w:val="ListParagraph"/>
        <w:numPr>
          <w:ilvl w:val="0"/>
          <w:numId w:val="3"/>
        </w:numPr>
        <w:spacing w:after="40" w:before="40"/>
      </w:pPr>
      <w:r>
        <w:rPr>
          <w:rFonts w:ascii="Calibri" w:cs="Calibri" w:eastAsia="Calibri" w:hAnsi="Calibri"/>
          <w:b/>
          <w:bCs/>
          <w:sz w:val="22"/>
          <w:szCs w:val="22"/>
        </w:rPr>
        <w:t xml:space="preserve">Instrumented at every boundary. </w:t>
      </w:r>
      <w:r>
        <w:rPr>
          <w:rFonts w:ascii="Calibri" w:cs="Calibri" w:eastAsia="Calibri" w:hAnsi="Calibri"/>
          <w:sz w:val="22"/>
          <w:szCs w:val="22"/>
        </w:rPr>
        <w:t xml:space="preserve">Every retrieval is a measurement; every measurement records its instrument. Compare Modes and MRO Compaction were built explicitly so an operator can measure the system measuring.</w:t>
      </w:r>
    </w:p>
    <w:p>
      <w:pPr>
        <w:pStyle w:val="ListParagraph"/>
        <w:numPr>
          <w:ilvl w:val="0"/>
          <w:numId w:val="3"/>
        </w:numPr>
        <w:spacing w:after="40" w:before="40"/>
      </w:pPr>
      <w:r>
        <w:rPr>
          <w:rFonts w:ascii="Calibri" w:cs="Calibri" w:eastAsia="Calibri" w:hAnsi="Calibri"/>
          <w:b/>
          <w:bCs/>
          <w:sz w:val="22"/>
          <w:szCs w:val="22"/>
        </w:rPr>
        <w:t xml:space="preserve">Documented for transfer. </w:t>
      </w:r>
      <w:r>
        <w:rPr>
          <w:rFonts w:ascii="Calibri" w:cs="Calibri" w:eastAsia="Calibri" w:hAnsi="Calibri"/>
          <w:sz w:val="22"/>
          <w:szCs w:val="22"/>
        </w:rPr>
        <w:t xml:space="preserve">CLAUDE.md, DOCS.md, the in-app User Guide, and the Trade-Secret Due-Diligence package together provide architectural, operational, and trade-secret context. An incoming team can be productive in days, not months.</w:t>
      </w:r>
    </w:p>
    <w:p>
      <w:pPr>
        <w:pStyle w:val="Heading1"/>
        <w:pBdr>
          <w:bottom w:val="single" w:color="1F4E79" w:sz="6" w:space="4"/>
        </w:pBdr>
        <w:spacing w:after="180" w:before="360"/>
      </w:pPr>
      <w:r>
        <w:rPr>
          <w:rFonts w:ascii="Calibri" w:cs="Calibri" w:eastAsia="Calibri" w:hAnsi="Calibri"/>
          <w:b/>
          <w:bCs/>
          <w:color w:val="1F4E79"/>
          <w:sz w:val="32"/>
          <w:szCs w:val="32"/>
        </w:rPr>
        <w:t xml:space="preserve">5. The Platform as an R&amp;D Tool</w:t>
      </w:r>
    </w:p>
    <w:p>
      <w:pPr>
        <w:spacing w:after="120" w:before="60"/>
      </w:pPr>
      <w:r>
        <w:rPr>
          <w:rFonts w:ascii="Calibri" w:cs="Calibri" w:eastAsia="Calibri" w:hAnsi="Calibri"/>
          <w:sz w:val="22"/>
          <w:szCs w:val="22"/>
        </w:rPr>
        <w:t xml:space="preserve">The Platform was built with the explicit goal of making the underlying invention observable, falsifiable, and improvable in production. It is, in practice, the laboratory bench for Information Physics.</w:t>
      </w:r>
    </w:p>
    <w:p>
      <w:pPr>
        <w:pStyle w:val="ListParagraph"/>
        <w:numPr>
          <w:ilvl w:val="0"/>
          <w:numId w:val="3"/>
        </w:numPr>
        <w:spacing w:after="40" w:before="40"/>
      </w:pPr>
      <w:r>
        <w:rPr>
          <w:rFonts w:ascii="Calibri" w:cs="Calibri" w:eastAsia="Calibri" w:hAnsi="Calibri"/>
          <w:b/>
          <w:bCs/>
          <w:sz w:val="22"/>
          <w:szCs w:val="22"/>
        </w:rPr>
        <w:t xml:space="preserve">Compare Modes </w:t>
      </w:r>
      <w:r>
        <w:rPr>
          <w:rFonts w:ascii="Calibri" w:cs="Calibri" w:eastAsia="Calibri" w:hAnsi="Calibri"/>
          <w:sz w:val="22"/>
          <w:szCs w:val="22"/>
        </w:rPr>
        <w:t xml:space="preserve">lets a researcher run the same query through Broad Search, AIO Search, Substrate Chat, and Pure LLM in parallel and compare answers, citations, latency, and cost — turning anecdotes into measurements.</w:t>
      </w:r>
    </w:p>
    <w:p>
      <w:pPr>
        <w:pStyle w:val="ListParagraph"/>
        <w:numPr>
          <w:ilvl w:val="0"/>
          <w:numId w:val="3"/>
        </w:numPr>
        <w:spacing w:after="40" w:before="40"/>
      </w:pPr>
      <w:r>
        <w:rPr>
          <w:rFonts w:ascii="Calibri" w:cs="Calibri" w:eastAsia="Calibri" w:hAnsi="Calibri"/>
          <w:b/>
          <w:bCs/>
          <w:sz w:val="22"/>
          <w:szCs w:val="22"/>
        </w:rPr>
        <w:t xml:space="preserve">MRO Compaction </w:t>
      </w:r>
      <w:r>
        <w:rPr>
          <w:rFonts w:ascii="Calibri" w:cs="Calibri" w:eastAsia="Calibri" w:hAnsi="Calibri"/>
          <w:sz w:val="22"/>
          <w:szCs w:val="22"/>
        </w:rPr>
        <w:t xml:space="preserve">is a live experiment in episodic-memory consolidation — Jaccard clustering with tunable dual thresholds, dry-run plans before any merge, and a full audit report. Researchers can adjust thresholds and observe the effect on memory shape.</w:t>
      </w:r>
    </w:p>
    <w:p>
      <w:pPr>
        <w:pStyle w:val="ListParagraph"/>
        <w:numPr>
          <w:ilvl w:val="0"/>
          <w:numId w:val="3"/>
        </w:numPr>
        <w:spacing w:after="40" w:before="40"/>
      </w:pPr>
      <w:r>
        <w:rPr>
          <w:rFonts w:ascii="Calibri" w:cs="Calibri" w:eastAsia="Calibri" w:hAnsi="Calibri"/>
          <w:b/>
          <w:bCs/>
          <w:sz w:val="22"/>
          <w:szCs w:val="22"/>
        </w:rPr>
        <w:t xml:space="preserve">The MRO Data admin pane </w:t>
      </w:r>
      <w:r>
        <w:rPr>
          <w:rFonts w:ascii="Calibri" w:cs="Calibri" w:eastAsia="Calibri" w:hAnsi="Calibri"/>
          <w:sz w:val="22"/>
          <w:szCs w:val="22"/>
        </w:rPr>
        <w:t xml:space="preserve">provides full browse / lazy-hydrated edit / delete on every retrieval episode the system has ever performed. This makes the “what was previously concluded?” pillar directly inspectable.</w:t>
      </w:r>
    </w:p>
    <w:p>
      <w:pPr>
        <w:pStyle w:val="ListParagraph"/>
        <w:numPr>
          <w:ilvl w:val="0"/>
          <w:numId w:val="3"/>
        </w:numPr>
        <w:spacing w:after="40" w:before="40"/>
      </w:pPr>
      <w:r>
        <w:rPr>
          <w:rFonts w:ascii="Calibri" w:cs="Calibri" w:eastAsia="Calibri" w:hAnsi="Calibri"/>
          <w:b/>
          <w:bCs/>
          <w:sz w:val="22"/>
          <w:szCs w:val="22"/>
        </w:rPr>
        <w:t xml:space="preserve">The Substrate Chat mode </w:t>
      </w:r>
      <w:r>
        <w:rPr>
          <w:rFonts w:ascii="Calibri" w:cs="Calibri" w:eastAsia="Calibri" w:hAnsi="Calibri"/>
          <w:sz w:val="22"/>
          <w:szCs w:val="22"/>
        </w:rPr>
        <w:t xml:space="preserve">exposes the raw context substrate before LLM synthesis, so a researcher can see exactly what evidence the cortex received.</w:t>
      </w:r>
    </w:p>
    <w:p>
      <w:pPr>
        <w:pStyle w:val="ListParagraph"/>
        <w:numPr>
          <w:ilvl w:val="0"/>
          <w:numId w:val="3"/>
        </w:numPr>
        <w:spacing w:after="40" w:before="40"/>
      </w:pPr>
      <w:r>
        <w:rPr>
          <w:rFonts w:ascii="Calibri" w:cs="Calibri" w:eastAsia="Calibri" w:hAnsi="Calibri"/>
          <w:b/>
          <w:bCs/>
          <w:sz w:val="22"/>
          <w:szCs w:val="22"/>
        </w:rPr>
        <w:t xml:space="preserve">Per-tenant budget telemetry </w:t>
      </w:r>
      <w:r>
        <w:rPr>
          <w:rFonts w:ascii="Calibri" w:cs="Calibri" w:eastAsia="Calibri" w:hAnsi="Calibri"/>
          <w:sz w:val="22"/>
          <w:szCs w:val="22"/>
        </w:rPr>
        <w:t xml:space="preserve">records token usage at every LLM call site, enabling cost-of-knowledge analyses by tenant, by mode, and by query class.</w:t>
      </w:r>
    </w:p>
    <w:p>
      <w:pPr>
        <w:pStyle w:val="ListParagraph"/>
        <w:numPr>
          <w:ilvl w:val="0"/>
          <w:numId w:val="3"/>
        </w:numPr>
        <w:spacing w:after="40" w:before="40"/>
      </w:pPr>
      <w:r>
        <w:rPr>
          <w:rFonts w:ascii="Calibri" w:cs="Calibri" w:eastAsia="Calibri" w:hAnsi="Calibri"/>
          <w:b/>
          <w:bCs/>
          <w:sz w:val="22"/>
          <w:szCs w:val="22"/>
        </w:rPr>
        <w:t xml:space="preserve">The “served from memory” badge and citation panel </w:t>
      </w:r>
      <w:r>
        <w:rPr>
          <w:rFonts w:ascii="Calibri" w:cs="Calibri" w:eastAsia="Calibri" w:hAnsi="Calibri"/>
          <w:sz w:val="22"/>
          <w:szCs w:val="22"/>
        </w:rPr>
        <w:t xml:space="preserve">in ChatAIO make Conservation of Provenance and Topological Boundedness visible to the operator on every answer.</w:t>
      </w:r>
    </w:p>
    <w:p>
      <w:pPr>
        <w:spacing w:after="120" w:before="60"/>
      </w:pPr>
      <w:r>
        <w:rPr>
          <w:rFonts w:ascii="Calibri" w:cs="Calibri" w:eastAsia="Calibri" w:hAnsi="Calibri"/>
          <w:sz w:val="22"/>
          <w:szCs w:val="22"/>
        </w:rPr>
        <w:t xml:space="preserve">In short: every one of the seven foundational laws has a corresponding observable surface in the Platform. A buyer’s research team inherits that instrumentation.</w:t>
      </w:r>
    </w:p>
    <w:p>
      <w:pPr>
        <w:pStyle w:val="Heading1"/>
        <w:pBdr>
          <w:bottom w:val="single" w:color="1F4E79" w:sz="6" w:space="4"/>
        </w:pBdr>
        <w:spacing w:after="180" w:before="360"/>
      </w:pPr>
      <w:r>
        <w:rPr>
          <w:rFonts w:ascii="Calibri" w:cs="Calibri" w:eastAsia="Calibri" w:hAnsi="Calibri"/>
          <w:b/>
          <w:bCs/>
          <w:color w:val="1F4E79"/>
          <w:sz w:val="32"/>
          <w:szCs w:val="32"/>
        </w:rPr>
        <w:t xml:space="preserve">6. The Platform as a Proof of Concept</w:t>
      </w:r>
    </w:p>
    <w:p>
      <w:pPr>
        <w:spacing w:after="120" w:before="60"/>
      </w:pPr>
      <w:r>
        <w:rPr>
          <w:rFonts w:ascii="Calibri" w:cs="Calibri" w:eastAsia="Calibri" w:hAnsi="Calibri"/>
          <w:sz w:val="22"/>
          <w:szCs w:val="22"/>
        </w:rPr>
        <w:t xml:space="preserve">The Platform demonstrates, against real CSV/PDF corpora and real users, that the Information Physics model is buildable, performant, and economically attractive:</w:t>
      </w:r>
    </w:p>
    <w:p>
      <w:pPr>
        <w:pStyle w:val="ListParagraph"/>
        <w:numPr>
          <w:ilvl w:val="0"/>
          <w:numId w:val="3"/>
        </w:numPr>
        <w:spacing w:after="40" w:before="40"/>
      </w:pPr>
      <w:r>
        <w:rPr>
          <w:rFonts w:ascii="Calibri" w:cs="Calibri" w:eastAsia="Calibri" w:hAnsi="Calibri"/>
          <w:b/>
          <w:bCs/>
          <w:sz w:val="22"/>
          <w:szCs w:val="22"/>
        </w:rPr>
        <w:t xml:space="preserve">Buildable. </w:t>
      </w:r>
      <w:r>
        <w:rPr>
          <w:rFonts w:ascii="Calibri" w:cs="Calibri" w:eastAsia="Calibri" w:hAnsi="Calibri"/>
          <w:sz w:val="22"/>
          <w:szCs w:val="22"/>
        </w:rPr>
        <w:t xml:space="preserve">A small team has reduced the standard model to a working five-layer stack on commodity infrastructure (Postgres + FastAPI + Next.js + Anthropic). Nothing in the architecture requires exotic hardware, custom silicon, or bespoke ML training.</w:t>
      </w:r>
    </w:p>
    <w:p>
      <w:pPr>
        <w:pStyle w:val="ListParagraph"/>
        <w:numPr>
          <w:ilvl w:val="0"/>
          <w:numId w:val="3"/>
        </w:numPr>
        <w:spacing w:after="40" w:before="40"/>
      </w:pPr>
      <w:r>
        <w:rPr>
          <w:rFonts w:ascii="Calibri" w:cs="Calibri" w:eastAsia="Calibri" w:hAnsi="Calibri"/>
          <w:b/>
          <w:bCs/>
          <w:sz w:val="22"/>
          <w:szCs w:val="22"/>
        </w:rPr>
        <w:t xml:space="preserve">Performant. </w:t>
      </w:r>
      <w:r>
        <w:rPr>
          <w:rFonts w:ascii="Calibri" w:cs="Calibri" w:eastAsia="Calibri" w:hAnsi="Calibri"/>
          <w:sz w:val="22"/>
          <w:szCs w:val="22"/>
        </w:rPr>
        <w:t xml:space="preserve">AIO Search returns auditable, cited answers from a precomputed HSL topology. Repeated queries are served from MRO memory at near-zero marginal LLM cost, materially outperforming pipeline-RAG on cost-per-answer for any workload with question-class repetition.</w:t>
      </w:r>
    </w:p>
    <w:p>
      <w:pPr>
        <w:pStyle w:val="ListParagraph"/>
        <w:numPr>
          <w:ilvl w:val="0"/>
          <w:numId w:val="3"/>
        </w:numPr>
        <w:spacing w:after="40" w:before="40"/>
      </w:pPr>
      <w:r>
        <w:rPr>
          <w:rFonts w:ascii="Calibri" w:cs="Calibri" w:eastAsia="Calibri" w:hAnsi="Calibri"/>
          <w:b/>
          <w:bCs/>
          <w:sz w:val="22"/>
          <w:szCs w:val="22"/>
        </w:rPr>
        <w:t xml:space="preserve">Auditable. </w:t>
      </w:r>
      <w:r>
        <w:rPr>
          <w:rFonts w:ascii="Calibri" w:cs="Calibri" w:eastAsia="Calibri" w:hAnsi="Calibri"/>
          <w:sz w:val="22"/>
          <w:szCs w:val="22"/>
        </w:rPr>
        <w:t xml:space="preserve">Every answer carries provenance, an instrument declaration, and a topological boundary — not as decoration, but as enforced structure in the database and API contracts.</w:t>
      </w:r>
    </w:p>
    <w:p>
      <w:pPr>
        <w:pStyle w:val="ListParagraph"/>
        <w:numPr>
          <w:ilvl w:val="0"/>
          <w:numId w:val="3"/>
        </w:numPr>
        <w:spacing w:after="40" w:before="40"/>
      </w:pPr>
      <w:r>
        <w:rPr>
          <w:rFonts w:ascii="Calibri" w:cs="Calibri" w:eastAsia="Calibri" w:hAnsi="Calibri"/>
          <w:b/>
          <w:bCs/>
          <w:sz w:val="22"/>
          <w:szCs w:val="22"/>
        </w:rPr>
        <w:t xml:space="preserve">Governed. </w:t>
      </w:r>
      <w:r>
        <w:rPr>
          <w:rFonts w:ascii="Calibri" w:cs="Calibri" w:eastAsia="Calibri" w:hAnsi="Calibri"/>
          <w:sz w:val="22"/>
          <w:szCs w:val="22"/>
        </w:rPr>
        <w:t xml:space="preserve">RLS tenant isolation, role-based access, per-tenant token budgets, and entropy accounting on summarization make the system operable in regulated environments where black-box LLMs are unacceptable.</w:t>
      </w:r>
    </w:p>
    <w:p>
      <w:pPr>
        <w:pStyle w:val="ListParagraph"/>
        <w:numPr>
          <w:ilvl w:val="0"/>
          <w:numId w:val="3"/>
        </w:numPr>
        <w:spacing w:after="40" w:before="40"/>
      </w:pPr>
      <w:r>
        <w:rPr>
          <w:rFonts w:ascii="Calibri" w:cs="Calibri" w:eastAsia="Calibri" w:hAnsi="Calibri"/>
          <w:b/>
          <w:bCs/>
          <w:sz w:val="22"/>
          <w:szCs w:val="22"/>
        </w:rPr>
        <w:t xml:space="preserve">Recursive. </w:t>
      </w:r>
      <w:r>
        <w:rPr>
          <w:rFonts w:ascii="Calibri" w:cs="Calibri" w:eastAsia="Calibri" w:hAnsi="Calibri"/>
          <w:sz w:val="22"/>
          <w:szCs w:val="22"/>
        </w:rPr>
        <w:t xml:space="preserve">MROs are written back into the substrate. The system’s history of successful reasoning becomes new evidence — the recursive-learning property predicted by the standard model is observable today, and tunable through MRO Compaction.</w:t>
      </w:r>
    </w:p>
    <w:p>
      <w:pPr>
        <w:spacing w:after="120" w:before="60"/>
      </w:pPr>
      <w:r>
        <w:rPr>
          <w:rFonts w:ascii="Calibri" w:cs="Calibri" w:eastAsia="Calibri" w:hAnsi="Calibri"/>
          <w:sz w:val="22"/>
          <w:szCs w:val="22"/>
        </w:rPr>
        <w:t xml:space="preserve">Taken together, these properties answer the proof-of-concept question — can preserve-first, traversal-based AI be built and operated at production grade? — affirmatively, with running code.</w:t>
      </w:r>
    </w:p>
    <w:p>
      <w:pPr>
        <w:pStyle w:val="Heading1"/>
        <w:pBdr>
          <w:bottom w:val="single" w:color="1F4E79" w:sz="6" w:space="4"/>
        </w:pBdr>
        <w:spacing w:after="180" w:before="360"/>
      </w:pPr>
      <w:r>
        <w:rPr>
          <w:rFonts w:ascii="Calibri" w:cs="Calibri" w:eastAsia="Calibri" w:hAnsi="Calibri"/>
          <w:b/>
          <w:bCs/>
          <w:color w:val="1F4E79"/>
          <w:sz w:val="32"/>
          <w:szCs w:val="32"/>
        </w:rPr>
        <w:t xml:space="preserve">7. Strategic Value to an Acquirer</w:t>
      </w:r>
    </w:p>
    <w:p>
      <w:pPr>
        <w:spacing w:after="120" w:before="60"/>
      </w:pPr>
      <w:r>
        <w:rPr>
          <w:rFonts w:ascii="Calibri" w:cs="Calibri" w:eastAsia="Calibri" w:hAnsi="Calibri"/>
          <w:sz w:val="22"/>
          <w:szCs w:val="22"/>
        </w:rPr>
        <w:t xml:space="preserve">A buyer of the Platform acquires four distinct assets:</w:t>
      </w:r>
    </w:p>
    <w:p>
      <w:pPr>
        <w:pStyle w:val="ListParagraph"/>
        <w:numPr>
          <w:ilvl w:val="0"/>
          <w:numId w:val="2"/>
        </w:numPr>
        <w:spacing w:after="40" w:before="40"/>
      </w:pPr>
      <w:r>
        <w:rPr>
          <w:rFonts w:ascii="Calibri" w:cs="Calibri" w:eastAsia="Calibri" w:hAnsi="Calibri"/>
          <w:sz w:val="22"/>
          <w:szCs w:val="22"/>
        </w:rPr>
        <w:t xml:space="preserve">The artifact. A V4.2.0 desktop and cloud deployment, signed-installer-ready, with documented operations and approximately sixty REST endpoints.</w:t>
      </w:r>
    </w:p>
    <w:p>
      <w:pPr>
        <w:pStyle w:val="ListParagraph"/>
        <w:numPr>
          <w:ilvl w:val="0"/>
          <w:numId w:val="2"/>
        </w:numPr>
        <w:spacing w:after="40" w:before="40"/>
      </w:pPr>
      <w:r>
        <w:rPr>
          <w:rFonts w:ascii="Calibri" w:cs="Calibri" w:eastAsia="Calibri" w:hAnsi="Calibri"/>
          <w:sz w:val="22"/>
          <w:szCs w:val="22"/>
        </w:rPr>
        <w:t xml:space="preserve">The codebase and the right to extend it under the existing InformationPhysics.ai trade-secret regime (see InformationPhysics_CIM_TradeSecret and the Transaction-Grade One-Way NDA on file).</w:t>
      </w:r>
    </w:p>
    <w:p>
      <w:pPr>
        <w:pStyle w:val="ListParagraph"/>
        <w:numPr>
          <w:ilvl w:val="0"/>
          <w:numId w:val="2"/>
        </w:numPr>
        <w:spacing w:after="40" w:before="40"/>
      </w:pPr>
      <w:r>
        <w:rPr>
          <w:rFonts w:ascii="Calibri" w:cs="Calibri" w:eastAsia="Calibri" w:hAnsi="Calibri"/>
          <w:sz w:val="22"/>
          <w:szCs w:val="22"/>
        </w:rPr>
        <w:t xml:space="preserve">The instrumentation. A working laboratory for advancing the Information Physics standard model in market — including Compare Modes, MRO Compaction, and the full admin console.</w:t>
      </w:r>
    </w:p>
    <w:p>
      <w:pPr>
        <w:pStyle w:val="ListParagraph"/>
        <w:numPr>
          <w:ilvl w:val="0"/>
          <w:numId w:val="2"/>
        </w:numPr>
        <w:spacing w:after="40" w:before="40"/>
      </w:pPr>
      <w:r>
        <w:rPr>
          <w:rFonts w:ascii="Calibri" w:cs="Calibri" w:eastAsia="Calibri" w:hAnsi="Calibri"/>
          <w:sz w:val="22"/>
          <w:szCs w:val="22"/>
        </w:rPr>
        <w:t xml:space="preserve">The narrative anchor. A defensible category position (preserve-first AI / governed episodic memory) supported by an executive summary, due-diligence package, valuation memo, and patent-application materials maintained by InformationPhysics.ai.</w:t>
      </w:r>
    </w:p>
    <w:p>
      <w:pPr>
        <w:pStyle w:val="Heading2"/>
        <w:spacing w:after="120" w:before="240"/>
      </w:pPr>
      <w:r>
        <w:rPr>
          <w:rFonts w:ascii="Calibri" w:cs="Calibri" w:eastAsia="Calibri" w:hAnsi="Calibri"/>
          <w:b/>
          <w:bCs/>
          <w:color w:val="1F4E79"/>
          <w:sz w:val="26"/>
          <w:szCs w:val="26"/>
        </w:rPr>
        <w:t xml:space="preserve">Plausible Go-To-Market Pathways</w:t>
      </w:r>
    </w:p>
    <w:p>
      <w:pPr>
        <w:pStyle w:val="ListParagraph"/>
        <w:numPr>
          <w:ilvl w:val="0"/>
          <w:numId w:val="3"/>
        </w:numPr>
        <w:spacing w:after="40" w:before="40"/>
      </w:pPr>
      <w:r>
        <w:rPr>
          <w:rFonts w:ascii="Calibri" w:cs="Calibri" w:eastAsia="Calibri" w:hAnsi="Calibri"/>
          <w:sz w:val="22"/>
          <w:szCs w:val="22"/>
        </w:rPr>
        <w:t xml:space="preserve">Regulated-industry AI memory (legal, healthcare, public sector, financial services) where audit trails and provenance are a hard requirement.</w:t>
      </w:r>
    </w:p>
    <w:p>
      <w:pPr>
        <w:pStyle w:val="ListParagraph"/>
        <w:numPr>
          <w:ilvl w:val="0"/>
          <w:numId w:val="3"/>
        </w:numPr>
        <w:spacing w:after="40" w:before="40"/>
      </w:pPr>
      <w:r>
        <w:rPr>
          <w:rFonts w:ascii="Calibri" w:cs="Calibri" w:eastAsia="Calibri" w:hAnsi="Calibri"/>
          <w:sz w:val="22"/>
          <w:szCs w:val="22"/>
        </w:rPr>
        <w:t xml:space="preserve">Enterprise knowledge consolidation — replacing brittle pipeline RAG with a governed episodic-memory substrate.</w:t>
      </w:r>
    </w:p>
    <w:p>
      <w:pPr>
        <w:pStyle w:val="ListParagraph"/>
        <w:numPr>
          <w:ilvl w:val="0"/>
          <w:numId w:val="3"/>
        </w:numPr>
        <w:spacing w:after="40" w:before="40"/>
      </w:pPr>
      <w:r>
        <w:rPr>
          <w:rFonts w:ascii="Calibri" w:cs="Calibri" w:eastAsia="Calibri" w:hAnsi="Calibri"/>
          <w:sz w:val="22"/>
          <w:szCs w:val="22"/>
        </w:rPr>
        <w:t xml:space="preserve">Multi-tenant SaaS — the RLS plus tenant-budget design is already in place.</w:t>
      </w:r>
    </w:p>
    <w:p>
      <w:pPr>
        <w:pStyle w:val="ListParagraph"/>
        <w:numPr>
          <w:ilvl w:val="0"/>
          <w:numId w:val="3"/>
        </w:numPr>
        <w:spacing w:after="40" w:before="40"/>
      </w:pPr>
      <w:r>
        <w:rPr>
          <w:rFonts w:ascii="Calibri" w:cs="Calibri" w:eastAsia="Calibri" w:hAnsi="Calibri"/>
          <w:sz w:val="22"/>
          <w:szCs w:val="22"/>
        </w:rPr>
        <w:t xml:space="preserve">OEM / embedded — the Electron distribution shows the entire stack collapses to a single signed installer for offline, sovereign deployments.</w:t>
      </w:r>
    </w:p>
    <w:p>
      <w:pPr>
        <w:pStyle w:val="Heading1"/>
        <w:pBdr>
          <w:bottom w:val="single" w:color="1F4E79" w:sz="6" w:space="4"/>
        </w:pBdr>
        <w:spacing w:after="180" w:before="360"/>
      </w:pPr>
      <w:r>
        <w:rPr>
          <w:rFonts w:ascii="Calibri" w:cs="Calibri" w:eastAsia="Calibri" w:hAnsi="Calibri"/>
          <w:b/>
          <w:bCs/>
          <w:color w:val="1F4E79"/>
          <w:sz w:val="32"/>
          <w:szCs w:val="32"/>
        </w:rPr>
        <w:t xml:space="preserve">8. Roadmap and Extensibility</w:t>
      </w:r>
    </w:p>
    <w:p>
      <w:pPr>
        <w:spacing w:after="120" w:before="60"/>
      </w:pPr>
      <w:r>
        <w:rPr>
          <w:rFonts w:ascii="Calibri" w:cs="Calibri" w:eastAsia="Calibri" w:hAnsi="Calibri"/>
          <w:sz w:val="22"/>
          <w:szCs w:val="22"/>
        </w:rPr>
        <w:t xml:space="preserve">The Platform is designed for hand-off. Common extensions can be implemented within the existing patterns documented in CLAUDE.md:</w:t>
      </w:r>
    </w:p>
    <w:p>
      <w:pPr>
        <w:pStyle w:val="ListParagraph"/>
        <w:numPr>
          <w:ilvl w:val="0"/>
          <w:numId w:val="3"/>
        </w:numPr>
        <w:spacing w:after="40" w:before="40"/>
      </w:pPr>
      <w:r>
        <w:rPr>
          <w:rFonts w:ascii="Calibri" w:cs="Calibri" w:eastAsia="Calibri" w:hAnsi="Calibri"/>
          <w:b/>
          <w:bCs/>
          <w:sz w:val="22"/>
          <w:szCs w:val="22"/>
        </w:rPr>
        <w:t xml:space="preserve">New API endpoint: </w:t>
      </w:r>
      <w:r>
        <w:rPr>
          <w:rFonts w:ascii="Calibri" w:cs="Calibri" w:eastAsia="Calibri" w:hAnsi="Calibri"/>
          <w:sz w:val="22"/>
          <w:szCs w:val="22"/>
        </w:rPr>
        <w:t xml:space="preserve">add FastAPI route in api/main.py → Next.js proxy in app/api/{name}/route.ts → typed wrapper in lib/api-client.ts.</w:t>
      </w:r>
    </w:p>
    <w:p>
      <w:pPr>
        <w:pStyle w:val="ListParagraph"/>
        <w:numPr>
          <w:ilvl w:val="0"/>
          <w:numId w:val="3"/>
        </w:numPr>
        <w:spacing w:after="40" w:before="40"/>
      </w:pPr>
      <w:r>
        <w:rPr>
          <w:rFonts w:ascii="Calibri" w:cs="Calibri" w:eastAsia="Calibri" w:hAnsi="Calibri"/>
          <w:b/>
          <w:bCs/>
          <w:sz w:val="22"/>
          <w:szCs w:val="22"/>
        </w:rPr>
        <w:t xml:space="preserve">New admin tab: </w:t>
      </w:r>
      <w:r>
        <w:rPr>
          <w:rFonts w:ascii="Calibri" w:cs="Calibri" w:eastAsia="Calibri" w:hAnsi="Calibri"/>
          <w:sz w:val="22"/>
          <w:szCs w:val="22"/>
        </w:rPr>
        <w:t xml:space="preserve">add TabsTrigger and TabsContent and pane function in components/system-management.tsx.</w:t>
      </w:r>
    </w:p>
    <w:p>
      <w:pPr>
        <w:pStyle w:val="ListParagraph"/>
        <w:numPr>
          <w:ilvl w:val="0"/>
          <w:numId w:val="3"/>
        </w:numPr>
        <w:spacing w:after="40" w:before="40"/>
      </w:pPr>
      <w:r>
        <w:rPr>
          <w:rFonts w:ascii="Calibri" w:cs="Calibri" w:eastAsia="Calibri" w:hAnsi="Calibri"/>
          <w:b/>
          <w:bCs/>
          <w:sz w:val="22"/>
          <w:szCs w:val="22"/>
        </w:rPr>
        <w:t xml:space="preserve">Schema evolution: </w:t>
      </w:r>
      <w:r>
        <w:rPr>
          <w:rFonts w:ascii="Calibri" w:cs="Calibri" w:eastAsia="Calibri" w:hAnsi="Calibri"/>
          <w:sz w:val="22"/>
          <w:szCs w:val="22"/>
        </w:rPr>
        <w:t xml:space="preserve">add a numbered, idempotent SQL migration in infophysics_impl_grade/migrations/ — applied automatically on backend startup.</w:t>
      </w:r>
    </w:p>
    <w:p>
      <w:pPr>
        <w:pStyle w:val="ListParagraph"/>
        <w:numPr>
          <w:ilvl w:val="0"/>
          <w:numId w:val="3"/>
        </w:numPr>
        <w:spacing w:after="40" w:before="40"/>
      </w:pPr>
      <w:r>
        <w:rPr>
          <w:rFonts w:ascii="Calibri" w:cs="Calibri" w:eastAsia="Calibri" w:hAnsi="Calibri"/>
          <w:b/>
          <w:bCs/>
          <w:sz w:val="22"/>
          <w:szCs w:val="22"/>
        </w:rPr>
        <w:t xml:space="preserve">Alternative LLM providers: </w:t>
      </w:r>
      <w:r>
        <w:rPr>
          <w:rFonts w:ascii="Calibri" w:cs="Calibri" w:eastAsia="Calibri" w:hAnsi="Calibri"/>
          <w:sz w:val="22"/>
          <w:szCs w:val="22"/>
        </w:rPr>
        <w:t xml:space="preserve">the cortex layer is isolated behind a thin wrapper; replacing or multiplexing providers is a single-file change.</w:t>
      </w:r>
    </w:p>
    <w:p>
      <w:pPr>
        <w:pStyle w:val="ListParagraph"/>
        <w:numPr>
          <w:ilvl w:val="0"/>
          <w:numId w:val="3"/>
        </w:numPr>
        <w:spacing w:after="40" w:before="40"/>
      </w:pPr>
      <w:r>
        <w:rPr>
          <w:rFonts w:ascii="Calibri" w:cs="Calibri" w:eastAsia="Calibri" w:hAnsi="Calibri"/>
          <w:b/>
          <w:bCs/>
          <w:sz w:val="22"/>
          <w:szCs w:val="22"/>
        </w:rPr>
        <w:t xml:space="preserve">Alternative storage substrates: </w:t>
      </w:r>
      <w:r>
        <w:rPr>
          <w:rFonts w:ascii="Calibri" w:cs="Calibri" w:eastAsia="Calibri" w:hAnsi="Calibri"/>
          <w:sz w:val="22"/>
          <w:szCs w:val="22"/>
        </w:rPr>
        <w:t xml:space="preserve">the hippocampus layer is reached through the same DAO pattern across all routes.</w:t>
      </w:r>
    </w:p>
    <w:p>
      <w:pPr>
        <w:spacing w:after="120" w:before="60"/>
      </w:pPr>
      <w:r>
        <w:rPr>
          <w:rFonts w:ascii="Calibri" w:cs="Calibri" w:eastAsia="Calibri" w:hAnsi="Calibri"/>
          <w:sz w:val="22"/>
          <w:szCs w:val="22"/>
        </w:rPr>
        <w:t xml:space="preserve">Near-term R&amp;D directions natural to the Platform: richer embedding integration in the MRO ranker, cross-tenant federated traversal under policy, automatic HSL-quality scoring, and adaptive compaction policies driven by query-class telemetry.</w:t>
      </w:r>
    </w:p>
    <w:p>
      <w:pPr>
        <w:pStyle w:val="Heading1"/>
        <w:pBdr>
          <w:bottom w:val="single" w:color="1F4E79" w:sz="6" w:space="4"/>
        </w:pBdr>
        <w:spacing w:after="180" w:before="360"/>
      </w:pPr>
      <w:r>
        <w:rPr>
          <w:rFonts w:ascii="Calibri" w:cs="Calibri" w:eastAsia="Calibri" w:hAnsi="Calibri"/>
          <w:b/>
          <w:bCs/>
          <w:color w:val="1F4E79"/>
          <w:sz w:val="32"/>
          <w:szCs w:val="32"/>
        </w:rPr>
        <w:t xml:space="preserve">9. About the Inventor</w:t>
      </w:r>
    </w:p>
    <w:p>
      <w:pPr>
        <w:spacing w:after="120" w:before="60"/>
      </w:pPr>
      <w:r>
        <w:rPr>
          <w:rFonts w:ascii="Calibri" w:cs="Calibri" w:eastAsia="Calibri" w:hAnsi="Calibri"/>
          <w:sz w:val="22"/>
          <w:szCs w:val="22"/>
        </w:rPr>
        <w:t xml:space="preserve">The Information Physics standard model is the work of Michael Simon Bodner, Ph.D. — physicist, NASA alumnus (joined 1969, contributed to Apollo-era orbital mechanics and lunar-lander guidance physics), serial technologist, and inventor of record on the underlying patent application held by InformationPhysics.ai, LLC.</w:t>
      </w:r>
    </w:p>
    <w:p>
      <w:pPr>
        <w:spacing w:after="120" w:before="60"/>
      </w:pPr>
      <w:r>
        <w:rPr>
          <w:rFonts w:ascii="Calibri" w:cs="Calibri" w:eastAsia="Calibri" w:hAnsi="Calibri"/>
          <w:sz w:val="22"/>
          <w:szCs w:val="22"/>
        </w:rPr>
        <w:t xml:space="preserve">Dr. Bodner’s career spans the inflection points of multiple technology revolutions; Information Physics is the synthesis of that trajectory — a disciplined, physics-grounded reframing of how AI systems should remember, relate, and reason. The Platform is the first production-grade embodiment of that synthesis.</w:t>
      </w:r>
    </w:p>
    <w:p>
      <w:pPr>
        <w:pStyle w:val="Heading1"/>
        <w:pBdr>
          <w:bottom w:val="single" w:color="1F4E79" w:sz="6" w:space="4"/>
        </w:pBdr>
        <w:spacing w:after="180" w:before="360"/>
      </w:pPr>
      <w:r>
        <w:rPr>
          <w:rFonts w:ascii="Calibri" w:cs="Calibri" w:eastAsia="Calibri" w:hAnsi="Calibri"/>
          <w:b/>
          <w:bCs/>
          <w:color w:val="1F4E79"/>
          <w:sz w:val="32"/>
          <w:szCs w:val="32"/>
        </w:rPr>
        <w:t xml:space="preserve">10. Closing</w:t>
      </w:r>
    </w:p>
    <w:p>
      <w:pPr>
        <w:spacing w:after="120" w:before="60"/>
      </w:pPr>
      <w:r>
        <w:rPr>
          <w:rFonts w:ascii="Calibri" w:cs="Calibri" w:eastAsia="Calibri" w:hAnsi="Calibri"/>
          <w:sz w:val="22"/>
          <w:szCs w:val="22"/>
        </w:rPr>
        <w:t xml:space="preserve">The Information Physics Demo System is not a slide deck and not a research prototype confined to a notebook. It is a running, multi-tenant, governed, instrumented, auditable AI memory platform that demonstrates a specific, defensible technical thesis — and that a buyer can deploy, extend, and bring to market on day one.</w:t>
      </w:r>
    </w:p>
    <w:p>
      <w:pPr>
        <w:spacing w:after="120" w:before="60"/>
      </w:pPr>
      <w:r>
        <w:rPr>
          <w:rFonts w:ascii="Calibri" w:cs="Calibri" w:eastAsia="Calibri" w:hAnsi="Calibri"/>
          <w:sz w:val="22"/>
          <w:szCs w:val="22"/>
        </w:rPr>
        <w:t xml:space="preserve">It is, simultaneously and intentionally:</w:t>
      </w:r>
    </w:p>
    <w:p>
      <w:pPr>
        <w:pStyle w:val="ListParagraph"/>
        <w:numPr>
          <w:ilvl w:val="0"/>
          <w:numId w:val="3"/>
        </w:numPr>
        <w:spacing w:after="40" w:before="40"/>
      </w:pPr>
      <w:r>
        <w:rPr>
          <w:rFonts w:ascii="Calibri" w:cs="Calibri" w:eastAsia="Calibri" w:hAnsi="Calibri"/>
          <w:b/>
          <w:bCs/>
          <w:sz w:val="22"/>
          <w:szCs w:val="22"/>
        </w:rPr>
        <w:t xml:space="preserve">the prototype platform </w:t>
      </w:r>
      <w:r>
        <w:rPr>
          <w:rFonts w:ascii="Calibri" w:cs="Calibri" w:eastAsia="Calibri" w:hAnsi="Calibri"/>
          <w:sz w:val="22"/>
          <w:szCs w:val="22"/>
        </w:rPr>
        <w:t xml:space="preserve">for a new technology category,</w:t>
      </w:r>
    </w:p>
    <w:p>
      <w:pPr>
        <w:pStyle w:val="ListParagraph"/>
        <w:numPr>
          <w:ilvl w:val="0"/>
          <w:numId w:val="3"/>
        </w:numPr>
        <w:spacing w:after="40" w:before="40"/>
      </w:pPr>
      <w:r>
        <w:rPr>
          <w:rFonts w:ascii="Calibri" w:cs="Calibri" w:eastAsia="Calibri" w:hAnsi="Calibri"/>
          <w:b/>
          <w:bCs/>
          <w:sz w:val="22"/>
          <w:szCs w:val="22"/>
        </w:rPr>
        <w:t xml:space="preserve">the R&amp;D tool </w:t>
      </w:r>
      <w:r>
        <w:rPr>
          <w:rFonts w:ascii="Calibri" w:cs="Calibri" w:eastAsia="Calibri" w:hAnsi="Calibri"/>
          <w:sz w:val="22"/>
          <w:szCs w:val="22"/>
        </w:rPr>
        <w:t xml:space="preserve">through which that technology will be advanced, and</w:t>
      </w:r>
    </w:p>
    <w:p>
      <w:pPr>
        <w:pStyle w:val="ListParagraph"/>
        <w:numPr>
          <w:ilvl w:val="0"/>
          <w:numId w:val="3"/>
        </w:numPr>
        <w:spacing w:after="40" w:before="40"/>
      </w:pPr>
      <w:r>
        <w:rPr>
          <w:rFonts w:ascii="Calibri" w:cs="Calibri" w:eastAsia="Calibri" w:hAnsi="Calibri"/>
          <w:b/>
          <w:bCs/>
          <w:sz w:val="22"/>
          <w:szCs w:val="22"/>
        </w:rPr>
        <w:t xml:space="preserve">the proof of concept </w:t>
      </w:r>
      <w:r>
        <w:rPr>
          <w:rFonts w:ascii="Calibri" w:cs="Calibri" w:eastAsia="Calibri" w:hAnsi="Calibri"/>
          <w:sz w:val="22"/>
          <w:szCs w:val="22"/>
        </w:rPr>
        <w:t xml:space="preserve">that the underlying invention is real, buildable, and economically meaningful.</w:t>
      </w:r>
    </w:p>
    <w:p>
      <w:pPr>
        <w:spacing w:after="120" w:before="60"/>
      </w:pPr>
      <w:r>
        <w:rPr>
          <w:rFonts w:ascii="Calibri" w:cs="Calibri" w:eastAsia="Calibri" w:hAnsi="Calibri"/>
          <w:sz w:val="22"/>
          <w:szCs w:val="22"/>
        </w:rPr>
        <w:t xml:space="preserve">A buyer acquires the artifact, the codebase, the laboratory, and a defensible position in a category that the rest of the AI industry has not yet named.</w:t>
      </w:r>
    </w:p>
    <w:p>
      <w:pPr>
        <w:pBdr>
          <w:top w:val="single" w:color="1F4E79" w:sz="6" w:space="8"/>
        </w:pBdr>
        <w:spacing w:after="0" w:before="600"/>
        <w:jc w:val="center"/>
      </w:pPr>
      <w:r>
        <w:rPr>
          <w:rFonts w:ascii="Calibri" w:cs="Calibri" w:eastAsia="Calibri" w:hAnsi="Calibri"/>
          <w:i/>
          <w:iCs/>
          <w:color w:val="595959"/>
          <w:sz w:val="18"/>
          <w:szCs w:val="18"/>
        </w:rPr>
        <w:t xml:space="preserve">Prepared by InformationPhysics.ai, LLC. Confidential — subject to the Transaction-Grade One-Way NDA on file.</w:t>
      </w:r>
    </w:p>
    <w:p>
      <w:pPr>
        <w:spacing w:after="0" w:before="60"/>
        <w:jc w:val="center"/>
      </w:pPr>
      <w:r>
        <w:rPr>
          <w:rFonts w:ascii="Calibri" w:cs="Calibri" w:eastAsia="Calibri" w:hAnsi="Calibri"/>
          <w:i/>
          <w:iCs/>
          <w:color w:val="595959"/>
          <w:sz w:val="18"/>
          <w:szCs w:val="18"/>
        </w:rPr>
        <w:t xml:space="preserve">© 2026 InformationPhysics.ai, LLC. All rights reserved.</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spacing w:before="0"/>
    </w:pPr>
    <w:r>
      <w:rPr>
        <w:rFonts w:ascii="Calibri" w:cs="Calibri" w:eastAsia="Calibri" w:hAnsi="Calibri"/>
        <w:i/>
        <w:iCs/>
        <w:color w:val="595959"/>
        <w:sz w:val="16"/>
        <w:szCs w:val="16"/>
      </w:rPr>
      <w:t xml:space="preserve">Subject to NDA — Do Not Distribute</w:t>
    </w:r>
    <w:r>
      <w:rPr>
        <w:rFonts w:ascii="Calibri" w:cs="Calibri" w:eastAsia="Calibri" w:hAnsi="Calibri"/>
        <w:color w:val="595959"/>
        <w:sz w:val="16"/>
        <w:szCs w:val="16"/>
      </w:rPr>
      <w:t xml:space="preserve">	Information Physics Demo System — Buyer Brief	</w:t>
    </w: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0000" w:sz="6" w:space="4"/>
      </w:pBdr>
      <w:spacing w:after="0"/>
      <w:jc w:val="center"/>
    </w:pPr>
    <w:r>
      <w:rPr>
        <w:rFonts w:ascii="Calibri" w:cs="Calibri" w:eastAsia="Calibri" w:hAnsi="Calibri"/>
        <w:b/>
        <w:bCs/>
        <w:color w:val="C00000"/>
        <w:sz w:val="16"/>
        <w:szCs w:val="16"/>
      </w:rPr>
      <w:t xml:space="preserve">CONFIDENTIAL — TRADE SECRET   |   InformationPhysics.ai,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2E559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Physics Demo System — Buyer Brief</dc:title>
  <dc:creator>InformationPhysics.ai, LLC</dc:creator>
  <dc:description>Confidential trade-secret buyer brief for the Information Physics Demo System V4.2.0</dc:description>
  <cp:lastModifiedBy>Un-named</cp:lastModifiedBy>
  <cp:revision>1</cp:revision>
  <dcterms:created xsi:type="dcterms:W3CDTF">2026-04-25T17:45:11.326Z</dcterms:created>
  <dcterms:modified xsi:type="dcterms:W3CDTF">2026-04-25T17:45:11.327Z</dcterms:modified>
</cp:coreProperties>
</file>

<file path=docProps/custom.xml><?xml version="1.0" encoding="utf-8"?>
<Properties xmlns="http://schemas.openxmlformats.org/officeDocument/2006/custom-properties" xmlns:vt="http://schemas.openxmlformats.org/officeDocument/2006/docPropsVTypes"/>
</file>