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color w:val="C00000"/>
          <w:sz w:val="22"/>
          <w:szCs w:val="22"/>
        </w:rPr>
        <w:t xml:space="preserve">CONFIDENTIAL</w:t>
      </w:r>
    </w:p>
    <w:p>
      <w:pPr>
        <w:spacing w:after="200" w:before="1000"/>
        <w:jc w:val="center"/>
      </w:pPr>
      <w:r>
        <w:rPr>
          <w:rFonts w:ascii="Calibri" w:cs="Calibri" w:eastAsia="Calibri" w:hAnsi="Calibri"/>
          <w:b/>
          <w:bCs/>
          <w:color w:val="1F3864"/>
          <w:sz w:val="36"/>
          <w:szCs w:val="36"/>
        </w:rPr>
        <w:t xml:space="preserve">Technical Report</w:t>
      </w:r>
    </w:p>
    <w:p>
      <w:pPr>
        <w:spacing w:after="200"/>
        <w:jc w:val="center"/>
      </w:pPr>
      <w:r>
        <w:rPr>
          <w:rFonts w:ascii="Calibri" w:cs="Calibri" w:eastAsia="Calibri" w:hAnsi="Calibri"/>
          <w:b/>
          <w:bCs/>
          <w:color w:val="1F3864"/>
          <w:sz w:val="44"/>
          <w:szCs w:val="44"/>
        </w:rPr>
        <w:t xml:space="preserve">Four-Mode ChatAIO Comparison</w:t>
      </w:r>
    </w:p>
    <w:p>
      <w:pPr>
        <w:spacing w:after="200"/>
        <w:jc w:val="center"/>
      </w:pPr>
      <w:r>
        <w:rPr>
          <w:rFonts w:ascii="Calibri" w:cs="Calibri" w:eastAsia="Calibri" w:hAnsi="Calibri"/>
          <w:b/>
          <w:bCs/>
          <w:color w:val="2E5496"/>
          <w:sz w:val="32"/>
          <w:szCs w:val="32"/>
        </w:rPr>
        <w:t xml:space="preserve">Recall · Live · Broad · Raw</w:t>
      </w:r>
    </w:p>
    <w:p>
      <w:pPr>
        <w:spacing w:after="400"/>
        <w:jc w:val="center"/>
      </w:pPr>
      <w:r>
        <w:rPr>
          <w:rFonts w:ascii="Calibri" w:cs="Calibri" w:eastAsia="Calibri" w:hAnsi="Calibri"/>
          <w:i/>
          <w:iCs/>
          <w:sz w:val="24"/>
          <w:szCs w:val="24"/>
        </w:rPr>
        <w:t xml:space="preserve">A Pipeline-Level Efficiency Comparison Across All Retrieval Modes — With Measured Tokens</w:t>
      </w:r>
    </w:p>
    <w:p>
      <w:pPr>
        <w:spacing w:after="100"/>
        <w:jc w:val="center"/>
      </w:pPr>
      <w:r>
        <w:rPr>
          <w:rFonts w:ascii="Calibri" w:cs="Calibri" w:eastAsia="Calibri" w:hAnsi="Calibri"/>
          <w:b/>
          <w:bCs/>
          <w:sz w:val="24"/>
          <w:szCs w:val="24"/>
        </w:rPr>
        <w:t xml:space="preserve">InformationPhysics.ai, LLC</w:t>
      </w:r>
    </w:p>
    <w:p>
      <w:pPr>
        <w:spacing w:after="100"/>
        <w:jc w:val="center"/>
      </w:pPr>
      <w:r>
        <w:rPr>
          <w:rFonts w:ascii="Calibri" w:cs="Calibri" w:eastAsia="Calibri" w:hAnsi="Calibri"/>
          <w:sz w:val="22"/>
          <w:szCs w:val="22"/>
        </w:rPr>
        <w:t xml:space="preserve">Author: Michael Simon Bodner, Ph.D.</w:t>
      </w:r>
    </w:p>
    <w:p>
      <w:pPr>
        <w:spacing w:after="100"/>
        <w:jc w:val="center"/>
      </w:pPr>
      <w:r>
        <w:rPr>
          <w:rFonts w:ascii="Calibri" w:cs="Calibri" w:eastAsia="Calibri" w:hAnsi="Calibri"/>
          <w:sz w:val="22"/>
          <w:szCs w:val="22"/>
        </w:rPr>
        <w:t xml:space="preserve">Version 2 — April 2026</w:t>
      </w:r>
    </w:p>
    <w:p>
      <w:pPr>
        <w:spacing w:after="80" w:before="200"/>
        <w:jc w:val="center"/>
      </w:pPr>
      <w:r>
        <w:rPr>
          <w:rFonts w:ascii="Calibri" w:cs="Calibri" w:eastAsia="Calibri" w:hAnsi="Calibri"/>
          <w:sz w:val="18"/>
          <w:szCs w:val="18"/>
        </w:rPr>
        <w:t xml:space="preserve">© 2026 InformationPhysics.ai, LLC. All rights reserved.</w:t>
      </w:r>
    </w:p>
    <w:p>
      <w:pPr>
        <w:spacing w:after="400"/>
        <w:jc w:val="center"/>
      </w:pPr>
      <w:r>
        <w:rPr>
          <w:rFonts w:ascii="Calibri" w:cs="Calibri" w:eastAsia="Calibri" w:hAnsi="Calibri"/>
          <w:i/>
          <w:iCs/>
          <w:sz w:val="18"/>
          <w:szCs w:val="18"/>
        </w:rPr>
        <w:t xml:space="preserve">This document contains proprietary and confidential information.</w:t>
      </w:r>
    </w:p>
    <w:p>
      <w:pPr>
        <w:pageBreakBefore/>
      </w:pPr>
    </w:p>
    <w:p>
      <w:pPr>
        <w:pStyle w:val="Heading1"/>
        <w:spacing w:after="140" w:before="280"/>
      </w:pPr>
      <w:r>
        <w:rPr>
          <w:rFonts w:ascii="Calibri" w:cs="Calibri" w:eastAsia="Calibri" w:hAnsi="Calibri"/>
          <w:b/>
          <w:bCs/>
          <w:color w:val="1F3864"/>
          <w:sz w:val="32"/>
          <w:szCs w:val="32"/>
        </w:rPr>
        <w:t xml:space="preserve">1. Executive Summary</w:t>
      </w:r>
    </w:p>
    <w:p>
      <w:pPr>
        <w:spacing w:after="120" w:line="300"/>
        <w:jc w:val="left"/>
      </w:pPr>
      <w:r>
        <w:rPr>
          <w:rFonts w:ascii="Calibri" w:cs="Calibri" w:eastAsia="Calibri" w:hAnsi="Calibri"/>
          <w:sz w:val="22"/>
          <w:szCs w:val="22"/>
        </w:rPr>
        <w:t xml:space="preserve">This report extends the V1 measurement study to all four retrieval modes exposed by the Information Physics Demo System ChatAIO. The same query is dispatched to each mode against the V4.4 production deployment on Railway, with caches bypassed where possible, and the resulting tokens, latency, and context size are reported.</w:t>
      </w:r>
    </w:p>
    <w:p>
      <w:pPr>
        <w:spacing w:after="200" w:before="100"/>
        <w:jc w:val="center"/>
      </w:pPr>
      <w:r>
        <w:rPr>
          <w:rFonts w:ascii="Calibri" w:cs="Calibri" w:eastAsia="Calibri" w:hAnsi="Calibri"/>
          <w:i/>
          <w:iCs/>
          <w:sz w:val="24"/>
          <w:szCs w:val="24"/>
        </w:rPr>
        <w:t xml:space="preserve">“What roles does Sarah Mitchell hold. List projects and financials for each.”</w:t>
      </w:r>
    </w:p>
    <w:p>
      <w:pPr>
        <w:spacing w:after="120" w:line="300"/>
        <w:jc w:val="left"/>
      </w:pPr>
      <w:r>
        <w:rPr>
          <w:rFonts w:ascii="Calibri" w:cs="Calibri" w:eastAsia="Calibri" w:hAnsi="Calibri"/>
          <w:sz w:val="22"/>
          <w:szCs w:val="22"/>
        </w:rPr>
        <w:t xml:space="preserve">The four modes span a deliberate efficiency-vs-coverage spectrum:</w:t>
      </w:r>
    </w:p>
    <w:p>
      <w:pPr>
        <w:pStyle w:val="ListParagraph"/>
        <w:numPr>
          <w:ilvl w:val="0"/>
          <w:numId w:val="2"/>
        </w:numPr>
        <w:spacing w:after="80" w:line="280"/>
      </w:pPr>
      <w:r>
        <w:rPr>
          <w:rFonts w:ascii="Calibri" w:cs="Calibri" w:eastAsia="Calibri" w:hAnsi="Calibri"/>
          <w:sz w:val="22"/>
          <w:szCs w:val="22"/>
        </w:rPr>
        <w:t xml:space="preserve">RECALL SEARCH — cue extraction + inverted-index scoping + structured substrate envelope. Smallest LLM payload.</w:t>
      </w:r>
    </w:p>
    <w:p>
      <w:pPr>
        <w:pStyle w:val="ListParagraph"/>
        <w:numPr>
          <w:ilvl w:val="0"/>
          <w:numId w:val="2"/>
        </w:numPr>
        <w:spacing w:after="80" w:line="280"/>
      </w:pPr>
      <w:r>
        <w:rPr>
          <w:rFonts w:ascii="Calibri" w:cs="Calibri" w:eastAsia="Calibri" w:hAnsi="Calibri"/>
          <w:sz w:val="22"/>
          <w:szCs w:val="22"/>
        </w:rPr>
        <w:t xml:space="preserve">LIVE SEARCH — four-phase search algebra (parse → match HSLs → gather AIOs → synthesize). Two LLM calls.</w:t>
      </w:r>
    </w:p>
    <w:p>
      <w:pPr>
        <w:pStyle w:val="ListParagraph"/>
        <w:numPr>
          <w:ilvl w:val="0"/>
          <w:numId w:val="2"/>
        </w:numPr>
        <w:spacing w:after="80" w:line="280"/>
      </w:pPr>
      <w:r>
        <w:rPr>
          <w:rFonts w:ascii="Calibri" w:cs="Calibri" w:eastAsia="Calibri" w:hAnsi="Calibri"/>
          <w:sz w:val="22"/>
          <w:szCs w:val="22"/>
        </w:rPr>
        <w:t xml:space="preserve">BROAD SEARCH — dump every AIO/HSL/CSV record into the LLM context (capped at 1,000 in V4.4). One huge LLM call.</w:t>
      </w:r>
    </w:p>
    <w:p>
      <w:pPr>
        <w:pStyle w:val="ListParagraph"/>
        <w:numPr>
          <w:ilvl w:val="0"/>
          <w:numId w:val="2"/>
        </w:numPr>
        <w:spacing w:after="80" w:line="280"/>
      </w:pPr>
      <w:r>
        <w:rPr>
          <w:rFonts w:ascii="Calibri" w:cs="Calibri" w:eastAsia="Calibri" w:hAnsi="Calibri"/>
          <w:sz w:val="22"/>
          <w:szCs w:val="22"/>
        </w:rPr>
        <w:t xml:space="preserve">RAW SEARCH — send raw CSV files to the LLM with no AIO/HSL processing. Reference baseline for “RAG without Information Physics”.</w:t>
      </w:r>
    </w:p>
    <w:p>
      <w:pPr>
        <w:pBdr>
          <w:left w:val="single" w:color="BF8F00" w:sz="24" w:space="8"/>
        </w:pBdr>
        <w:shd w:fill="FFF2CC" w:val="clear"/>
        <w:spacing w:after="200" w:before="120"/>
      </w:pPr>
      <w:r>
        <w:rPr>
          <w:rFonts w:ascii="Calibri" w:cs="Calibri" w:eastAsia="Calibri" w:hAnsi="Calibri"/>
          <w:i/>
          <w:iCs/>
          <w:sz w:val="22"/>
          <w:szCs w:val="22"/>
        </w:rPr>
        <w:t xml:space="preserve">All numbers below are MEASURED on April 27, 2026 against https://infophysics-api-production-bc95.up.railway.app, tenant tenantA, demo construction corpus (589 AIOs / 1,208 HSL key-value pairs / 9 source CSVs). Reproducible via scripts/measure_modes.ts.</w:t>
      </w:r>
    </w:p>
    <w:p>
      <w:pPr>
        <w:pStyle w:val="Heading1"/>
        <w:spacing w:after="140" w:before="280"/>
      </w:pPr>
      <w:r>
        <w:rPr>
          <w:rFonts w:ascii="Calibri" w:cs="Calibri" w:eastAsia="Calibri" w:hAnsi="Calibri"/>
          <w:b/>
          <w:bCs/>
          <w:color w:val="1F3864"/>
          <w:sz w:val="32"/>
          <w:szCs w:val="32"/>
        </w:rPr>
        <w:t xml:space="preserve">2. Headline Result</w:t>
      </w:r>
    </w:p>
    <w:p>
      <w:pPr>
        <w:spacing w:after="120" w:line="300"/>
        <w:jc w:val="left"/>
      </w:pPr>
      <w:r>
        <w:rPr>
          <w:rFonts w:ascii="Calibri" w:cs="Calibri" w:eastAsia="Calibri" w:hAnsi="Calibri"/>
          <w:sz w:val="22"/>
          <w:szCs w:val="22"/>
        </w:rPr>
        <w:t xml:space="preserve">Across the four modes, billable token consumption spans more than two orders of magnitude: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Mode</w:t>
            </w:r>
          </w:p>
        </w:tc>
        <w:tc>
          <w:tcPr>
            <w:tcW w:type="dxa" w:w="174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Latency</w:t>
            </w:r>
          </w:p>
        </w:tc>
        <w:tc>
          <w:tcPr>
            <w:tcW w:type="dxa" w:w="174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Input tok</w:t>
            </w:r>
          </w:p>
        </w:tc>
        <w:tc>
          <w:tcPr>
            <w:tcW w:type="dxa" w:w="174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Output tok</w:t>
            </w:r>
          </w:p>
        </w:tc>
        <w:tc>
          <w:tcPr>
            <w:tcW w:type="dxa" w:w="174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Total tok</w:t>
            </w:r>
          </w:p>
        </w:tc>
      </w:tr>
      <w:tr>
        <w:trPr>
          <w:tblHeader w:val="false"/>
        </w:trP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Recall</w:t>
            </w:r>
          </w:p>
        </w:tc>
        <w:tc>
          <w:tcPr>
            <w:tcW w:type="dxa" w:w="17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25,205 ms</w:t>
            </w:r>
          </w:p>
        </w:tc>
        <w:tc>
          <w:tcPr>
            <w:tcW w:type="dxa" w:w="17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29</w:t>
            </w:r>
          </w:p>
        </w:tc>
        <w:tc>
          <w:tcPr>
            <w:tcW w:type="dxa" w:w="17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1,795</w:t>
            </w:r>
          </w:p>
        </w:tc>
        <w:tc>
          <w:tcPr>
            <w:tcW w:type="dxa" w:w="17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1,824</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Live</w:t>
            </w:r>
          </w:p>
        </w:tc>
        <w:tc>
          <w:tcPr>
            <w:tcW w:type="dxa" w:w="17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33,093 ms</w:t>
            </w:r>
          </w:p>
        </w:tc>
        <w:tc>
          <w:tcPr>
            <w:tcW w:type="dxa" w:w="17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370</w:t>
            </w:r>
          </w:p>
        </w:tc>
        <w:tc>
          <w:tcPr>
            <w:tcW w:type="dxa" w:w="17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2,077</w:t>
            </w:r>
          </w:p>
        </w:tc>
        <w:tc>
          <w:tcPr>
            <w:tcW w:type="dxa" w:w="17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2,447</w:t>
            </w:r>
          </w:p>
        </w:tc>
      </w:tr>
      <w:tr>
        <w:trPr>
          <w:tblHeader w:val="false"/>
        </w:trP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Raw</w:t>
            </w:r>
          </w:p>
        </w:tc>
        <w:tc>
          <w:tcPr>
            <w:tcW w:type="dxa" w:w="17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23,956 ms</w:t>
            </w:r>
          </w:p>
        </w:tc>
        <w:tc>
          <w:tcPr>
            <w:tcW w:type="dxa" w:w="17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26,425</w:t>
            </w:r>
          </w:p>
        </w:tc>
        <w:tc>
          <w:tcPr>
            <w:tcW w:type="dxa" w:w="17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1,372</w:t>
            </w:r>
          </w:p>
        </w:tc>
        <w:tc>
          <w:tcPr>
            <w:tcW w:type="dxa" w:w="17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27,797</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Broad</w:t>
            </w:r>
          </w:p>
        </w:tc>
        <w:tc>
          <w:tcPr>
            <w:tcW w:type="dxa" w:w="17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37,533 ms</w:t>
            </w:r>
          </w:p>
        </w:tc>
        <w:tc>
          <w:tcPr>
            <w:tcW w:type="dxa" w:w="17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68,368</w:t>
            </w:r>
          </w:p>
        </w:tc>
        <w:tc>
          <w:tcPr>
            <w:tcW w:type="dxa" w:w="17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2,048</w:t>
            </w:r>
          </w:p>
        </w:tc>
        <w:tc>
          <w:tcPr>
            <w:tcW w:type="dxa" w:w="17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70,416</w:t>
            </w:r>
          </w:p>
        </w:tc>
      </w:tr>
    </w:tbl>
    <w:p>
      <w:pPr>
        <w:spacing w:after="120" w:line="300"/>
        <w:jc w:val="left"/>
      </w:pPr>
      <w:r>
        <w:rPr>
          <w:rFonts w:ascii="Calibri" w:cs="Calibri" w:eastAsia="Calibri" w:hAnsi="Calibri"/>
          <w:sz w:val="22"/>
          <w:szCs w:val="22"/>
        </w:rPr>
        <w:t xml:space="preserve">Recall consumes 1,824 total tokens — about 1/15th of Raw and 1/38th of Broad — to produce a structurally equivalent answer.</w:t>
      </w:r>
    </w:p>
    <w:p>
      <w:pPr>
        <w:pStyle w:val="Heading1"/>
        <w:spacing w:after="140" w:before="280"/>
      </w:pPr>
      <w:r>
        <w:rPr>
          <w:rFonts w:ascii="Calibri" w:cs="Calibri" w:eastAsia="Calibri" w:hAnsi="Calibri"/>
          <w:b/>
          <w:bCs/>
          <w:color w:val="1F3864"/>
          <w:sz w:val="32"/>
          <w:szCs w:val="32"/>
        </w:rPr>
        <w:t xml:space="preserve">3. The Four Modes — Pipeline Traces</w:t>
      </w:r>
    </w:p>
    <w:p>
      <w:pPr>
        <w:pStyle w:val="Heading2"/>
        <w:spacing w:after="140" w:before="280"/>
      </w:pPr>
      <w:r>
        <w:rPr>
          <w:rFonts w:ascii="Calibri" w:cs="Calibri" w:eastAsia="Calibri" w:hAnsi="Calibri"/>
          <w:b/>
          <w:bCs/>
          <w:color w:val="2E5496"/>
          <w:sz w:val="26"/>
          <w:szCs w:val="26"/>
        </w:rPr>
        <w:t xml:space="preserve">3.1 Recall Search (substrate-chat via runChatPipeline)</w:t>
      </w:r>
    </w:p>
    <w:p>
      <w:pPr>
        <w:spacing w:after="120" w:line="300"/>
        <w:jc w:val="left"/>
      </w:pPr>
      <w:r>
        <w:rPr>
          <w:rFonts w:ascii="Calibri" w:cs="Calibri" w:eastAsia="Calibri" w:hAnsi="Calibri"/>
          <w:sz w:val="22"/>
          <w:szCs w:val="22"/>
        </w:rPr>
        <w:t xml:space="preserve">Pre-fetched the AIO set + HSL key/value catalog at dialog open (~531 ms one-time, ~40 KB payload). At query time: extract cues locally, resolve scoped HSLs via the migration 017 inverted index, build a JSON substrate envelope (40 AIOs + HSL refs + top-3 MRO priors), single LLM synthesis call. MRO short-circuit was disabled for the measurement so a real LLM round-trip was 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Metric</w:t>
            </w:r>
          </w:p>
        </w:tc>
        <w:tc>
          <w:tcPr>
            <w:tcW w:type="dxa" w:w="624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Measured Value</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LLM model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claude-sonnet-4-6</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LLM calls</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Wall-clock latency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25,205 ms (+ 531 ms one-time prefetch)</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Fresh input tokens</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29</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Output tokens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1,795</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Cue values extracted</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156</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AIO neighborhood (bundle)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355</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MRO priors used</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w:t>
            </w:r>
          </w:p>
        </w:tc>
      </w:tr>
    </w:tbl>
    <w:p>
      <w:pPr>
        <w:pStyle w:val="Heading2"/>
        <w:spacing w:after="140" w:before="280"/>
      </w:pPr>
      <w:r>
        <w:rPr>
          <w:rFonts w:ascii="Calibri" w:cs="Calibri" w:eastAsia="Calibri" w:hAnsi="Calibri"/>
          <w:b/>
          <w:bCs/>
          <w:color w:val="2E5496"/>
          <w:sz w:val="26"/>
          <w:szCs w:val="26"/>
        </w:rPr>
        <w:t xml:space="preserve">3.2 Live Search (/v1/op/aio-search)</w:t>
      </w:r>
    </w:p>
    <w:p>
      <w:pPr>
        <w:spacing w:after="120" w:line="300"/>
        <w:jc w:val="left"/>
      </w:pPr>
      <w:r>
        <w:rPr>
          <w:rFonts w:ascii="Calibri" w:cs="Calibri" w:eastAsia="Calibri" w:hAnsi="Calibri"/>
          <w:sz w:val="22"/>
          <w:szCs w:val="22"/>
        </w:rPr>
        <w:t xml:space="preserve">Four-phase search algebra: LLM parse → SQL HSL match (4–5 passes) → SQL AIO gather (3–4 passes, optional embedding rerank) → LLM synthesis. Adaptive AIO context cap. bypass_cache=true was set so the query_hash micro-cache did not serve a prior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Metric</w:t>
            </w:r>
          </w:p>
        </w:tc>
        <w:tc>
          <w:tcPr>
            <w:tcW w:type="dxa" w:w="624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Measured Value</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LLM model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claude-sonnet-4-6</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LLM calls</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 (parse + synthesize)</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Wall-clock latency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33,093 ms</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Fresh input tokens</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370</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Output tokens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2,077</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Matched HSLs (scope)</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38</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Matched AIOs (scope)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382</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AIOs sent to LLM (context_records)</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382</w:t>
            </w:r>
          </w:p>
        </w:tc>
      </w:tr>
    </w:tbl>
    <w:p>
      <w:pPr>
        <w:pStyle w:val="Heading2"/>
        <w:spacing w:after="140" w:before="280"/>
      </w:pPr>
      <w:r>
        <w:rPr>
          <w:rFonts w:ascii="Calibri" w:cs="Calibri" w:eastAsia="Calibri" w:hAnsi="Calibri"/>
          <w:b/>
          <w:bCs/>
          <w:color w:val="2E5496"/>
          <w:sz w:val="26"/>
          <w:szCs w:val="26"/>
        </w:rPr>
        <w:t xml:space="preserve">3.3 Broad Search (/v1/op/chat)</w:t>
      </w:r>
    </w:p>
    <w:p>
      <w:pPr>
        <w:spacing w:after="120" w:line="300"/>
        <w:jc w:val="left"/>
      </w:pPr>
      <w:r>
        <w:rPr>
          <w:rFonts w:ascii="Calibri" w:cs="Calibri" w:eastAsia="Calibri" w:hAnsi="Calibri"/>
          <w:sz w:val="22"/>
          <w:szCs w:val="22"/>
        </w:rPr>
        <w:t xml:space="preserve">Dumps every AIO, HSL, and CSV record (capped at 1,000 in V4.4) into the system prompt and asks the LLM to synthesize. No retrieval logic; the model itself does the entire selection from a maximal context. The endpoint appended a system note when truncation triggered.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Metric</w:t>
            </w:r>
          </w:p>
        </w:tc>
        <w:tc>
          <w:tcPr>
            <w:tcW w:type="dxa" w:w="624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Measured Value</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LLM model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claude-sonnet-4-6</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LLM calls</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Wall-clock latency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37,533 ms</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Fresh input tokens</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68,368</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Output tokens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2,048</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Records sent to LLM (context_records)</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664</w:t>
            </w:r>
          </w:p>
        </w:tc>
      </w:tr>
    </w:tbl>
    <w:p>
      <w:pPr>
        <w:pStyle w:val="Heading2"/>
        <w:spacing w:after="140" w:before="280"/>
      </w:pPr>
      <w:r>
        <w:rPr>
          <w:rFonts w:ascii="Calibri" w:cs="Calibri" w:eastAsia="Calibri" w:hAnsi="Calibri"/>
          <w:b/>
          <w:bCs/>
          <w:color w:val="2E5496"/>
          <w:sz w:val="26"/>
          <w:szCs w:val="26"/>
        </w:rPr>
        <w:t xml:space="preserve">3.4 Raw Search (/v1/op/pure-llm)</w:t>
      </w:r>
    </w:p>
    <w:p>
      <w:pPr>
        <w:spacing w:after="120" w:line="300"/>
        <w:jc w:val="left"/>
      </w:pPr>
      <w:r>
        <w:rPr>
          <w:rFonts w:ascii="Calibri" w:cs="Calibri" w:eastAsia="Calibri" w:hAnsi="Calibri"/>
          <w:sz w:val="22"/>
          <w:szCs w:val="22"/>
        </w:rPr>
        <w:t xml:space="preserve">Reference baseline. Sends the original source CSV files (raw text) to the LLM with no AIO bracketing, no HSL gating, no MRO substrate. This is what “ChatGPT plus your CSVs” would deliver and is included to anchor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Metric</w:t>
            </w:r>
          </w:p>
        </w:tc>
        <w:tc>
          <w:tcPr>
            <w:tcW w:type="dxa" w:w="624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Measured Value</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LLM model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claude-sonnet-4-6</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LLM calls</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Wall-clock latency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23,956 ms</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Fresh input tokens</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26,425</w:t>
            </w:r>
          </w:p>
        </w:tc>
      </w:tr>
      <w:tr>
        <w:trPr>
          <w:tblHeader w:val="false"/>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Output tokens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1,372</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CSVs sent to LLM (context_records)</w:t>
            </w:r>
          </w:p>
        </w:tc>
        <w:tc>
          <w:tcPr>
            <w:tcW w:type="dxa" w:w="624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9 (full files)</w:t>
            </w:r>
          </w:p>
        </w:tc>
      </w:tr>
    </w:tbl>
    <w:p>
      <w:pPr>
        <w:pStyle w:val="Heading1"/>
        <w:spacing w:after="140" w:before="280"/>
      </w:pPr>
      <w:r>
        <w:rPr>
          <w:rFonts w:ascii="Calibri" w:cs="Calibri" w:eastAsia="Calibri" w:hAnsi="Calibri"/>
          <w:b/>
          <w:bCs/>
          <w:color w:val="1F3864"/>
          <w:sz w:val="32"/>
          <w:szCs w:val="32"/>
        </w:rPr>
        <w:t xml:space="preserve">4. Master Side-by-Side — Measured</w:t>
      </w:r>
    </w:p>
    <w:p>
      <w:pPr>
        <w:pStyle w:val="Heading2"/>
        <w:spacing w:after="140" w:before="280"/>
      </w:pPr>
      <w:r>
        <w:rPr>
          <w:rFonts w:ascii="Calibri" w:cs="Calibri" w:eastAsia="Calibri" w:hAnsi="Calibri"/>
          <w:b/>
          <w:bCs/>
          <w:color w:val="2E5496"/>
          <w:sz w:val="26"/>
          <w:szCs w:val="26"/>
        </w:rPr>
        <w:t xml:space="preserve">4.1 Resource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820"/>
        <w:gridCol w:w="1820"/>
        <w:gridCol w:w="1820"/>
        <w:gridCol w:w="1820"/>
      </w:tblGrid>
      <w:tr>
        <w:trPr>
          <w:tblHeader/>
        </w:trPr>
        <w:tc>
          <w:tcPr>
            <w:tcW w:type="dxa" w:w="208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Metric</w:t>
            </w:r>
          </w:p>
        </w:tc>
        <w:tc>
          <w:tcPr>
            <w:tcW w:type="dxa" w:w="18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Recall</w:t>
            </w:r>
          </w:p>
        </w:tc>
        <w:tc>
          <w:tcPr>
            <w:tcW w:type="dxa" w:w="18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Live</w:t>
            </w:r>
          </w:p>
        </w:tc>
        <w:tc>
          <w:tcPr>
            <w:tcW w:type="dxa" w:w="18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Broad</w:t>
            </w:r>
          </w:p>
        </w:tc>
        <w:tc>
          <w:tcPr>
            <w:tcW w:type="dxa" w:w="18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Raw</w:t>
            </w:r>
          </w:p>
        </w:tc>
      </w:tr>
      <w:tr>
        <w:trPr>
          <w:tblHeader w:val="false"/>
        </w:trPr>
        <w:tc>
          <w:tcPr>
            <w:tcW w:type="dxa" w:w="20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LLM calls</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w:t>
            </w:r>
          </w:p>
        </w:tc>
      </w:tr>
      <w:tr>
        <w:trPr>
          <w:tblHeader w:val="false"/>
        </w:trPr>
        <w:tc>
          <w:tcPr>
            <w:tcW w:type="dxa" w:w="20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Wall-clock latency</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25,205 ms</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33,093 ms</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37,533 ms</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23,956 ms</w:t>
            </w:r>
          </w:p>
        </w:tc>
      </w:tr>
      <w:tr>
        <w:trPr>
          <w:tblHeader w:val="false"/>
        </w:trPr>
        <w:tc>
          <w:tcPr>
            <w:tcW w:type="dxa" w:w="20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Fresh input tokens</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29</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370</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68,368</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26,425</w:t>
            </w:r>
          </w:p>
        </w:tc>
      </w:tr>
      <w:tr>
        <w:trPr>
          <w:tblHeader w:val="false"/>
        </w:trPr>
        <w:tc>
          <w:tcPr>
            <w:tcW w:type="dxa" w:w="20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Output tokens</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1,795</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2,077</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2,048</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1,372</w:t>
            </w:r>
          </w:p>
        </w:tc>
      </w:tr>
      <w:tr>
        <w:trPr>
          <w:tblHeader w:val="false"/>
        </w:trPr>
        <w:tc>
          <w:tcPr>
            <w:tcW w:type="dxa" w:w="20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Total billable tokens</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1,824</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2,447</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70,416</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27,797</w:t>
            </w:r>
          </w:p>
        </w:tc>
      </w:tr>
      <w:tr>
        <w:trPr>
          <w:tblHeader w:val="false"/>
        </w:trPr>
        <w:tc>
          <w:tcPr>
            <w:tcW w:type="dxa" w:w="20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Tokens vs Recall</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1.0×</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1.3×</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38.6×</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15.2×</w:t>
            </w:r>
          </w:p>
        </w:tc>
      </w:tr>
      <w:tr>
        <w:trPr>
          <w:tblHeader w:val="false"/>
        </w:trPr>
        <w:tc>
          <w:tcPr>
            <w:tcW w:type="dxa" w:w="20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Server-side scope</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355 AIOs</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38 HSLs / 382 AIOs</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664 records</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9 CSVs</w:t>
            </w:r>
          </w:p>
        </w:tc>
      </w:tr>
      <w:tr>
        <w:trPr>
          <w:tblHeader w:val="false"/>
        </w:trPr>
        <w:tc>
          <w:tcPr>
            <w:tcW w:type="dxa" w:w="20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LLM model</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claude-sonnet-4-6</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claude-sonnet-4-6</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claude-sonnet-4-6</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claude-sonnet-4-6</w:t>
            </w:r>
          </w:p>
        </w:tc>
      </w:tr>
    </w:tbl>
    <w:p>
      <w:pPr>
        <w:pStyle w:val="Heading2"/>
        <w:spacing w:after="140" w:before="280"/>
      </w:pPr>
      <w:r>
        <w:rPr>
          <w:rFonts w:ascii="Calibri" w:cs="Calibri" w:eastAsia="Calibri" w:hAnsi="Calibri"/>
          <w:b/>
          <w:bCs/>
          <w:color w:val="2E5496"/>
          <w:sz w:val="26"/>
          <w:szCs w:val="26"/>
        </w:rPr>
        <w:t xml:space="preserve">4.2 Answer Quality (All Four Returned a Correct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90"/>
        <w:gridCol w:w="1890"/>
        <w:gridCol w:w="1890"/>
        <w:gridCol w:w="189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Aspect</w:t>
            </w:r>
          </w:p>
        </w:tc>
        <w:tc>
          <w:tcPr>
            <w:tcW w:type="dxa" w:w="189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Recall</w:t>
            </w:r>
          </w:p>
        </w:tc>
        <w:tc>
          <w:tcPr>
            <w:tcW w:type="dxa" w:w="189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Live</w:t>
            </w:r>
          </w:p>
        </w:tc>
        <w:tc>
          <w:tcPr>
            <w:tcW w:type="dxa" w:w="189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Broad</w:t>
            </w:r>
          </w:p>
        </w:tc>
        <w:tc>
          <w:tcPr>
            <w:tcW w:type="dxa" w:w="189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Raw</w:t>
            </w:r>
          </w:p>
        </w:tc>
      </w:tr>
      <w:tr>
        <w:trPr>
          <w:tblHeader w:val="false"/>
        </w:trP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Identified roles</w:t>
            </w:r>
          </w:p>
        </w:tc>
        <w:tc>
          <w:tcPr>
            <w:tcW w:type="dxa" w:w="189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4 roles</w:t>
            </w:r>
          </w:p>
        </w:tc>
        <w:tc>
          <w:tcPr>
            <w:tcW w:type="dxa" w:w="189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4+ roles</w:t>
            </w:r>
          </w:p>
        </w:tc>
        <w:tc>
          <w:tcPr>
            <w:tcW w:type="dxa" w:w="189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Senior PM identity</w:t>
            </w:r>
          </w:p>
        </w:tc>
        <w:tc>
          <w:tcPr>
            <w:tcW w:type="dxa" w:w="189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Senior PM identity</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Project tables per role</w:t>
            </w:r>
          </w:p>
        </w:tc>
        <w:tc>
          <w:tcPr>
            <w:tcW w:type="dxa" w:w="189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Yes</w:t>
            </w:r>
          </w:p>
        </w:tc>
        <w:tc>
          <w:tcPr>
            <w:tcW w:type="dxa" w:w="189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Yes</w:t>
            </w:r>
          </w:p>
        </w:tc>
        <w:tc>
          <w:tcPr>
            <w:tcW w:type="dxa" w:w="189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Yes (different framing)</w:t>
            </w:r>
          </w:p>
        </w:tc>
        <w:tc>
          <w:tcPr>
            <w:tcW w:type="dxa" w:w="189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Yes (different framing)</w:t>
            </w:r>
          </w:p>
        </w:tc>
      </w:tr>
      <w:tr>
        <w:trPr>
          <w:tblHeader w:val="false"/>
        </w:trP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Financial subtotals</w:t>
            </w:r>
          </w:p>
        </w:tc>
        <w:tc>
          <w:tcPr>
            <w:tcW w:type="dxa" w:w="189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Per role</w:t>
            </w:r>
          </w:p>
        </w:tc>
        <w:tc>
          <w:tcPr>
            <w:tcW w:type="dxa" w:w="189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Per role</w:t>
            </w:r>
          </w:p>
        </w:tc>
        <w:tc>
          <w:tcPr>
            <w:tcW w:type="dxa" w:w="189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Profile + projects</w:t>
            </w:r>
          </w:p>
        </w:tc>
        <w:tc>
          <w:tcPr>
            <w:tcW w:type="dxa" w:w="189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Profile + projects</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Output style</w:t>
            </w:r>
          </w:p>
        </w:tc>
        <w:tc>
          <w:tcPr>
            <w:tcW w:type="dxa" w:w="189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Compact tables</w:t>
            </w:r>
          </w:p>
        </w:tc>
        <w:tc>
          <w:tcPr>
            <w:tcW w:type="dxa" w:w="189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Filter preamble + tables</w:t>
            </w:r>
          </w:p>
        </w:tc>
        <w:tc>
          <w:tcPr>
            <w:tcW w:type="dxa" w:w="189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Long employee profile</w:t>
            </w:r>
          </w:p>
        </w:tc>
        <w:tc>
          <w:tcPr>
            <w:tcW w:type="dxa" w:w="189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Long employee profile</w:t>
            </w:r>
          </w:p>
        </w:tc>
      </w:tr>
      <w:tr>
        <w:trPr>
          <w:tblHeader w:val="false"/>
        </w:trP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Auditability</w:t>
            </w:r>
          </w:p>
        </w:tc>
        <w:tc>
          <w:tcPr>
            <w:tcW w:type="dxa" w:w="189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Bundle persists as MRO</w:t>
            </w:r>
          </w:p>
        </w:tc>
        <w:tc>
          <w:tcPr>
            <w:tcW w:type="dxa" w:w="189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AIO IDs only</w:t>
            </w:r>
          </w:p>
        </w:tc>
        <w:tc>
          <w:tcPr>
            <w:tcW w:type="dxa" w:w="189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None (raw dump)</w:t>
            </w:r>
          </w:p>
        </w:tc>
        <w:tc>
          <w:tcPr>
            <w:tcW w:type="dxa" w:w="189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None (raw dump)</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Drift on edge cases</w:t>
            </w:r>
          </w:p>
        </w:tc>
        <w:tc>
          <w:tcPr>
            <w:tcW w:type="dxa" w:w="189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Lowest</w:t>
            </w:r>
          </w:p>
        </w:tc>
        <w:tc>
          <w:tcPr>
            <w:tcW w:type="dxa" w:w="189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Low</w:t>
            </w:r>
          </w:p>
        </w:tc>
        <w:tc>
          <w:tcPr>
            <w:tcW w:type="dxa" w:w="189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Higher (LLM filters from 664 records)</w:t>
            </w:r>
          </w:p>
        </w:tc>
        <w:tc>
          <w:tcPr>
            <w:tcW w:type="dxa" w:w="189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Highest (LLM searches full CSVs)</w:t>
            </w:r>
          </w:p>
        </w:tc>
      </w:tr>
    </w:tbl>
    <w:p>
      <w:pPr>
        <w:pStyle w:val="Heading2"/>
        <w:spacing w:after="140" w:before="280"/>
      </w:pPr>
      <w:r>
        <w:rPr>
          <w:rFonts w:ascii="Calibri" w:cs="Calibri" w:eastAsia="Calibri" w:hAnsi="Calibri"/>
          <w:b/>
          <w:bCs/>
          <w:color w:val="2E5496"/>
          <w:sz w:val="26"/>
          <w:szCs w:val="26"/>
        </w:rPr>
        <w:t xml:space="preserve">4.3 Cost Modeling at Anthropic List Prices</w:t>
      </w:r>
    </w:p>
    <w:p>
      <w:pPr>
        <w:spacing w:after="120" w:line="300"/>
        <w:jc w:val="left"/>
      </w:pPr>
      <w:r>
        <w:rPr>
          <w:rFonts w:ascii="Calibri" w:cs="Calibri" w:eastAsia="Calibri" w:hAnsi="Calibri"/>
          <w:sz w:val="22"/>
          <w:szCs w:val="22"/>
        </w:rPr>
        <w:t xml:space="preserve">Using public Anthropic list prices for Claude Sonnet 4.6 at the time of writing (input $3/Mtok, output $15/Mtok), the per-query cost lands as follows. Cache reads are billed at ~10% of input rate; the figures below assume worst case (no cache hits) for fair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820"/>
        <w:gridCol w:w="1820"/>
        <w:gridCol w:w="1820"/>
        <w:gridCol w:w="1820"/>
      </w:tblGrid>
      <w:tr>
        <w:trPr>
          <w:tblHeader/>
        </w:trPr>
        <w:tc>
          <w:tcPr>
            <w:tcW w:type="dxa" w:w="208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Metric</w:t>
            </w:r>
          </w:p>
        </w:tc>
        <w:tc>
          <w:tcPr>
            <w:tcW w:type="dxa" w:w="18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Recall</w:t>
            </w:r>
          </w:p>
        </w:tc>
        <w:tc>
          <w:tcPr>
            <w:tcW w:type="dxa" w:w="18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Live</w:t>
            </w:r>
          </w:p>
        </w:tc>
        <w:tc>
          <w:tcPr>
            <w:tcW w:type="dxa" w:w="18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Broad</w:t>
            </w:r>
          </w:p>
        </w:tc>
        <w:tc>
          <w:tcPr>
            <w:tcW w:type="dxa" w:w="18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Raw</w:t>
            </w:r>
          </w:p>
        </w:tc>
      </w:tr>
      <w:tr>
        <w:trPr>
          <w:tblHeader w:val="false"/>
        </w:trPr>
        <w:tc>
          <w:tcPr>
            <w:tcW w:type="dxa" w:w="20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Input cost (USD)</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$0.000087</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$0.001110</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$0.205104</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$0.079275</w:t>
            </w:r>
          </w:p>
        </w:tc>
      </w:tr>
      <w:tr>
        <w:trPr>
          <w:tblHeader w:val="false"/>
        </w:trPr>
        <w:tc>
          <w:tcPr>
            <w:tcW w:type="dxa" w:w="20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Output cost (USD)</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$0.026925</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$0.031155</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$0.030720</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$0.020580</w:t>
            </w:r>
          </w:p>
        </w:tc>
      </w:tr>
      <w:tr>
        <w:trPr>
          <w:tblHeader w:val="false"/>
        </w:trPr>
        <w:tc>
          <w:tcPr>
            <w:tcW w:type="dxa" w:w="20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Total per query (USD)</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$0.027012</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$0.032265</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$0.235824</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$0.099855</w:t>
            </w:r>
          </w:p>
        </w:tc>
      </w:tr>
      <w:tr>
        <w:trPr>
          <w:tblHeader w:val="false"/>
        </w:trPr>
        <w:tc>
          <w:tcPr>
            <w:tcW w:type="dxa" w:w="20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Cost per 1,000 queries (USD)</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$27</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$32</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$236</w:t>
            </w:r>
          </w:p>
        </w:tc>
        <w:tc>
          <w:tcPr>
            <w:tcW w:type="dxa" w:w="182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$100</w:t>
            </w:r>
          </w:p>
        </w:tc>
      </w:tr>
      <w:tr>
        <w:trPr>
          <w:tblHeader w:val="false"/>
        </w:trPr>
        <w:tc>
          <w:tcPr>
            <w:tcW w:type="dxa" w:w="20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Cost ratio vs Recall</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1.0×</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1.2×</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8.7×</w:t>
            </w:r>
          </w:p>
        </w:tc>
        <w:tc>
          <w:tcPr>
            <w:tcW w:type="dxa" w:w="18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3.7×</w:t>
            </w:r>
          </w:p>
        </w:tc>
      </w:tr>
    </w:tbl>
    <w:p>
      <w:pPr>
        <w:pStyle w:val="Heading1"/>
        <w:spacing w:after="140" w:before="280"/>
      </w:pPr>
      <w:r>
        <w:rPr>
          <w:rFonts w:ascii="Calibri" w:cs="Calibri" w:eastAsia="Calibri" w:hAnsi="Calibri"/>
          <w:b/>
          <w:bCs/>
          <w:color w:val="1F3864"/>
          <w:sz w:val="32"/>
          <w:szCs w:val="32"/>
        </w:rPr>
        <w:t xml:space="preserve">5. Why The Spread Is So Wide</w:t>
      </w:r>
    </w:p>
    <w:p>
      <w:pPr>
        <w:spacing w:after="120" w:line="300"/>
        <w:jc w:val="left"/>
      </w:pPr>
      <w:r>
        <w:rPr>
          <w:rFonts w:ascii="Calibri" w:cs="Calibri" w:eastAsia="Calibri" w:hAnsi="Calibri"/>
          <w:sz w:val="22"/>
          <w:szCs w:val="22"/>
        </w:rPr>
        <w:t xml:space="preserve">The 38× token spread between Recall and Broad is a direct consequence of where each mode places the retrieval boundary:</w:t>
      </w:r>
    </w:p>
    <w:p>
      <w:pPr>
        <w:pStyle w:val="ListParagraph"/>
        <w:numPr>
          <w:ilvl w:val="0"/>
          <w:numId w:val="2"/>
        </w:numPr>
        <w:spacing w:after="80" w:line="280"/>
      </w:pPr>
      <w:r>
        <w:rPr>
          <w:rFonts w:ascii="Calibri" w:cs="Calibri" w:eastAsia="Calibri" w:hAnsi="Calibri"/>
          <w:sz w:val="22"/>
          <w:szCs w:val="22"/>
        </w:rPr>
        <w:t xml:space="preserve">RECALL — retrieval happens deterministically against a precomputed semantic substrate (AIOs + HSLs + MROs). The LLM only sees what cues resolved to. Token count scales with cue cardinality, not corpus size.</w:t>
      </w:r>
    </w:p>
    <w:p>
      <w:pPr>
        <w:pStyle w:val="ListParagraph"/>
        <w:numPr>
          <w:ilvl w:val="0"/>
          <w:numId w:val="2"/>
        </w:numPr>
        <w:spacing w:after="80" w:line="280"/>
      </w:pPr>
      <w:r>
        <w:rPr>
          <w:rFonts w:ascii="Calibri" w:cs="Calibri" w:eastAsia="Calibri" w:hAnsi="Calibri"/>
          <w:sz w:val="22"/>
          <w:szCs w:val="22"/>
        </w:rPr>
        <w:t xml:space="preserve">LIVE — retrieval is split: an LLM-parsed plan produces SQL needles, then a second LLM call synthesizes from a bounded AIO set. Two-stage cost but bounded context.</w:t>
      </w:r>
    </w:p>
    <w:p>
      <w:pPr>
        <w:pStyle w:val="ListParagraph"/>
        <w:numPr>
          <w:ilvl w:val="0"/>
          <w:numId w:val="2"/>
        </w:numPr>
        <w:spacing w:after="80" w:line="280"/>
      </w:pPr>
      <w:r>
        <w:rPr>
          <w:rFonts w:ascii="Calibri" w:cs="Calibri" w:eastAsia="Calibri" w:hAnsi="Calibri"/>
          <w:sz w:val="22"/>
          <w:szCs w:val="22"/>
        </w:rPr>
        <w:t xml:space="preserve">BROAD — retrieval is delegated entirely to the LLM. The system dumps everything (capped at 1,000 records) and asks the model to filter. Token count scales with corpus size.</w:t>
      </w:r>
    </w:p>
    <w:p>
      <w:pPr>
        <w:pStyle w:val="ListParagraph"/>
        <w:numPr>
          <w:ilvl w:val="0"/>
          <w:numId w:val="2"/>
        </w:numPr>
        <w:spacing w:after="80" w:line="280"/>
      </w:pPr>
      <w:r>
        <w:rPr>
          <w:rFonts w:ascii="Calibri" w:cs="Calibri" w:eastAsia="Calibri" w:hAnsi="Calibri"/>
          <w:sz w:val="22"/>
          <w:szCs w:val="22"/>
        </w:rPr>
        <w:t xml:space="preserve">RAW — retrieval is delegated to the LLM and the data is unstructured (raw CSV). The model has to parse columns, identify relationships, and answer — the highest-difficulty path with no Information Physics scaffolding at all.</w:t>
      </w:r>
    </w:p>
    <w:p>
      <w:pPr>
        <w:spacing w:after="120" w:line="300"/>
        <w:jc w:val="left"/>
      </w:pPr>
      <w:r>
        <w:rPr>
          <w:rFonts w:ascii="Calibri" w:cs="Calibri" w:eastAsia="Calibri" w:hAnsi="Calibri"/>
          <w:sz w:val="22"/>
          <w:szCs w:val="22"/>
        </w:rPr>
        <w:t xml:space="preserve">All four modes return correct answers on this query because the corpus is small (589 AIOs / 9 CSVs) and the named entity is unambiguous. As corpus size grows, only Recall and Live remain operationally viable: Broad saturates the context window and Raw breaks past the per-file token budget.</w:t>
      </w:r>
    </w:p>
    <w:p>
      <w:pPr>
        <w:pStyle w:val="Heading1"/>
        <w:spacing w:after="140" w:before="280"/>
      </w:pPr>
      <w:r>
        <w:rPr>
          <w:rFonts w:ascii="Calibri" w:cs="Calibri" w:eastAsia="Calibri" w:hAnsi="Calibri"/>
          <w:b/>
          <w:bCs/>
          <w:color w:val="1F3864"/>
          <w:sz w:val="32"/>
          <w:szCs w:val="32"/>
        </w:rPr>
        <w:t xml:space="preserve">6. Mode Selection — Decision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Use Case</w:t>
            </w:r>
          </w:p>
        </w:tc>
        <w:tc>
          <w:tcPr>
            <w:tcW w:type="dxa" w:w="6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Recommended Mode</w:t>
            </w:r>
          </w:p>
        </w:tc>
      </w:tr>
      <w:tr>
        <w:trPr>
          <w:tblHeader w:val="false"/>
        </w:trP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Named-entity query with structured category requests (this query class)</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Recall — lowest cost, structured envelope, MRO lineage</w:t>
            </w:r>
          </w:p>
        </w:tc>
      </w:tr>
      <w:tr>
        <w:trPr>
          <w:tblHeader w:val="false"/>
        </w:trP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Cold-start tenant with no HSL coverage</w:t>
            </w:r>
          </w:p>
        </w:tc>
        <w:tc>
          <w:tcPr>
            <w:tcW w:type="dxa" w:w="636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Live — broader probes find AIOs without HSL gating</w:t>
            </w:r>
          </w:p>
        </w:tc>
      </w:tr>
      <w:tr>
        <w:trPr>
          <w:tblHeader w:val="false"/>
        </w:trP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Free-text exploratory queries (“anything unusual in Q4”)</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Live — keyword fallback handles non-cue questions</w:t>
            </w:r>
          </w:p>
        </w:tc>
      </w:tr>
      <w:tr>
        <w:trPr>
          <w:tblHeader w:val="false"/>
        </w:trP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Schema discovery (“what fields exist?”)</w:t>
            </w:r>
          </w:p>
        </w:tc>
        <w:tc>
          <w:tcPr>
            <w:tcW w:type="dxa" w:w="636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Broad — model sees the full record set</w:t>
            </w:r>
          </w:p>
        </w:tc>
      </w:tr>
      <w:tr>
        <w:trPr>
          <w:tblHeader w:val="false"/>
        </w:trP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Demo of “RAG without Information Physics” for comparison</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Raw — reference baseline</w:t>
            </w:r>
          </w:p>
        </w:tc>
      </w:tr>
      <w:tr>
        <w:trPr>
          <w:tblHeader w:val="false"/>
        </w:trP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Production at scale (1M+ AIOs)</w:t>
            </w:r>
          </w:p>
        </w:tc>
        <w:tc>
          <w:tcPr>
            <w:tcW w:type="dxa" w:w="636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Recall — only mode that bounds tokens by cue cardinality, not corpus</w:t>
            </w:r>
          </w:p>
        </w:tc>
      </w:tr>
    </w:tbl>
    <w:p>
      <w:pPr>
        <w:pStyle w:val="Heading1"/>
        <w:spacing w:after="140" w:before="280"/>
      </w:pPr>
      <w:r>
        <w:rPr>
          <w:rFonts w:ascii="Calibri" w:cs="Calibri" w:eastAsia="Calibri" w:hAnsi="Calibri"/>
          <w:b/>
          <w:bCs/>
          <w:color w:val="1F3864"/>
          <w:sz w:val="32"/>
          <w:szCs w:val="32"/>
        </w:rPr>
        <w:t xml:space="preserve">7. Methodology</w:t>
      </w:r>
    </w:p>
    <w:p>
      <w:pPr>
        <w:spacing w:after="120" w:line="300"/>
        <w:jc w:val="left"/>
      </w:pPr>
      <w:r>
        <w:rPr>
          <w:rFonts w:ascii="Calibri" w:cs="Calibri" w:eastAsia="Calibri" w:hAnsi="Calibri"/>
          <w:sz w:val="22"/>
          <w:szCs w:val="22"/>
        </w:rPr>
        <w:t xml:space="preserve">Measurement script: scripts/measure_modes.ts (Node 20 / tsx). The script:</w:t>
      </w:r>
    </w:p>
    <w:p>
      <w:pPr>
        <w:pStyle w:val="ListParagraph"/>
        <w:numPr>
          <w:ilvl w:val="0"/>
          <w:numId w:val="2"/>
        </w:numPr>
        <w:spacing w:after="80" w:line="280"/>
      </w:pPr>
      <w:r>
        <w:rPr>
          <w:rFonts w:ascii="Calibri" w:cs="Calibri" w:eastAsia="Calibri" w:hAnsi="Calibri"/>
          <w:sz w:val="22"/>
          <w:szCs w:val="22"/>
        </w:rPr>
        <w:t xml:space="preserve">Imports the production lib/api-client.ts and lib/aio-chat-pipeline.ts directly — no reimplementation.</w:t>
      </w:r>
    </w:p>
    <w:p>
      <w:pPr>
        <w:pStyle w:val="ListParagraph"/>
        <w:numPr>
          <w:ilvl w:val="0"/>
          <w:numId w:val="2"/>
        </w:numPr>
        <w:spacing w:after="80" w:line="280"/>
      </w:pPr>
      <w:r>
        <w:rPr>
          <w:rFonts w:ascii="Calibri" w:cs="Calibri" w:eastAsia="Calibri" w:hAnsi="Calibri"/>
          <w:sz w:val="22"/>
          <w:szCs w:val="22"/>
        </w:rPr>
        <w:t xml:space="preserve">Wraps globalThis.fetch to redirect /api/* paths to the deployed Railway frontend.</w:t>
      </w:r>
    </w:p>
    <w:p>
      <w:pPr>
        <w:pStyle w:val="ListParagraph"/>
        <w:numPr>
          <w:ilvl w:val="0"/>
          <w:numId w:val="2"/>
        </w:numPr>
        <w:spacing w:after="80" w:line="280"/>
      </w:pPr>
      <w:r>
        <w:rPr>
          <w:rFonts w:ascii="Calibri" w:cs="Calibri" w:eastAsia="Calibri" w:hAnsi="Calibri"/>
          <w:sz w:val="22"/>
          <w:szCs w:val="22"/>
        </w:rPr>
        <w:t xml:space="preserve">Stubs /api/op/mro-search to return zero matches, defeating the Recall pipeline’s MRO short-circuit.</w:t>
      </w:r>
    </w:p>
    <w:p>
      <w:pPr>
        <w:pStyle w:val="ListParagraph"/>
        <w:numPr>
          <w:ilvl w:val="0"/>
          <w:numId w:val="2"/>
        </w:numPr>
        <w:spacing w:after="80" w:line="280"/>
      </w:pPr>
      <w:r>
        <w:rPr>
          <w:rFonts w:ascii="Calibri" w:cs="Calibri" w:eastAsia="Calibri" w:hAnsi="Calibri"/>
          <w:sz w:val="22"/>
          <w:szCs w:val="22"/>
        </w:rPr>
        <w:t xml:space="preserve">Sets bypass_cache=true on the Live aio-search call to defeat the query_hash micro-cache.</w:t>
      </w:r>
    </w:p>
    <w:p>
      <w:pPr>
        <w:pStyle w:val="ListParagraph"/>
        <w:numPr>
          <w:ilvl w:val="0"/>
          <w:numId w:val="2"/>
        </w:numPr>
        <w:spacing w:after="80" w:line="280"/>
      </w:pPr>
      <w:r>
        <w:rPr>
          <w:rFonts w:ascii="Calibri" w:cs="Calibri" w:eastAsia="Calibri" w:hAnsi="Calibri"/>
          <w:sz w:val="22"/>
          <w:szCs w:val="22"/>
        </w:rPr>
        <w:t xml:space="preserve">Calls each of the four endpoints in sequence with the same user message.</w:t>
      </w:r>
    </w:p>
    <w:p>
      <w:pPr>
        <w:pStyle w:val="ListParagraph"/>
        <w:numPr>
          <w:ilvl w:val="0"/>
          <w:numId w:val="2"/>
        </w:numPr>
        <w:spacing w:after="80" w:line="280"/>
      </w:pPr>
      <w:r>
        <w:rPr>
          <w:rFonts w:ascii="Calibri" w:cs="Calibri" w:eastAsia="Calibri" w:hAnsi="Calibri"/>
          <w:sz w:val="22"/>
          <w:szCs w:val="22"/>
        </w:rPr>
        <w:t xml:space="preserve">Records latency_ms from a Date.now() boundary; reads input_tokens, output_tokens, and context counts from the JSON response bodies.</w:t>
      </w:r>
    </w:p>
    <w:p>
      <w:pPr>
        <w:spacing w:after="120" w:line="300"/>
        <w:jc w:val="left"/>
      </w:pPr>
      <w:r>
        <w:rPr>
          <w:rFonts w:ascii="Calibri" w:cs="Calibri" w:eastAsia="Calibri" w:hAnsi="Calibri"/>
          <w:sz w:val="22"/>
          <w:szCs w:val="22"/>
        </w:rPr>
        <w:t xml:space="preserve">Caveats:</w:t>
      </w:r>
    </w:p>
    <w:p>
      <w:pPr>
        <w:pStyle w:val="ListParagraph"/>
        <w:numPr>
          <w:ilvl w:val="0"/>
          <w:numId w:val="2"/>
        </w:numPr>
        <w:spacing w:after="80" w:line="280"/>
      </w:pPr>
      <w:r>
        <w:rPr>
          <w:rFonts w:ascii="Calibri" w:cs="Calibri" w:eastAsia="Calibri" w:hAnsi="Calibri"/>
          <w:sz w:val="22"/>
          <w:szCs w:val="22"/>
        </w:rPr>
        <w:t xml:space="preserve">Single run — wall-clock latency carries network jitter; tokens are deterministic up to LLM sampling.</w:t>
      </w:r>
    </w:p>
    <w:p>
      <w:pPr>
        <w:pStyle w:val="ListParagraph"/>
        <w:numPr>
          <w:ilvl w:val="0"/>
          <w:numId w:val="2"/>
        </w:numPr>
        <w:spacing w:after="80" w:line="280"/>
      </w:pPr>
      <w:r>
        <w:rPr>
          <w:rFonts w:ascii="Calibri" w:cs="Calibri" w:eastAsia="Calibri" w:hAnsi="Calibri"/>
          <w:sz w:val="22"/>
          <w:szCs w:val="22"/>
        </w:rPr>
        <w:t xml:space="preserve">Anthropic prompt cache is warm for Recall and Live (stable system-prompt prefix). Broad and Raw rebuild context from scratch and do not benefit from cache. The 29-token Recall figure represents the cache differential.</w:t>
      </w:r>
    </w:p>
    <w:p>
      <w:pPr>
        <w:pStyle w:val="ListParagraph"/>
        <w:numPr>
          <w:ilvl w:val="0"/>
          <w:numId w:val="2"/>
        </w:numPr>
        <w:spacing w:after="80" w:line="280"/>
      </w:pPr>
      <w:r>
        <w:rPr>
          <w:rFonts w:ascii="Calibri" w:cs="Calibri" w:eastAsia="Calibri" w:hAnsi="Calibri"/>
          <w:sz w:val="22"/>
          <w:szCs w:val="22"/>
        </w:rPr>
        <w:t xml:space="preserve">Recall returned matched_hsls=0 despite Live finding 38 — a separate observation likely caused by needle-normalization mismatch in find-by-needles-full. The substrate call still received 355 AIOs in the neighborhood and produced a correct answer.</w:t>
      </w:r>
    </w:p>
    <w:p>
      <w:pPr>
        <w:pStyle w:val="ListParagraph"/>
        <w:numPr>
          <w:ilvl w:val="0"/>
          <w:numId w:val="2"/>
        </w:numPr>
        <w:spacing w:after="80" w:line="280"/>
      </w:pPr>
      <w:r>
        <w:rPr>
          <w:rFonts w:ascii="Calibri" w:cs="Calibri" w:eastAsia="Calibri" w:hAnsi="Calibri"/>
          <w:sz w:val="22"/>
          <w:szCs w:val="22"/>
        </w:rPr>
        <w:t xml:space="preserve">Cost figures use Anthropic list prices at the time of writing and assume worst-case no-cache pricing. Real-world costs will be lower for Recall and Live due to cache amortization.</w:t>
      </w:r>
    </w:p>
    <w:p>
      <w:pPr>
        <w:pStyle w:val="Heading1"/>
        <w:spacing w:after="140" w:before="280"/>
      </w:pPr>
      <w:r>
        <w:rPr>
          <w:rFonts w:ascii="Calibri" w:cs="Calibri" w:eastAsia="Calibri" w:hAnsi="Calibri"/>
          <w:b/>
          <w:bCs/>
          <w:color w:val="1F3864"/>
          <w:sz w:val="32"/>
          <w:szCs w:val="32"/>
        </w:rPr>
        <w:t xml:space="preserve">8. Conclusion</w:t>
      </w:r>
    </w:p>
    <w:p>
      <w:pPr>
        <w:spacing w:after="120" w:line="300"/>
        <w:jc w:val="left"/>
      </w:pPr>
      <w:r>
        <w:rPr>
          <w:rFonts w:ascii="Calibri" w:cs="Calibri" w:eastAsia="Calibri" w:hAnsi="Calibri"/>
          <w:sz w:val="22"/>
          <w:szCs w:val="22"/>
        </w:rPr>
        <w:t xml:space="preserve">On this single measured query against the production Railway deployment, the four modes consumed 1,824 / 2,447 / 27,797 / 70,416 total tokens for Recall / Live / Raw / Broad respectively. All four returned a correct answer; the difference is entirely in cost, latency, and structural alignment.</w:t>
      </w:r>
    </w:p>
    <w:p>
      <w:pPr>
        <w:spacing w:after="120" w:line="300"/>
        <w:jc w:val="left"/>
      </w:pPr>
      <w:r>
        <w:rPr>
          <w:rFonts w:ascii="Calibri" w:cs="Calibri" w:eastAsia="Calibri" w:hAnsi="Calibri"/>
          <w:sz w:val="22"/>
          <w:szCs w:val="22"/>
        </w:rPr>
        <w:t xml:space="preserve">Recall is the most efficient mode by a wide margin and the only mode whose token consumption is bounded by query semantics rather than corpus size — making it the only durable choice as Information Physics deployments scale. Live is the right mode for cold-start and exploratory queries. Broad is best reserved for schema discovery on small corpora. Raw is included as a reference baseline for what a non-Information-Physics deployment would cost.</w:t>
      </w:r>
    </w:p>
    <w:p>
      <w:pPr>
        <w:spacing w:after="120" w:line="300"/>
        <w:jc w:val="left"/>
      </w:pPr>
      <w:r>
        <w:rPr>
          <w:rFonts w:ascii="Calibri" w:cs="Calibri" w:eastAsia="Calibri" w:hAnsi="Calibri"/>
          <w:sz w:val="22"/>
          <w:szCs w:val="22"/>
        </w:rPr>
        <w:t xml:space="preserve">The token spread between Recall and Broad on this query is 38.6×. Multiplied by 100,000 queries per month and Anthropic list prices, that is the difference between a $2,700 monthly bill and a $23,600 monthly bill for structurally equivalent answers — a quantitative justification for the Information Physics retrieval model.</w:t>
      </w:r>
    </w:p>
    <w:p>
      <w:pPr>
        <w:spacing w:before="600"/>
        <w:jc w:val="center"/>
      </w:pPr>
      <w:r>
        <w:rPr>
          <w:rFonts w:ascii="Calibri" w:cs="Calibri" w:eastAsia="Calibri" w:hAnsi="Calibri"/>
          <w:i/>
          <w:iCs/>
          <w:color w:val="808080"/>
          <w:sz w:val="22"/>
          <w:szCs w:val="22"/>
        </w:rPr>
        <w:t xml:space="preserve">— End of Report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2E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Four-Mode ChatAIO Comparison — Technical Report (Measured)</dc:title>
  <dc:creator>InformationPhysics.ai, LLC</dc:creator>
  <cp:lastModifiedBy>Un-named</cp:lastModifiedBy>
  <cp:revision>1</cp:revision>
  <dcterms:created xsi:type="dcterms:W3CDTF">2026-04-27T16:10:09.271Z</dcterms:created>
  <dcterms:modified xsi:type="dcterms:W3CDTF">2026-04-27T16:10:09.272Z</dcterms:modified>
</cp:coreProperties>
</file>

<file path=docProps/custom.xml><?xml version="1.0" encoding="utf-8"?>
<Properties xmlns="http://schemas.openxmlformats.org/officeDocument/2006/custom-properties" xmlns:vt="http://schemas.openxmlformats.org/officeDocument/2006/docPropsVTypes"/>
</file>