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CC0000"/>
      </w:pPr>
      <w:r>
        <w:rPr>
          <w:rFonts w:ascii="Calibri" w:hAnsi="Calibri"/>
          <w:b/>
          <w:color w:val="FFFFFF"/>
          <w:sz w:val="22"/>
        </w:rPr>
        <w:t>⚠  TRADE SECRET — CONFIDENTIAL  ⚠</w:t>
      </w:r>
    </w:p>
    <w:p/>
    <w:p>
      <w:pPr>
        <w:jc w:val="center"/>
      </w:pPr>
      <w:r>
        <w:rPr>
          <w:rFonts w:ascii="Calibri" w:hAnsi="Calibri"/>
          <w:b/>
          <w:color w:val="0F3460"/>
          <w:sz w:val="56"/>
        </w:rPr>
        <w:t>InformationPhysics.ai</w:t>
      </w:r>
    </w:p>
    <w:p>
      <w:pPr>
        <w:jc w:val="center"/>
      </w:pPr>
      <w:r>
        <w:rPr>
          <w:rFonts w:ascii="Calibri" w:hAnsi="Calibri"/>
          <w:i/>
          <w:color w:val="0E6B6B"/>
          <w:sz w:val="26"/>
        </w:rPr>
        <w:t>The Information Physics Standard Model</w:t>
      </w:r>
    </w:p>
    <w:p/>
    <w:p/>
    <w:p>
      <w:pPr>
        <w:pBdr>
          <w:bottom w:val="single" w:sz="12" w:space="1" w:color="0F3460"/>
        </w:pBdr>
        <w:spacing w:before="0" w:after="80"/>
      </w:pPr>
    </w:p>
    <w:p>
      <w:pPr>
        <w:spacing w:before="480"/>
        <w:jc w:val="center"/>
      </w:pPr>
      <w:r>
        <w:rPr>
          <w:rFonts w:ascii="Calibri" w:hAnsi="Calibri"/>
          <w:b/>
          <w:color w:val="0F3460"/>
          <w:sz w:val="44"/>
        </w:rPr>
        <w:t>DUE DILIGENCE TECHNICAL REVIEW</w:t>
      </w:r>
    </w:p>
    <w:p>
      <w:pPr>
        <w:jc w:val="center"/>
      </w:pPr>
      <w:r>
        <w:rPr>
          <w:rFonts w:ascii="Calibri" w:hAnsi="Calibri"/>
          <w:color w:val="666666"/>
          <w:sz w:val="26"/>
        </w:rPr>
        <w:t>AIO / HSL / MRO Demo System  ·  Version 3.5</w:t>
      </w:r>
    </w:p>
    <w:p/>
    <w:p/>
    <w:p/>
    <w:tbl>
      <w:tblPr>
        <w:tblStyle w:val="TableGrid"/>
        <w:tblW w:type="auto" w:w="0"/>
        <w:tblLook w:firstColumn="1" w:firstRow="1" w:lastColumn="0" w:lastRow="0" w:noHBand="0" w:noVBand="1" w:val="04A0"/>
      </w:tblPr>
      <w:tblGrid>
        <w:gridCol w:w="4392"/>
        <w:gridCol w:w="4392"/>
      </w:tblGrid>
      <w:tr>
        <w:tc>
          <w:tcPr>
            <w:tcW w:type="dxa" w:w="3168"/>
            <w:shd w:val="clear" w:color="auto" w:fill="E8EEF8"/>
          </w:tcPr>
          <w:p>
            <w:r>
              <w:rPr>
                <w:rFonts w:ascii="Calibri" w:hAnsi="Calibri"/>
                <w:b/>
                <w:color w:val="0F3460"/>
                <w:sz w:val="20"/>
              </w:rPr>
              <w:t>Document Classification</w:t>
            </w:r>
          </w:p>
        </w:tc>
        <w:tc>
          <w:tcPr>
            <w:tcW w:type="dxa" w:w="5184"/>
            <w:shd w:val="clear" w:color="auto" w:fill="E8EEF8"/>
          </w:tcPr>
          <w:p>
            <w:r>
              <w:rPr>
                <w:rFonts w:ascii="Calibri" w:hAnsi="Calibri"/>
                <w:b/>
                <w:color w:val="CC0000"/>
                <w:sz w:val="20"/>
              </w:rPr>
              <w:t>TRADE SECRET — PROPRIETARY AND CONFIDENTIAL</w:t>
            </w:r>
          </w:p>
        </w:tc>
      </w:tr>
      <w:tr>
        <w:tc>
          <w:tcPr>
            <w:tcW w:type="dxa" w:w="3168"/>
            <w:shd w:val="clear" w:color="auto" w:fill="F5F8FF"/>
          </w:tcPr>
          <w:p>
            <w:r>
              <w:rPr>
                <w:rFonts w:ascii="Calibri" w:hAnsi="Calibri"/>
                <w:b/>
                <w:color w:val="0F3460"/>
                <w:sz w:val="20"/>
              </w:rPr>
              <w:t>Prepared By</w:t>
            </w:r>
          </w:p>
        </w:tc>
        <w:tc>
          <w:tcPr>
            <w:tcW w:type="dxa" w:w="5184"/>
            <w:shd w:val="clear" w:color="auto" w:fill="F5F8FF"/>
          </w:tcPr>
          <w:p>
            <w:r>
              <w:rPr>
                <w:rFonts w:ascii="Calibri" w:hAnsi="Calibri"/>
                <w:sz w:val="20"/>
              </w:rPr>
              <w:t>InformationPhysics.ai, LLC</w:t>
            </w:r>
          </w:p>
        </w:tc>
      </w:tr>
      <w:tr>
        <w:tc>
          <w:tcPr>
            <w:tcW w:type="dxa" w:w="3168"/>
            <w:shd w:val="clear" w:color="auto" w:fill="E8EEF8"/>
          </w:tcPr>
          <w:p>
            <w:r>
              <w:rPr>
                <w:rFonts w:ascii="Calibri" w:hAnsi="Calibri"/>
                <w:b/>
                <w:color w:val="0F3460"/>
                <w:sz w:val="20"/>
              </w:rPr>
              <w:t>Author</w:t>
            </w:r>
          </w:p>
        </w:tc>
        <w:tc>
          <w:tcPr>
            <w:tcW w:type="dxa" w:w="5184"/>
            <w:shd w:val="clear" w:color="auto" w:fill="E8EEF8"/>
          </w:tcPr>
          <w:p>
            <w:r>
              <w:rPr>
                <w:rFonts w:ascii="Calibri" w:hAnsi="Calibri"/>
                <w:sz w:val="20"/>
              </w:rPr>
              <w:t>Michael Simon Bodner, Ph.D.</w:t>
            </w:r>
          </w:p>
        </w:tc>
      </w:tr>
      <w:tr>
        <w:tc>
          <w:tcPr>
            <w:tcW w:type="dxa" w:w="3168"/>
            <w:shd w:val="clear" w:color="auto" w:fill="F5F8FF"/>
          </w:tcPr>
          <w:p>
            <w:r>
              <w:rPr>
                <w:rFonts w:ascii="Calibri" w:hAnsi="Calibri"/>
                <w:b/>
                <w:color w:val="0F3460"/>
                <w:sz w:val="20"/>
              </w:rPr>
              <w:t>Version</w:t>
            </w:r>
          </w:p>
        </w:tc>
        <w:tc>
          <w:tcPr>
            <w:tcW w:type="dxa" w:w="5184"/>
            <w:shd w:val="clear" w:color="auto" w:fill="F5F8FF"/>
          </w:tcPr>
          <w:p>
            <w:r>
              <w:rPr>
                <w:rFonts w:ascii="Calibri" w:hAnsi="Calibri"/>
                <w:sz w:val="20"/>
              </w:rPr>
              <w:t>V3.5  |  April 2026</w:t>
            </w:r>
          </w:p>
        </w:tc>
      </w:tr>
      <w:tr>
        <w:tc>
          <w:tcPr>
            <w:tcW w:type="dxa" w:w="3168"/>
            <w:shd w:val="clear" w:color="auto" w:fill="E8EEF8"/>
          </w:tcPr>
          <w:p>
            <w:r>
              <w:rPr>
                <w:rFonts w:ascii="Calibri" w:hAnsi="Calibri"/>
                <w:b/>
                <w:color w:val="0F3460"/>
                <w:sz w:val="20"/>
              </w:rPr>
              <w:t>Repository</w:t>
            </w:r>
          </w:p>
        </w:tc>
        <w:tc>
          <w:tcPr>
            <w:tcW w:type="dxa" w:w="5184"/>
            <w:shd w:val="clear" w:color="auto" w:fill="E8EEF8"/>
          </w:tcPr>
          <w:p>
            <w:r>
              <w:rPr>
                <w:rFonts w:ascii="Calibri" w:hAnsi="Calibri"/>
                <w:sz w:val="20"/>
              </w:rPr>
              <w:t>github.com/msbodner/information-physics-demo-system</w:t>
            </w:r>
          </w:p>
        </w:tc>
      </w:tr>
      <w:tr>
        <w:tc>
          <w:tcPr>
            <w:tcW w:type="dxa" w:w="3168"/>
            <w:shd w:val="clear" w:color="auto" w:fill="F5F8FF"/>
          </w:tcPr>
          <w:p>
            <w:r>
              <w:rPr>
                <w:rFonts w:ascii="Calibri" w:hAnsi="Calibri"/>
                <w:b/>
                <w:color w:val="0F3460"/>
                <w:sz w:val="20"/>
              </w:rPr>
              <w:t>Deployment</w:t>
            </w:r>
          </w:p>
        </w:tc>
        <w:tc>
          <w:tcPr>
            <w:tcW w:type="dxa" w:w="5184"/>
            <w:shd w:val="clear" w:color="auto" w:fill="F5F8FF"/>
          </w:tcPr>
          <w:p>
            <w:r>
              <w:rPr>
                <w:rFonts w:ascii="Calibri" w:hAnsi="Calibri"/>
                <w:sz w:val="20"/>
              </w:rPr>
              <w:t>Railway Cloud  ·  Electron Desktop  ·  Docker</w:t>
            </w:r>
          </w:p>
        </w:tc>
      </w:tr>
    </w:tbl>
    <w:p/>
    <w:p>
      <w:pPr>
        <w:pBdr>
          <w:bottom w:val="single" w:sz="12" w:space="1" w:color="0F3460"/>
        </w:pBdr>
        <w:spacing w:before="0" w:after="80"/>
      </w:pPr>
    </w:p>
    <w:p/>
    <w:p>
      <w:pPr>
        <w:jc w:val="center"/>
      </w:pPr>
      <w:r>
        <w:rPr>
          <w:rFonts w:ascii="Calibri" w:hAnsi="Calibri"/>
          <w:i/>
          <w:color w:val="666666"/>
          <w:sz w:val="17"/>
        </w:rPr>
        <w:t>This document constitutes a trade secret of InformationPhysics.ai, LLC and contains proprietary, confidential information protected under applicable trade secret law, including the Defend Trade Secrets Act (18 U.S.C. § 1836 et seq.) and applicable state law. Unauthorized disclosure, reproduction, or use is strictly prohibited and may subject the violator to civil and criminal liability. Receipt of this document constitutes agreement to maintain its confidentiality.</w:t>
      </w:r>
    </w:p>
    <w:p>
      <w:r>
        <w:br w:type="page"/>
      </w:r>
    </w:p>
    <w:p>
      <w:pPr>
        <w:spacing w:before="360" w:after="80"/>
      </w:pPr>
      <w:r>
        <w:rPr>
          <w:rFonts w:ascii="Calibri" w:hAnsi="Calibri"/>
          <w:b/>
          <w:color w:val="0F3460"/>
          <w:sz w:val="28"/>
        </w:rPr>
        <w:t>1.  Executive Summary</w:t>
      </w:r>
    </w:p>
    <w:p>
      <w:pPr>
        <w:pBdr>
          <w:bottom w:val="single" w:sz="12" w:space="1" w:color="0F3460"/>
        </w:pBdr>
        <w:spacing w:before="0" w:after="80"/>
      </w:pPr>
    </w:p>
    <w:p>
      <w:pPr>
        <w:spacing w:before="0" w:after="120" w:line="360" w:lineRule="auto"/>
      </w:pPr>
      <w:r>
        <w:rPr>
          <w:rFonts w:ascii="Calibri" w:hAnsi="Calibri"/>
          <w:color w:val="222222"/>
          <w:sz w:val="21"/>
        </w:rPr>
        <w:t xml:space="preserve">The Information Physics Demo System is a proprietary, production-deployed AI platform built around a novel three-layer data model called the </w:t>
      </w:r>
      <w:r>
        <w:rPr>
          <w:rFonts w:ascii="Calibri" w:hAnsi="Calibri"/>
          <w:b/>
          <w:color w:val="222222"/>
          <w:sz w:val="21"/>
        </w:rPr>
        <w:t>Information Physics Standard Model</w:t>
      </w:r>
      <w:r>
        <w:rPr>
          <w:rFonts w:ascii="Calibri" w:hAnsi="Calibri"/>
          <w:color w:val="222222"/>
          <w:sz w:val="21"/>
        </w:rPr>
        <w:t xml:space="preserve">. The platform transforms structured data — CSV files and PDF documents — into self-describing semantic objects, links them through a precomputed relational index, and captures AI retrieval sessions as reusable knowledge objects. The result is a </w:t>
      </w:r>
      <w:r>
        <w:rPr>
          <w:rFonts w:ascii="Calibri" w:hAnsi="Calibri"/>
          <w:b/>
          <w:color w:val="222222"/>
          <w:sz w:val="21"/>
        </w:rPr>
        <w:t>deterministic, bounded-cost</w:t>
      </w:r>
      <w:r>
        <w:rPr>
          <w:rFonts w:ascii="Calibri" w:hAnsi="Calibri"/>
          <w:color w:val="222222"/>
          <w:sz w:val="21"/>
        </w:rPr>
        <w:t xml:space="preserve"> information retrieval system that operates without vector embeddings or probabilistic similarity search.</w:t>
      </w:r>
    </w:p>
    <w:p>
      <w:pPr>
        <w:spacing w:before="0" w:after="120" w:line="360" w:lineRule="auto"/>
      </w:pPr>
      <w:r>
        <w:rPr>
          <w:rFonts w:ascii="Calibri" w:hAnsi="Calibri"/>
          <w:color w:val="222222"/>
          <w:sz w:val="21"/>
        </w:rPr>
        <w:t xml:space="preserve">The system embodies three original intellectual property constructs — the </w:t>
      </w:r>
      <w:r>
        <w:rPr>
          <w:rFonts w:ascii="Calibri" w:hAnsi="Calibri"/>
          <w:b/>
          <w:color w:val="222222"/>
          <w:sz w:val="21"/>
        </w:rPr>
        <w:t>Associated Information Object (AIO)</w:t>
      </w:r>
      <w:r>
        <w:rPr>
          <w:rFonts w:ascii="Calibri" w:hAnsi="Calibri"/>
          <w:color w:val="222222"/>
          <w:sz w:val="21"/>
        </w:rPr>
        <w:t xml:space="preserve">, the </w:t>
      </w:r>
      <w:r>
        <w:rPr>
          <w:rFonts w:ascii="Calibri" w:hAnsi="Calibri"/>
          <w:b/>
          <w:color w:val="222222"/>
          <w:sz w:val="21"/>
        </w:rPr>
        <w:t>Hyper-Semantic Layer (HSL)</w:t>
      </w:r>
      <w:r>
        <w:rPr>
          <w:rFonts w:ascii="Calibri" w:hAnsi="Calibri"/>
          <w:color w:val="222222"/>
          <w:sz w:val="21"/>
        </w:rPr>
        <w:t xml:space="preserve">, and the </w:t>
      </w:r>
      <w:r>
        <w:rPr>
          <w:rFonts w:ascii="Calibri" w:hAnsi="Calibri"/>
          <w:b/>
          <w:color w:val="222222"/>
          <w:sz w:val="21"/>
        </w:rPr>
        <w:t>Memory Result Object (MRO)</w:t>
      </w:r>
      <w:r>
        <w:rPr>
          <w:rFonts w:ascii="Calibri" w:hAnsi="Calibri"/>
          <w:color w:val="222222"/>
          <w:sz w:val="21"/>
        </w:rPr>
        <w:t xml:space="preserve"> — implemented in a full production-grade stack with web, cloud, and desktop deployment targets. Each construct is formally documented in proprietary reference papers (Papers I, II, and III) that constitute protected trade secrets of InformationPhysics.ai, LLC.</w:t>
      </w:r>
    </w:p>
    <w:p>
      <w:pPr>
        <w:spacing w:before="0" w:after="120" w:line="360" w:lineRule="auto"/>
      </w:pPr>
      <w:r>
        <w:rPr>
          <w:rFonts w:ascii="Calibri" w:hAnsi="Calibri"/>
          <w:color w:val="222222"/>
          <w:sz w:val="21"/>
        </w:rPr>
        <w:t>The platform is presently deployed on Railway (cloud production), GitHub (version-controlled CI/CD pipeline), and as a native Electron desktop application for macOS, Windows, and Linux. It uses Claude Sonnet 4.6 (Anthropic) as its AI reasoning engine and PostgreSQL 15 as its persistent data store. Current version: V3.5, April 2026.</w:t>
      </w:r>
    </w:p>
    <w:p>
      <w:pPr>
        <w:spacing w:before="360" w:after="80"/>
      </w:pPr>
      <w:r>
        <w:rPr>
          <w:rFonts w:ascii="Calibri" w:hAnsi="Calibri"/>
          <w:b/>
          <w:color w:val="0F3460"/>
          <w:sz w:val="28"/>
        </w:rPr>
        <w:t>2.  Product Philosophy and Conceptual Foundation</w:t>
      </w:r>
    </w:p>
    <w:p>
      <w:pPr>
        <w:pBdr>
          <w:bottom w:val="single" w:sz="12" w:space="1" w:color="0F3460"/>
        </w:pBdr>
        <w:spacing w:before="0" w:after="80"/>
      </w:pPr>
    </w:p>
    <w:p>
      <w:pPr>
        <w:spacing w:before="240" w:after="40"/>
      </w:pPr>
      <w:r>
        <w:rPr>
          <w:rFonts w:ascii="Calibri" w:hAnsi="Calibri"/>
          <w:b/>
          <w:color w:val="0E6B6B"/>
          <w:sz w:val="22"/>
        </w:rPr>
        <w:t>2.1  The Information Physics Premise</w:t>
      </w:r>
    </w:p>
    <w:p>
      <w:pPr>
        <w:spacing w:before="0" w:after="120" w:line="360" w:lineRule="auto"/>
      </w:pPr>
      <w:r>
        <w:rPr>
          <w:rFonts w:ascii="Calibri" w:hAnsi="Calibri"/>
          <w:color w:val="222222"/>
          <w:sz w:val="21"/>
        </w:rPr>
        <w:t xml:space="preserve">Conventional enterprise AI retrieval relies on floating-point vector embeddings and cosine similarity to surface semantically proximate content. This approach is </w:t>
      </w:r>
      <w:r>
        <w:rPr>
          <w:rFonts w:ascii="Calibri" w:hAnsi="Calibri"/>
          <w:b/>
          <w:color w:val="222222"/>
          <w:sz w:val="21"/>
        </w:rPr>
        <w:t>probabilistic, opaque</w:t>
      </w:r>
      <w:r>
        <w:rPr>
          <w:rFonts w:ascii="Calibri" w:hAnsi="Calibri"/>
          <w:color w:val="222222"/>
          <w:sz w:val="21"/>
        </w:rPr>
        <w:t xml:space="preserve">, computationally expensive at scale, and produces </w:t>
      </w:r>
      <w:r>
        <w:rPr>
          <w:rFonts w:ascii="Calibri" w:hAnsi="Calibri"/>
          <w:b/>
          <w:color w:val="222222"/>
          <w:sz w:val="21"/>
        </w:rPr>
        <w:t>non-deterministic</w:t>
      </w:r>
      <w:r>
        <w:rPr>
          <w:rFonts w:ascii="Calibri" w:hAnsi="Calibri"/>
          <w:color w:val="222222"/>
          <w:sz w:val="21"/>
        </w:rPr>
        <w:t xml:space="preserve"> results that are difficult to audit or reproduce. As corpus size grows, embedding index costs grow proportionally.</w:t>
      </w:r>
    </w:p>
    <w:p>
      <w:pPr>
        <w:spacing w:before="0" w:after="120" w:line="360" w:lineRule="auto"/>
      </w:pPr>
      <w:r>
        <w:rPr>
          <w:rFonts w:ascii="Calibri" w:hAnsi="Calibri"/>
          <w:color w:val="222222"/>
          <w:sz w:val="21"/>
        </w:rPr>
        <w:t xml:space="preserve">Information Physics takes a fundamentally different position: structured information should be </w:t>
      </w:r>
      <w:r>
        <w:rPr>
          <w:rFonts w:ascii="Calibri" w:hAnsi="Calibri"/>
          <w:b/>
          <w:color w:val="222222"/>
          <w:sz w:val="21"/>
        </w:rPr>
        <w:t>self-describing, explicitly linked</w:t>
      </w:r>
      <w:r>
        <w:rPr>
          <w:rFonts w:ascii="Calibri" w:hAnsi="Calibri"/>
          <w:color w:val="222222"/>
          <w:sz w:val="21"/>
        </w:rPr>
        <w:t xml:space="preserve">, and retrievable through </w:t>
      </w:r>
      <w:r>
        <w:rPr>
          <w:rFonts w:ascii="Calibri" w:hAnsi="Calibri"/>
          <w:b/>
          <w:color w:val="222222"/>
          <w:sz w:val="21"/>
        </w:rPr>
        <w:t>algebraic set operations</w:t>
      </w:r>
      <w:r>
        <w:rPr>
          <w:rFonts w:ascii="Calibri" w:hAnsi="Calibri"/>
          <w:color w:val="222222"/>
          <w:sz w:val="21"/>
        </w:rPr>
        <w:t xml:space="preserve">. This philosophy is grounded in three proprietary reference papers (Papers I, II, III) that define the platform's standard model. The key claim is that a well-formed information structure, when properly indexed, allows a language model to reason from </w:t>
      </w:r>
      <w:r>
        <w:rPr>
          <w:rFonts w:ascii="Calibri" w:hAnsi="Calibri"/>
          <w:b/>
          <w:color w:val="222222"/>
          <w:sz w:val="21"/>
        </w:rPr>
        <w:t>precomputed substrates</w:t>
      </w:r>
      <w:r>
        <w:rPr>
          <w:rFonts w:ascii="Calibri" w:hAnsi="Calibri"/>
          <w:color w:val="222222"/>
          <w:sz w:val="21"/>
        </w:rPr>
        <w:t xml:space="preserve"> — bounded, deterministic context bundles assembled without embedding search — achieving reliable, reproducible, cost-bounded inference.</w:t>
      </w:r>
    </w:p>
    <w:p>
      <w:pPr>
        <w:spacing w:before="240" w:after="40"/>
      </w:pPr>
      <w:r>
        <w:rPr>
          <w:rFonts w:ascii="Calibri" w:hAnsi="Calibri"/>
          <w:b/>
          <w:color w:val="0E6B6B"/>
          <w:sz w:val="22"/>
        </w:rPr>
        <w:t>2.2  The Standard Model — Three-Layer Architecture</w:t>
      </w:r>
    </w:p>
    <w:p>
      <w:pPr>
        <w:spacing w:before="80" w:after="80"/>
        <w:ind w:left="576"/>
        <w:shd w:val="clear" w:color="auto" w:fill="F0F4F8"/>
      </w:pPr>
      <w:r>
        <w:rPr>
          <w:rFonts w:ascii="Courier New" w:hAnsi="Courier New"/>
          <w:color w:val="0F3460"/>
          <w:sz w:val="18"/>
        </w:rPr>
        <w:t xml:space="preserve">  Layer 1 (Atoms):      AIO  →  Self-describing [Key.Value] data objects</w:t>
        <w:br/>
        <w:t xml:space="preserve">  Relational Index:     HSL  →  Precomputed pointer tables linking AIOs</w:t>
        <w:br/>
        <w:t xml:space="preserve">  Layer 2 (Memory):     MRO  →  Episodic AI retrieval records reused as knowledge</w:t>
      </w:r>
    </w:p>
    <w:p>
      <w:pPr>
        <w:spacing w:before="0" w:after="120" w:line="360" w:lineRule="auto"/>
      </w:pPr>
      <w:r>
        <w:rPr>
          <w:rFonts w:ascii="Calibri" w:hAnsi="Calibri"/>
          <w:color w:val="222222"/>
          <w:sz w:val="21"/>
        </w:rPr>
        <w:t xml:space="preserve">Each layer has a specific, non-overlapping role. AIOs are immutable, self-describing atomic records. HSLs are the connective tissue — precomputed maps that identify which AIOs share which element values, enabling </w:t>
      </w:r>
      <w:r>
        <w:rPr>
          <w:rFonts w:ascii="Calibri" w:hAnsi="Calibri"/>
          <w:b/>
          <w:color w:val="222222"/>
          <w:sz w:val="21"/>
        </w:rPr>
        <w:t>O(1) neighborhood lookup</w:t>
      </w:r>
      <w:r>
        <w:rPr>
          <w:rFonts w:ascii="Calibri" w:hAnsi="Calibri"/>
          <w:color w:val="222222"/>
          <w:sz w:val="21"/>
        </w:rPr>
        <w:t xml:space="preserve"> at query time with no recomputation. MROs are </w:t>
      </w:r>
      <w:r>
        <w:rPr>
          <w:rFonts w:ascii="Calibri" w:hAnsi="Calibri"/>
          <w:b/>
          <w:color w:val="222222"/>
          <w:sz w:val="21"/>
        </w:rPr>
        <w:t>institutional memory</w:t>
      </w:r>
      <w:r>
        <w:rPr>
          <w:rFonts w:ascii="Calibri" w:hAnsi="Calibri"/>
          <w:color w:val="222222"/>
          <w:sz w:val="21"/>
        </w:rPr>
        <w:t xml:space="preserve"> — when the AI answers a question, that complete episode (query, traversal path, matched evidence, synthesized answer) is captured as a first-class object and linked back into the HSL graph.</w:t>
      </w:r>
    </w:p>
    <w:p>
      <w:pPr>
        <w:spacing w:before="0" w:after="120" w:line="360" w:lineRule="auto"/>
      </w:pPr>
      <w:r>
        <w:rPr>
          <w:rFonts w:ascii="Calibri" w:hAnsi="Calibri"/>
          <w:color w:val="222222"/>
          <w:sz w:val="21"/>
        </w:rPr>
        <w:t xml:space="preserve">This three-layer approach is novel in the industry. No commercial system combines deterministic set-algebra retrieval with episodic memory linked back into a precomputed semantic index. The combination produces a </w:t>
      </w:r>
      <w:r>
        <w:rPr>
          <w:rFonts w:ascii="Calibri" w:hAnsi="Calibri"/>
          <w:b/>
          <w:color w:val="222222"/>
          <w:sz w:val="21"/>
        </w:rPr>
        <w:t>self-improving knowledge graph</w:t>
      </w:r>
      <w:r>
        <w:rPr>
          <w:rFonts w:ascii="Calibri" w:hAnsi="Calibri"/>
          <w:color w:val="222222"/>
          <w:sz w:val="21"/>
        </w:rPr>
        <w:t>: each answered query, when saved and linked, enriches future answers on related topics without retraining or re-embedding any model.</w:t>
      </w:r>
    </w:p>
    <w:p>
      <w:pPr>
        <w:spacing w:before="360" w:after="80"/>
      </w:pPr>
      <w:r>
        <w:rPr>
          <w:rFonts w:ascii="Calibri" w:hAnsi="Calibri"/>
          <w:b/>
          <w:color w:val="0F3460"/>
          <w:sz w:val="28"/>
        </w:rPr>
        <w:t>3.  Data Model — Technical Specification</w:t>
      </w:r>
    </w:p>
    <w:p>
      <w:pPr>
        <w:pBdr>
          <w:bottom w:val="single" w:sz="12" w:space="1" w:color="0F3460"/>
        </w:pBdr>
        <w:spacing w:before="0" w:after="80"/>
      </w:pPr>
    </w:p>
    <w:p>
      <w:pPr>
        <w:spacing w:before="240" w:after="40"/>
      </w:pPr>
      <w:r>
        <w:rPr>
          <w:rFonts w:ascii="Calibri" w:hAnsi="Calibri"/>
          <w:b/>
          <w:color w:val="0E6B6B"/>
          <w:sz w:val="22"/>
        </w:rPr>
        <w:t>3.1  Associated Information Objects (AIOs)</w:t>
      </w:r>
    </w:p>
    <w:p>
      <w:pPr>
        <w:spacing w:before="0" w:after="120" w:line="360" w:lineRule="auto"/>
      </w:pPr>
      <w:r>
        <w:rPr>
          <w:rFonts w:ascii="Calibri" w:hAnsi="Calibri"/>
          <w:color w:val="222222"/>
          <w:sz w:val="21"/>
        </w:rPr>
        <w:t xml:space="preserve">AIOs are the atomic unit of the platform. Each AIO is a structured record in </w:t>
      </w:r>
      <w:r>
        <w:rPr>
          <w:rFonts w:ascii="Calibri" w:hAnsi="Calibri"/>
          <w:b/>
          <w:color w:val="222222"/>
          <w:sz w:val="21"/>
        </w:rPr>
        <w:t>[Key.Value]</w:t>
      </w:r>
      <w:r>
        <w:rPr>
          <w:rFonts w:ascii="Calibri" w:hAnsi="Calibri"/>
          <w:color w:val="222222"/>
          <w:sz w:val="21"/>
        </w:rPr>
        <w:t xml:space="preserve"> bracket notation — a self-describing format that makes every field and its value unambiguous without requiring a separate schema lookup. AIOs are created automatically when CSV files are uploaded; each row becomes one AIO, column headers become field names, and values are stored in up to </w:t>
      </w:r>
      <w:r>
        <w:rPr>
          <w:rFonts w:ascii="Calibri" w:hAnsi="Calibri"/>
          <w:b/>
          <w:color w:val="222222"/>
          <w:sz w:val="21"/>
        </w:rPr>
        <w:t>50 named element slots</w:t>
      </w:r>
      <w:r>
        <w:rPr>
          <w:rFonts w:ascii="Calibri" w:hAnsi="Calibri"/>
          <w:color w:val="222222"/>
          <w:sz w:val="21"/>
        </w:rPr>
        <w:t>.</w:t>
      </w:r>
    </w:p>
    <w:tbl>
      <w:tblPr>
        <w:tblStyle w:val="TableGrid"/>
        <w:tblW w:type="auto" w:w="0"/>
        <w:tblLook w:firstColumn="1" w:firstRow="1" w:lastColumn="0" w:lastRow="0" w:noHBand="0" w:noVBand="1" w:val="04A0"/>
      </w:tblPr>
      <w:tblGrid>
        <w:gridCol w:w="4392"/>
        <w:gridCol w:w="4392"/>
      </w:tblGrid>
      <w:tr>
        <w:tc>
          <w:tcPr>
            <w:tcW w:type="dxa" w:w="3168"/>
            <w:shd w:val="clear" w:color="auto" w:fill="0F3460"/>
          </w:tcPr>
          <w:p>
            <w:pPr>
              <w:jc w:val="center"/>
            </w:pPr>
            <w:r/>
            <w:r>
              <w:rPr>
                <w:rFonts w:ascii="Calibri" w:hAnsi="Calibri"/>
                <w:b/>
                <w:color w:val="FFFFFF"/>
                <w:sz w:val="20"/>
              </w:rPr>
              <w:t>Property</w:t>
            </w:r>
          </w:p>
        </w:tc>
        <w:tc>
          <w:tcPr>
            <w:tcW w:type="dxa" w:w="5472"/>
            <w:shd w:val="clear" w:color="auto" w:fill="0F3460"/>
          </w:tcPr>
          <w:p>
            <w:pPr>
              <w:jc w:val="center"/>
            </w:pPr>
            <w:r/>
            <w:r>
              <w:rPr>
                <w:rFonts w:ascii="Calibri" w:hAnsi="Calibri"/>
                <w:b/>
                <w:color w:val="FFFFFF"/>
                <w:sz w:val="20"/>
              </w:rPr>
              <w:t>Specification</w:t>
            </w:r>
          </w:p>
        </w:tc>
      </w:tr>
      <w:tr>
        <w:tc>
          <w:tcPr>
            <w:tcW w:type="dxa" w:w="3168"/>
            <w:shd w:val="clear" w:color="auto" w:fill="F5F8FF"/>
          </w:tcPr>
          <w:p>
            <w:r/>
            <w:r>
              <w:rPr>
                <w:rFonts w:ascii="Calibri" w:hAnsi="Calibri"/>
                <w:sz w:val="19"/>
              </w:rPr>
              <w:t>Storage table</w:t>
            </w:r>
          </w:p>
        </w:tc>
        <w:tc>
          <w:tcPr>
            <w:tcW w:type="dxa" w:w="5472"/>
            <w:shd w:val="clear" w:color="auto" w:fill="F5F8FF"/>
          </w:tcPr>
          <w:p>
            <w:r/>
            <w:r>
              <w:rPr>
                <w:rFonts w:ascii="Calibri" w:hAnsi="Calibri"/>
                <w:sz w:val="19"/>
              </w:rPr>
              <w:t>aio_data</w:t>
            </w:r>
          </w:p>
        </w:tc>
      </w:tr>
      <w:tr>
        <w:tc>
          <w:tcPr>
            <w:tcW w:type="dxa" w:w="3168"/>
            <w:shd w:val="clear" w:color="auto" w:fill="FFFFFF"/>
          </w:tcPr>
          <w:p>
            <w:r/>
            <w:r>
              <w:rPr>
                <w:rFonts w:ascii="Calibri" w:hAnsi="Calibri"/>
                <w:sz w:val="19"/>
              </w:rPr>
              <w:t>Element capacity</w:t>
            </w:r>
          </w:p>
        </w:tc>
        <w:tc>
          <w:tcPr>
            <w:tcW w:type="dxa" w:w="5472"/>
            <w:shd w:val="clear" w:color="auto" w:fill="FFFFFF"/>
          </w:tcPr>
          <w:p>
            <w:r/>
            <w:r>
              <w:rPr>
                <w:rFonts w:ascii="Calibri" w:hAnsi="Calibri"/>
                <w:sz w:val="19"/>
              </w:rPr>
              <w:t>50 fields  (element_1 … element_50)</w:t>
            </w:r>
          </w:p>
        </w:tc>
      </w:tr>
      <w:tr>
        <w:tc>
          <w:tcPr>
            <w:tcW w:type="dxa" w:w="3168"/>
            <w:shd w:val="clear" w:color="auto" w:fill="F5F8FF"/>
          </w:tcPr>
          <w:p>
            <w:r/>
            <w:r>
              <w:rPr>
                <w:rFonts w:ascii="Calibri" w:hAnsi="Calibri"/>
                <w:sz w:val="19"/>
              </w:rPr>
              <w:t>Primary key</w:t>
            </w:r>
          </w:p>
        </w:tc>
        <w:tc>
          <w:tcPr>
            <w:tcW w:type="dxa" w:w="5472"/>
            <w:shd w:val="clear" w:color="auto" w:fill="F5F8FF"/>
          </w:tcPr>
          <w:p>
            <w:r/>
            <w:r>
              <w:rPr>
                <w:rFonts w:ascii="Calibri" w:hAnsi="Calibri"/>
                <w:sz w:val="19"/>
              </w:rPr>
              <w:t>UUID  (aio_id)</w:t>
            </w:r>
          </w:p>
        </w:tc>
      </w:tr>
      <w:tr>
        <w:tc>
          <w:tcPr>
            <w:tcW w:type="dxa" w:w="3168"/>
            <w:shd w:val="clear" w:color="auto" w:fill="FFFFFF"/>
          </w:tcPr>
          <w:p>
            <w:r/>
            <w:r>
              <w:rPr>
                <w:rFonts w:ascii="Calibri" w:hAnsi="Calibri"/>
                <w:sz w:val="19"/>
              </w:rPr>
              <w:t>Identifier</w:t>
            </w:r>
          </w:p>
        </w:tc>
        <w:tc>
          <w:tcPr>
            <w:tcW w:type="dxa" w:w="5472"/>
            <w:shd w:val="clear" w:color="auto" w:fill="FFFFFF"/>
          </w:tcPr>
          <w:p>
            <w:r/>
            <w:r>
              <w:rPr>
                <w:rFonts w:ascii="Calibri" w:hAnsi="Calibri"/>
                <w:sz w:val="19"/>
              </w:rPr>
              <w:t>aio_name  (indexed)</w:t>
            </w:r>
          </w:p>
        </w:tc>
      </w:tr>
      <w:tr>
        <w:tc>
          <w:tcPr>
            <w:tcW w:type="dxa" w:w="3168"/>
            <w:shd w:val="clear" w:color="auto" w:fill="F5F8FF"/>
          </w:tcPr>
          <w:p>
            <w:r/>
            <w:r>
              <w:rPr>
                <w:rFonts w:ascii="Calibri" w:hAnsi="Calibri"/>
                <w:sz w:val="19"/>
              </w:rPr>
              <w:t>Source formats</w:t>
            </w:r>
          </w:p>
        </w:tc>
        <w:tc>
          <w:tcPr>
            <w:tcW w:type="dxa" w:w="5472"/>
            <w:shd w:val="clear" w:color="auto" w:fill="F5F8FF"/>
          </w:tcPr>
          <w:p>
            <w:r/>
            <w:r>
              <w:rPr>
                <w:rFonts w:ascii="Calibri" w:hAnsi="Calibri"/>
                <w:sz w:val="19"/>
              </w:rPr>
              <w:t>CSV rows; PDF-extracted structured data</w:t>
            </w:r>
          </w:p>
        </w:tc>
      </w:tr>
      <w:tr>
        <w:tc>
          <w:tcPr>
            <w:tcW w:type="dxa" w:w="3168"/>
            <w:shd w:val="clear" w:color="auto" w:fill="FFFFFF"/>
          </w:tcPr>
          <w:p>
            <w:r/>
            <w:r>
              <w:rPr>
                <w:rFonts w:ascii="Calibri" w:hAnsi="Calibri"/>
                <w:sz w:val="19"/>
              </w:rPr>
              <w:t>Canonical format</w:t>
            </w:r>
          </w:p>
        </w:tc>
        <w:tc>
          <w:tcPr>
            <w:tcW w:type="dxa" w:w="5472"/>
            <w:shd w:val="clear" w:color="auto" w:fill="FFFFFF"/>
          </w:tcPr>
          <w:p>
            <w:r/>
            <w:r>
              <w:rPr>
                <w:rFonts w:ascii="Calibri" w:hAnsi="Calibri"/>
                <w:sz w:val="19"/>
              </w:rPr>
              <w:t>[FieldName.Value][Field2.Value2]…</w:t>
            </w:r>
          </w:p>
        </w:tc>
      </w:tr>
      <w:tr>
        <w:tc>
          <w:tcPr>
            <w:tcW w:type="dxa" w:w="3168"/>
            <w:shd w:val="clear" w:color="auto" w:fill="F5F8FF"/>
          </w:tcPr>
          <w:p>
            <w:r/>
            <w:r>
              <w:rPr>
                <w:rFonts w:ascii="Calibri" w:hAnsi="Calibri"/>
                <w:sz w:val="19"/>
              </w:rPr>
              <w:t>Tenant isolation</w:t>
            </w:r>
          </w:p>
        </w:tc>
        <w:tc>
          <w:tcPr>
            <w:tcW w:type="dxa" w:w="5472"/>
            <w:shd w:val="clear" w:color="auto" w:fill="F5F8FF"/>
          </w:tcPr>
          <w:p>
            <w:r/>
            <w:r>
              <w:rPr>
                <w:rFonts w:ascii="Calibri" w:hAnsi="Calibri"/>
                <w:sz w:val="19"/>
              </w:rPr>
              <w:t>Row-level security via app.tenant_id</w:t>
            </w:r>
          </w:p>
        </w:tc>
      </w:tr>
    </w:tbl>
    <w:p/>
    <w:p>
      <w:pPr>
        <w:spacing w:before="240" w:after="40"/>
      </w:pPr>
      <w:r>
        <w:rPr>
          <w:rFonts w:ascii="Calibri" w:hAnsi="Calibri"/>
          <w:b/>
          <w:color w:val="0E6B6B"/>
          <w:sz w:val="22"/>
        </w:rPr>
        <w:t>3.2  Hyper-Semantic Layer (HSL)</w:t>
      </w:r>
    </w:p>
    <w:p>
      <w:pPr>
        <w:spacing w:before="0" w:after="120" w:line="360" w:lineRule="auto"/>
      </w:pPr>
      <w:r>
        <w:rPr>
          <w:rFonts w:ascii="Calibri" w:hAnsi="Calibri"/>
          <w:color w:val="222222"/>
          <w:sz w:val="21"/>
        </w:rPr>
        <w:t xml:space="preserve">HSLs are the platform's relational index. Each HSL record aggregates all AIOs that share a common element value — creating a precomputed neighborhood for any key/value pair in the corpus. HSL element slots can additionally hold MRO back-links in </w:t>
      </w:r>
      <w:r>
        <w:rPr>
          <w:rFonts w:ascii="Calibri" w:hAnsi="Calibri"/>
          <w:b/>
          <w:color w:val="222222"/>
          <w:sz w:val="21"/>
        </w:rPr>
        <w:t>[MRO.&lt;uuid&gt;]</w:t>
      </w:r>
      <w:r>
        <w:rPr>
          <w:rFonts w:ascii="Calibri" w:hAnsi="Calibri"/>
          <w:color w:val="222222"/>
          <w:sz w:val="21"/>
        </w:rPr>
        <w:t xml:space="preserve"> format, embedding prior retrieval episodes directly into the semantic index. This is the mechanism by which the </w:t>
      </w:r>
      <w:r>
        <w:rPr>
          <w:rFonts w:ascii="Calibri" w:hAnsi="Calibri"/>
          <w:b/>
          <w:color w:val="222222"/>
          <w:sz w:val="21"/>
        </w:rPr>
        <w:t>MRO reuse pipeline</w:t>
      </w:r>
      <w:r>
        <w:rPr>
          <w:rFonts w:ascii="Calibri" w:hAnsi="Calibri"/>
          <w:color w:val="222222"/>
          <w:sz w:val="21"/>
        </w:rPr>
        <w:t xml:space="preserve"> operates.</w:t>
      </w:r>
    </w:p>
    <w:tbl>
      <w:tblPr>
        <w:tblStyle w:val="TableGrid"/>
        <w:tblW w:type="auto" w:w="0"/>
        <w:tblLook w:firstColumn="1" w:firstRow="1" w:lastColumn="0" w:lastRow="0" w:noHBand="0" w:noVBand="1" w:val="04A0"/>
      </w:tblPr>
      <w:tblGrid>
        <w:gridCol w:w="4392"/>
        <w:gridCol w:w="4392"/>
      </w:tblGrid>
      <w:tr>
        <w:tc>
          <w:tcPr>
            <w:tcW w:type="dxa" w:w="3168"/>
            <w:shd w:val="clear" w:color="auto" w:fill="0F3460"/>
          </w:tcPr>
          <w:p>
            <w:pPr>
              <w:jc w:val="center"/>
            </w:pPr>
            <w:r/>
            <w:r>
              <w:rPr>
                <w:rFonts w:ascii="Calibri" w:hAnsi="Calibri"/>
                <w:b/>
                <w:color w:val="FFFFFF"/>
                <w:sz w:val="20"/>
              </w:rPr>
              <w:t>Property</w:t>
            </w:r>
          </w:p>
        </w:tc>
        <w:tc>
          <w:tcPr>
            <w:tcW w:type="dxa" w:w="5472"/>
            <w:shd w:val="clear" w:color="auto" w:fill="0F3460"/>
          </w:tcPr>
          <w:p>
            <w:pPr>
              <w:jc w:val="center"/>
            </w:pPr>
            <w:r/>
            <w:r>
              <w:rPr>
                <w:rFonts w:ascii="Calibri" w:hAnsi="Calibri"/>
                <w:b/>
                <w:color w:val="FFFFFF"/>
                <w:sz w:val="20"/>
              </w:rPr>
              <w:t>Specification</w:t>
            </w:r>
          </w:p>
        </w:tc>
      </w:tr>
      <w:tr>
        <w:tc>
          <w:tcPr>
            <w:tcW w:type="dxa" w:w="3168"/>
            <w:shd w:val="clear" w:color="auto" w:fill="F5F8FF"/>
          </w:tcPr>
          <w:p>
            <w:r/>
            <w:r>
              <w:rPr>
                <w:rFonts w:ascii="Calibri" w:hAnsi="Calibri"/>
                <w:sz w:val="19"/>
              </w:rPr>
              <w:t>Storage table</w:t>
            </w:r>
          </w:p>
        </w:tc>
        <w:tc>
          <w:tcPr>
            <w:tcW w:type="dxa" w:w="5472"/>
            <w:shd w:val="clear" w:color="auto" w:fill="F5F8FF"/>
          </w:tcPr>
          <w:p>
            <w:r/>
            <w:r>
              <w:rPr>
                <w:rFonts w:ascii="Calibri" w:hAnsi="Calibri"/>
                <w:sz w:val="19"/>
              </w:rPr>
              <w:t>hsl_data</w:t>
            </w:r>
          </w:p>
        </w:tc>
      </w:tr>
      <w:tr>
        <w:tc>
          <w:tcPr>
            <w:tcW w:type="dxa" w:w="3168"/>
            <w:shd w:val="clear" w:color="auto" w:fill="FFFFFF"/>
          </w:tcPr>
          <w:p>
            <w:r/>
            <w:r>
              <w:rPr>
                <w:rFonts w:ascii="Calibri" w:hAnsi="Calibri"/>
                <w:sz w:val="19"/>
              </w:rPr>
              <w:t>Element capacity</w:t>
            </w:r>
          </w:p>
        </w:tc>
        <w:tc>
          <w:tcPr>
            <w:tcW w:type="dxa" w:w="5472"/>
            <w:shd w:val="clear" w:color="auto" w:fill="FFFFFF"/>
          </w:tcPr>
          <w:p>
            <w:r/>
            <w:r>
              <w:rPr>
                <w:rFonts w:ascii="Calibri" w:hAnsi="Calibri"/>
                <w:sz w:val="19"/>
              </w:rPr>
              <w:t>100 pointer slots  (hsl_element_1 … hsl_element_100)</w:t>
            </w:r>
          </w:p>
        </w:tc>
      </w:tr>
      <w:tr>
        <w:tc>
          <w:tcPr>
            <w:tcW w:type="dxa" w:w="3168"/>
            <w:shd w:val="clear" w:color="auto" w:fill="F5F8FF"/>
          </w:tcPr>
          <w:p>
            <w:r/>
            <w:r>
              <w:rPr>
                <w:rFonts w:ascii="Calibri" w:hAnsi="Calibri"/>
                <w:sz w:val="19"/>
              </w:rPr>
              <w:t>Primary key</w:t>
            </w:r>
          </w:p>
        </w:tc>
        <w:tc>
          <w:tcPr>
            <w:tcW w:type="dxa" w:w="5472"/>
            <w:shd w:val="clear" w:color="auto" w:fill="F5F8FF"/>
          </w:tcPr>
          <w:p>
            <w:r/>
            <w:r>
              <w:rPr>
                <w:rFonts w:ascii="Calibri" w:hAnsi="Calibri"/>
                <w:sz w:val="19"/>
              </w:rPr>
              <w:t>UUID  (hsl_id)</w:t>
            </w:r>
          </w:p>
        </w:tc>
      </w:tr>
      <w:tr>
        <w:tc>
          <w:tcPr>
            <w:tcW w:type="dxa" w:w="3168"/>
            <w:shd w:val="clear" w:color="auto" w:fill="FFFFFF"/>
          </w:tcPr>
          <w:p>
            <w:r/>
            <w:r>
              <w:rPr>
                <w:rFonts w:ascii="Calibri" w:hAnsi="Calibri"/>
                <w:sz w:val="19"/>
              </w:rPr>
              <w:t>Content</w:t>
            </w:r>
          </w:p>
        </w:tc>
        <w:tc>
          <w:tcPr>
            <w:tcW w:type="dxa" w:w="5472"/>
            <w:shd w:val="clear" w:color="auto" w:fill="FFFFFF"/>
          </w:tcPr>
          <w:p>
            <w:r/>
            <w:r>
              <w:rPr>
                <w:rFonts w:ascii="Calibri" w:hAnsi="Calibri"/>
                <w:sz w:val="19"/>
              </w:rPr>
              <w:t>AIO references, MRO back-links [MRO.&lt;uuid&gt;], relationship metadata</w:t>
            </w:r>
          </w:p>
        </w:tc>
      </w:tr>
      <w:tr>
        <w:tc>
          <w:tcPr>
            <w:tcW w:type="dxa" w:w="3168"/>
            <w:shd w:val="clear" w:color="auto" w:fill="F5F8FF"/>
          </w:tcPr>
          <w:p>
            <w:r/>
            <w:r>
              <w:rPr>
                <w:rFonts w:ascii="Calibri" w:hAnsi="Calibri"/>
                <w:sz w:val="19"/>
              </w:rPr>
              <w:t>Generation</w:t>
            </w:r>
          </w:p>
        </w:tc>
        <w:tc>
          <w:tcPr>
            <w:tcW w:type="dxa" w:w="5472"/>
            <w:shd w:val="clear" w:color="auto" w:fill="F5F8FF"/>
          </w:tcPr>
          <w:p>
            <w:r/>
            <w:r>
              <w:rPr>
                <w:rFonts w:ascii="Calibri" w:hAnsi="Calibri"/>
                <w:sz w:val="19"/>
              </w:rPr>
              <w:t>Manual (Semantic Processor) or auto-rebuild from full AIO corpus</w:t>
            </w:r>
          </w:p>
        </w:tc>
      </w:tr>
      <w:tr>
        <w:tc>
          <w:tcPr>
            <w:tcW w:type="dxa" w:w="3168"/>
            <w:shd w:val="clear" w:color="auto" w:fill="FFFFFF"/>
          </w:tcPr>
          <w:p>
            <w:r/>
            <w:r>
              <w:rPr>
                <w:rFonts w:ascii="Calibri" w:hAnsi="Calibri"/>
                <w:sz w:val="19"/>
              </w:rPr>
              <w:t>Lookup cost</w:t>
            </w:r>
          </w:p>
        </w:tc>
        <w:tc>
          <w:tcPr>
            <w:tcW w:type="dxa" w:w="5472"/>
            <w:shd w:val="clear" w:color="auto" w:fill="FFFFFF"/>
          </w:tcPr>
          <w:p>
            <w:r/>
            <w:r>
              <w:rPr>
                <w:rFonts w:ascii="Calibri" w:hAnsi="Calibri"/>
                <w:sz w:val="19"/>
              </w:rPr>
              <w:t>Substring search O(HSL_count × 100) — no index recompute</w:t>
            </w:r>
          </w:p>
        </w:tc>
      </w:tr>
    </w:tbl>
    <w:p/>
    <w:p>
      <w:pPr>
        <w:spacing w:before="240" w:after="40"/>
      </w:pPr>
      <w:r>
        <w:rPr>
          <w:rFonts w:ascii="Calibri" w:hAnsi="Calibri"/>
          <w:b/>
          <w:color w:val="0E6B6B"/>
          <w:sz w:val="22"/>
        </w:rPr>
        <w:t>3.3  Memory Result Objects (MROs)</w:t>
      </w:r>
    </w:p>
    <w:p>
      <w:pPr>
        <w:spacing w:before="0" w:after="120" w:line="360" w:lineRule="auto"/>
      </w:pPr>
      <w:r>
        <w:rPr>
          <w:rFonts w:ascii="Calibri" w:hAnsi="Calibri"/>
          <w:color w:val="222222"/>
          <w:sz w:val="21"/>
        </w:rPr>
        <w:t xml:space="preserve">MROs are episodic records of complete AI retrieval sessions. Every ChatAIO response can be saved as an MRO capturing the </w:t>
      </w:r>
      <w:r>
        <w:rPr>
          <w:rFonts w:ascii="Calibri" w:hAnsi="Calibri"/>
          <w:b/>
          <w:color w:val="222222"/>
          <w:sz w:val="21"/>
        </w:rPr>
        <w:t>full episode</w:t>
      </w:r>
      <w:r>
        <w:rPr>
          <w:rFonts w:ascii="Calibri" w:hAnsi="Calibri"/>
          <w:color w:val="222222"/>
          <w:sz w:val="21"/>
        </w:rPr>
        <w:t xml:space="preserve">: the original natural-language query, the parsed cue set, the HSL traversal path, the AIO evidence bundle, and the synthesized answer. Once saved, an MRO can be embedded in HSL element slots, causing future queries that traverse those HSLs to surface the prior answer as </w:t>
      </w:r>
      <w:r>
        <w:rPr>
          <w:rFonts w:ascii="Calibri" w:hAnsi="Calibri"/>
          <w:b/>
          <w:color w:val="222222"/>
          <w:sz w:val="21"/>
        </w:rPr>
        <w:t>Tier-1 context</w:t>
      </w:r>
      <w:r>
        <w:rPr>
          <w:rFonts w:ascii="Calibri" w:hAnsi="Calibri"/>
          <w:color w:val="222222"/>
          <w:sz w:val="21"/>
        </w:rPr>
        <w:t>.</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0F3460"/>
          </w:tcPr>
          <w:p>
            <w:pPr>
              <w:jc w:val="center"/>
            </w:pPr>
            <w:r/>
            <w:r>
              <w:rPr>
                <w:rFonts w:ascii="Calibri" w:hAnsi="Calibri"/>
                <w:b/>
                <w:color w:val="FFFFFF"/>
                <w:sz w:val="20"/>
              </w:rPr>
              <w:t>Column</w:t>
            </w:r>
          </w:p>
        </w:tc>
        <w:tc>
          <w:tcPr>
            <w:tcW w:type="dxa" w:w="1728"/>
            <w:shd w:val="clear" w:color="auto" w:fill="0F3460"/>
          </w:tcPr>
          <w:p>
            <w:pPr>
              <w:jc w:val="center"/>
            </w:pPr>
            <w:r/>
            <w:r>
              <w:rPr>
                <w:rFonts w:ascii="Calibri" w:hAnsi="Calibri"/>
                <w:b/>
                <w:color w:val="FFFFFF"/>
                <w:sz w:val="20"/>
              </w:rPr>
              <w:t>Type</w:t>
            </w:r>
          </w:p>
        </w:tc>
        <w:tc>
          <w:tcPr>
            <w:tcW w:type="dxa" w:w="4320"/>
            <w:shd w:val="clear" w:color="auto" w:fill="0F3460"/>
          </w:tcPr>
          <w:p>
            <w:pPr>
              <w:jc w:val="center"/>
            </w:pPr>
            <w:r/>
            <w:r>
              <w:rPr>
                <w:rFonts w:ascii="Calibri" w:hAnsi="Calibri"/>
                <w:b/>
                <w:color w:val="FFFFFF"/>
                <w:sz w:val="20"/>
              </w:rPr>
              <w:t>Description</w:t>
            </w:r>
          </w:p>
        </w:tc>
      </w:tr>
      <w:tr>
        <w:tc>
          <w:tcPr>
            <w:tcW w:type="dxa" w:w="2592"/>
            <w:shd w:val="clear" w:color="auto" w:fill="F5F8FF"/>
          </w:tcPr>
          <w:p>
            <w:r/>
            <w:r>
              <w:rPr>
                <w:rFonts w:ascii="Calibri" w:hAnsi="Calibri"/>
                <w:sz w:val="19"/>
              </w:rPr>
              <w:t>mro_id</w:t>
            </w:r>
          </w:p>
        </w:tc>
        <w:tc>
          <w:tcPr>
            <w:tcW w:type="dxa" w:w="1728"/>
            <w:shd w:val="clear" w:color="auto" w:fill="F5F8FF"/>
          </w:tcPr>
          <w:p>
            <w:r/>
            <w:r>
              <w:rPr>
                <w:rFonts w:ascii="Calibri" w:hAnsi="Calibri"/>
                <w:sz w:val="19"/>
              </w:rPr>
              <w:t>UUID PK</w:t>
            </w:r>
          </w:p>
        </w:tc>
        <w:tc>
          <w:tcPr>
            <w:tcW w:type="dxa" w:w="4320"/>
            <w:shd w:val="clear" w:color="auto" w:fill="F5F8FF"/>
          </w:tcPr>
          <w:p>
            <w:r/>
            <w:r>
              <w:rPr>
                <w:rFonts w:ascii="Calibri" w:hAnsi="Calibri"/>
                <w:sz w:val="19"/>
              </w:rPr>
              <w:t>Primary identifier</w:t>
            </w:r>
          </w:p>
        </w:tc>
      </w:tr>
      <w:tr>
        <w:tc>
          <w:tcPr>
            <w:tcW w:type="dxa" w:w="2592"/>
            <w:shd w:val="clear" w:color="auto" w:fill="FFFFFF"/>
          </w:tcPr>
          <w:p>
            <w:r/>
            <w:r>
              <w:rPr>
                <w:rFonts w:ascii="Calibri" w:hAnsi="Calibri"/>
                <w:sz w:val="19"/>
              </w:rPr>
              <w:t>mro_key</w:t>
            </w:r>
          </w:p>
        </w:tc>
        <w:tc>
          <w:tcPr>
            <w:tcW w:type="dxa" w:w="1728"/>
            <w:shd w:val="clear" w:color="auto" w:fill="FFFFFF"/>
          </w:tcPr>
          <w:p>
            <w:r/>
            <w:r>
              <w:rPr>
                <w:rFonts w:ascii="Calibri" w:hAnsi="Calibri"/>
                <w:sz w:val="19"/>
              </w:rPr>
              <w:t>text indexed</w:t>
            </w:r>
          </w:p>
        </w:tc>
        <w:tc>
          <w:tcPr>
            <w:tcW w:type="dxa" w:w="4320"/>
            <w:shd w:val="clear" w:color="auto" w:fill="FFFFFF"/>
          </w:tcPr>
          <w:p>
            <w:r/>
            <w:r>
              <w:rPr>
                <w:rFonts w:ascii="Calibri" w:hAnsi="Calibri"/>
                <w:sz w:val="19"/>
              </w:rPr>
              <w:t>Format: mro-{timestamp}-{random}</w:t>
            </w:r>
          </w:p>
        </w:tc>
      </w:tr>
      <w:tr>
        <w:tc>
          <w:tcPr>
            <w:tcW w:type="dxa" w:w="2592"/>
            <w:shd w:val="clear" w:color="auto" w:fill="F5F8FF"/>
          </w:tcPr>
          <w:p>
            <w:r/>
            <w:r>
              <w:rPr>
                <w:rFonts w:ascii="Calibri" w:hAnsi="Calibri"/>
                <w:sz w:val="19"/>
              </w:rPr>
              <w:t>query_text</w:t>
            </w:r>
          </w:p>
        </w:tc>
        <w:tc>
          <w:tcPr>
            <w:tcW w:type="dxa" w:w="1728"/>
            <w:shd w:val="clear" w:color="auto" w:fill="F5F8FF"/>
          </w:tcPr>
          <w:p>
            <w:r/>
            <w:r>
              <w:rPr>
                <w:rFonts w:ascii="Calibri" w:hAnsi="Calibri"/>
                <w:sz w:val="19"/>
              </w:rPr>
              <w:t>text</w:t>
            </w:r>
          </w:p>
        </w:tc>
        <w:tc>
          <w:tcPr>
            <w:tcW w:type="dxa" w:w="4320"/>
            <w:shd w:val="clear" w:color="auto" w:fill="F5F8FF"/>
          </w:tcPr>
          <w:p>
            <w:r/>
            <w:r>
              <w:rPr>
                <w:rFonts w:ascii="Calibri" w:hAnsi="Calibri"/>
                <w:sz w:val="19"/>
              </w:rPr>
              <w:t>Original natural-language query</w:t>
            </w:r>
          </w:p>
        </w:tc>
      </w:tr>
      <w:tr>
        <w:tc>
          <w:tcPr>
            <w:tcW w:type="dxa" w:w="2592"/>
            <w:shd w:val="clear" w:color="auto" w:fill="FFFFFF"/>
          </w:tcPr>
          <w:p>
            <w:r/>
            <w:r>
              <w:rPr>
                <w:rFonts w:ascii="Calibri" w:hAnsi="Calibri"/>
                <w:sz w:val="19"/>
              </w:rPr>
              <w:t>search_terms</w:t>
            </w:r>
          </w:p>
        </w:tc>
        <w:tc>
          <w:tcPr>
            <w:tcW w:type="dxa" w:w="1728"/>
            <w:shd w:val="clear" w:color="auto" w:fill="FFFFFF"/>
          </w:tcPr>
          <w:p>
            <w:r/>
            <w:r>
              <w:rPr>
                <w:rFonts w:ascii="Calibri" w:hAnsi="Calibri"/>
                <w:sz w:val="19"/>
              </w:rPr>
              <w:t>JSONB</w:t>
            </w:r>
          </w:p>
        </w:tc>
        <w:tc>
          <w:tcPr>
            <w:tcW w:type="dxa" w:w="4320"/>
            <w:shd w:val="clear" w:color="auto" w:fill="FFFFFF"/>
          </w:tcPr>
          <w:p>
            <w:r/>
            <w:r>
              <w:rPr>
                <w:rFonts w:ascii="Calibri" w:hAnsi="Calibri"/>
                <w:sz w:val="19"/>
              </w:rPr>
              <w:t>Parsed field/value cue set</w:t>
            </w:r>
          </w:p>
        </w:tc>
      </w:tr>
      <w:tr>
        <w:tc>
          <w:tcPr>
            <w:tcW w:type="dxa" w:w="2592"/>
            <w:shd w:val="clear" w:color="auto" w:fill="F5F8FF"/>
          </w:tcPr>
          <w:p>
            <w:r/>
            <w:r>
              <w:rPr>
                <w:rFonts w:ascii="Calibri" w:hAnsi="Calibri"/>
                <w:sz w:val="19"/>
              </w:rPr>
              <w:t>result_text</w:t>
            </w:r>
          </w:p>
        </w:tc>
        <w:tc>
          <w:tcPr>
            <w:tcW w:type="dxa" w:w="1728"/>
            <w:shd w:val="clear" w:color="auto" w:fill="F5F8FF"/>
          </w:tcPr>
          <w:p>
            <w:r/>
            <w:r>
              <w:rPr>
                <w:rFonts w:ascii="Calibri" w:hAnsi="Calibri"/>
                <w:sz w:val="19"/>
              </w:rPr>
              <w:t>text</w:t>
            </w:r>
          </w:p>
        </w:tc>
        <w:tc>
          <w:tcPr>
            <w:tcW w:type="dxa" w:w="4320"/>
            <w:shd w:val="clear" w:color="auto" w:fill="F5F8FF"/>
          </w:tcPr>
          <w:p>
            <w:r/>
            <w:r>
              <w:rPr>
                <w:rFonts w:ascii="Calibri" w:hAnsi="Calibri"/>
                <w:sz w:val="19"/>
              </w:rPr>
              <w:t>LLM synthesized answer</w:t>
            </w:r>
          </w:p>
        </w:tc>
      </w:tr>
      <w:tr>
        <w:tc>
          <w:tcPr>
            <w:tcW w:type="dxa" w:w="2592"/>
            <w:shd w:val="clear" w:color="auto" w:fill="FFFFFF"/>
          </w:tcPr>
          <w:p>
            <w:r/>
            <w:r>
              <w:rPr>
                <w:rFonts w:ascii="Calibri" w:hAnsi="Calibri"/>
                <w:sz w:val="19"/>
              </w:rPr>
              <w:t>context_bundle</w:t>
            </w:r>
          </w:p>
        </w:tc>
        <w:tc>
          <w:tcPr>
            <w:tcW w:type="dxa" w:w="1728"/>
            <w:shd w:val="clear" w:color="auto" w:fill="FFFFFF"/>
          </w:tcPr>
          <w:p>
            <w:r/>
            <w:r>
              <w:rPr>
                <w:rFonts w:ascii="Calibri" w:hAnsi="Calibri"/>
                <w:sz w:val="19"/>
              </w:rPr>
              <w:t>text</w:t>
            </w:r>
          </w:p>
        </w:tc>
        <w:tc>
          <w:tcPr>
            <w:tcW w:type="dxa" w:w="4320"/>
            <w:shd w:val="clear" w:color="auto" w:fill="FFFFFF"/>
          </w:tcPr>
          <w:p>
            <w:r/>
            <w:r>
              <w:rPr>
                <w:rFonts w:ascii="Calibri" w:hAnsi="Calibri"/>
                <w:sz w:val="19"/>
              </w:rPr>
              <w:t>Full serialized AIO evidence used</w:t>
            </w:r>
          </w:p>
        </w:tc>
      </w:tr>
      <w:tr>
        <w:tc>
          <w:tcPr>
            <w:tcW w:type="dxa" w:w="2592"/>
            <w:shd w:val="clear" w:color="auto" w:fill="F5F8FF"/>
          </w:tcPr>
          <w:p>
            <w:r/>
            <w:r>
              <w:rPr>
                <w:rFonts w:ascii="Calibri" w:hAnsi="Calibri"/>
                <w:sz w:val="19"/>
              </w:rPr>
              <w:t>seed_hsls</w:t>
            </w:r>
          </w:p>
        </w:tc>
        <w:tc>
          <w:tcPr>
            <w:tcW w:type="dxa" w:w="1728"/>
            <w:shd w:val="clear" w:color="auto" w:fill="F5F8FF"/>
          </w:tcPr>
          <w:p>
            <w:r/>
            <w:r>
              <w:rPr>
                <w:rFonts w:ascii="Calibri" w:hAnsi="Calibri"/>
                <w:sz w:val="19"/>
              </w:rPr>
              <w:t>text</w:t>
            </w:r>
          </w:p>
        </w:tc>
        <w:tc>
          <w:tcPr>
            <w:tcW w:type="dxa" w:w="4320"/>
            <w:shd w:val="clear" w:color="auto" w:fill="F5F8FF"/>
          </w:tcPr>
          <w:p>
            <w:r/>
            <w:r>
              <w:rPr>
                <w:rFonts w:ascii="Calibri" w:hAnsi="Calibri"/>
                <w:sz w:val="19"/>
              </w:rPr>
              <w:t>Pipe-separated HSL names/IDs traversed</w:t>
            </w:r>
          </w:p>
        </w:tc>
      </w:tr>
      <w:tr>
        <w:tc>
          <w:tcPr>
            <w:tcW w:type="dxa" w:w="2592"/>
            <w:shd w:val="clear" w:color="auto" w:fill="FFFFFF"/>
          </w:tcPr>
          <w:p>
            <w:r/>
            <w:r>
              <w:rPr>
                <w:rFonts w:ascii="Calibri" w:hAnsi="Calibri"/>
                <w:sz w:val="19"/>
              </w:rPr>
              <w:t>matched_aios_count</w:t>
            </w:r>
          </w:p>
        </w:tc>
        <w:tc>
          <w:tcPr>
            <w:tcW w:type="dxa" w:w="1728"/>
            <w:shd w:val="clear" w:color="auto" w:fill="FFFFFF"/>
          </w:tcPr>
          <w:p>
            <w:r/>
            <w:r>
              <w:rPr>
                <w:rFonts w:ascii="Calibri" w:hAnsi="Calibri"/>
                <w:sz w:val="19"/>
              </w:rPr>
              <w:t>integer</w:t>
            </w:r>
          </w:p>
        </w:tc>
        <w:tc>
          <w:tcPr>
            <w:tcW w:type="dxa" w:w="4320"/>
            <w:shd w:val="clear" w:color="auto" w:fill="FFFFFF"/>
          </w:tcPr>
          <w:p>
            <w:r/>
            <w:r>
              <w:rPr>
                <w:rFonts w:ascii="Calibri" w:hAnsi="Calibri"/>
                <w:sz w:val="19"/>
              </w:rPr>
              <w:t>Traversal cost metric</w:t>
            </w:r>
          </w:p>
        </w:tc>
      </w:tr>
      <w:tr>
        <w:tc>
          <w:tcPr>
            <w:tcW w:type="dxa" w:w="2592"/>
            <w:shd w:val="clear" w:color="auto" w:fill="F5F8FF"/>
          </w:tcPr>
          <w:p>
            <w:r/>
            <w:r>
              <w:rPr>
                <w:rFonts w:ascii="Calibri" w:hAnsi="Calibri"/>
                <w:sz w:val="19"/>
              </w:rPr>
              <w:t>confidence</w:t>
            </w:r>
          </w:p>
        </w:tc>
        <w:tc>
          <w:tcPr>
            <w:tcW w:type="dxa" w:w="1728"/>
            <w:shd w:val="clear" w:color="auto" w:fill="F5F8FF"/>
          </w:tcPr>
          <w:p>
            <w:r/>
            <w:r>
              <w:rPr>
                <w:rFonts w:ascii="Calibri" w:hAnsi="Calibri"/>
                <w:sz w:val="19"/>
              </w:rPr>
              <w:t>text</w:t>
            </w:r>
          </w:p>
        </w:tc>
        <w:tc>
          <w:tcPr>
            <w:tcW w:type="dxa" w:w="4320"/>
            <w:shd w:val="clear" w:color="auto" w:fill="F5F8FF"/>
          </w:tcPr>
          <w:p>
            <w:r/>
            <w:r>
              <w:rPr>
                <w:rFonts w:ascii="Calibri" w:hAnsi="Calibri"/>
                <w:sz w:val="19"/>
              </w:rPr>
              <w:t>'derived' or numeric 0..1</w:t>
            </w:r>
          </w:p>
        </w:tc>
      </w:tr>
      <w:tr>
        <w:tc>
          <w:tcPr>
            <w:tcW w:type="dxa" w:w="2592"/>
            <w:shd w:val="clear" w:color="auto" w:fill="FFFFFF"/>
          </w:tcPr>
          <w:p>
            <w:r/>
            <w:r>
              <w:rPr>
                <w:rFonts w:ascii="Calibri" w:hAnsi="Calibri"/>
                <w:sz w:val="19"/>
              </w:rPr>
              <w:t>tenant_id</w:t>
            </w:r>
          </w:p>
        </w:tc>
        <w:tc>
          <w:tcPr>
            <w:tcW w:type="dxa" w:w="1728"/>
            <w:shd w:val="clear" w:color="auto" w:fill="FFFFFF"/>
          </w:tcPr>
          <w:p>
            <w:r/>
            <w:r>
              <w:rPr>
                <w:rFonts w:ascii="Calibri" w:hAnsi="Calibri"/>
                <w:sz w:val="19"/>
              </w:rPr>
              <w:t>text</w:t>
            </w:r>
          </w:p>
        </w:tc>
        <w:tc>
          <w:tcPr>
            <w:tcW w:type="dxa" w:w="4320"/>
            <w:shd w:val="clear" w:color="auto" w:fill="FFFFFF"/>
          </w:tcPr>
          <w:p>
            <w:r/>
            <w:r>
              <w:rPr>
                <w:rFonts w:ascii="Calibri" w:hAnsi="Calibri"/>
                <w:sz w:val="19"/>
              </w:rPr>
              <w:t>Tenant isolation key</w:t>
            </w:r>
          </w:p>
        </w:tc>
      </w:tr>
    </w:tbl>
    <w:p/>
    <w:p>
      <w:pPr>
        <w:spacing w:before="0" w:after="120" w:line="360" w:lineRule="auto"/>
      </w:pPr>
      <w:r>
        <w:rPr>
          <w:rFonts w:ascii="Calibri" w:hAnsi="Calibri"/>
          <w:b/>
          <w:color w:val="222222"/>
          <w:sz w:val="21"/>
        </w:rPr>
        <w:t>MRO Ranking Formula</w:t>
      </w:r>
      <w:r>
        <w:rPr>
          <w:rFonts w:ascii="Calibri" w:hAnsi="Calibri"/>
          <w:color w:val="222222"/>
          <w:sz w:val="21"/>
        </w:rPr>
        <w:t xml:space="preserve"> — Prior MROs are ranked for injection by compound relevance score:</w:t>
      </w:r>
    </w:p>
    <w:p>
      <w:pPr>
        <w:spacing w:before="80" w:after="80"/>
        <w:ind w:left="576"/>
        <w:shd w:val="clear" w:color="auto" w:fill="F0F4F8"/>
      </w:pPr>
      <w:r>
        <w:rPr>
          <w:rFonts w:ascii="Courier New" w:hAnsi="Courier New"/>
          <w:color w:val="0F3460"/>
          <w:sz w:val="18"/>
        </w:rPr>
        <w:t xml:space="preserve">  score = Jaccard( K_query , K_mro ) × exp( −λ · age_days ) × confidence_m</w:t>
        <w:br/>
        <w:br/>
        <w:t xml:space="preserve">  where  K_query = cue set of the current query</w:t>
        <w:br/>
        <w:t xml:space="preserve">         K_mro   = cue set captured at MRO creation</w:t>
        <w:br/>
        <w:t xml:space="preserve">         λ       = freshness decay constant</w:t>
        <w:br/>
        <w:t xml:space="preserve">         confidence_m = MRO confidence rating</w:t>
      </w:r>
    </w:p>
    <w:p>
      <w:pPr>
        <w:spacing w:before="360" w:after="80"/>
      </w:pPr>
      <w:r>
        <w:rPr>
          <w:rFonts w:ascii="Calibri" w:hAnsi="Calibri"/>
          <w:b/>
          <w:color w:val="0F3460"/>
          <w:sz w:val="28"/>
        </w:rPr>
        <w:t>4.  AI Search and Retrieval Architecture</w:t>
      </w:r>
    </w:p>
    <w:p>
      <w:pPr>
        <w:pBdr>
          <w:bottom w:val="single" w:sz="12" w:space="1" w:color="0F3460"/>
        </w:pBdr>
        <w:spacing w:before="0" w:after="80"/>
      </w:pPr>
    </w:p>
    <w:p>
      <w:pPr>
        <w:spacing w:before="0" w:after="120" w:line="360" w:lineRule="auto"/>
      </w:pPr>
      <w:r>
        <w:rPr>
          <w:rFonts w:ascii="Calibri" w:hAnsi="Calibri"/>
          <w:color w:val="222222"/>
          <w:sz w:val="21"/>
        </w:rPr>
        <w:t>The platform implements three distinct search modes, each offering a different cost/precision profile. All three modes share the same conversational thread in the ChatAIO interface.</w:t>
      </w:r>
    </w:p>
    <w:p>
      <w:pPr>
        <w:spacing w:before="240" w:after="40"/>
      </w:pPr>
      <w:r>
        <w:rPr>
          <w:rFonts w:ascii="Calibri" w:hAnsi="Calibri"/>
          <w:b/>
          <w:color w:val="0E6B6B"/>
          <w:sz w:val="22"/>
        </w:rPr>
        <w:t>4.1  Mode 1 — Broad Chat</w:t>
      </w:r>
    </w:p>
    <w:p>
      <w:pPr>
        <w:spacing w:before="0" w:after="120" w:line="360" w:lineRule="auto"/>
      </w:pPr>
      <w:r>
        <w:rPr>
          <w:rFonts w:ascii="Calibri" w:hAnsi="Calibri"/>
          <w:color w:val="222222"/>
          <w:sz w:val="21"/>
        </w:rPr>
        <w:t>The full AIO corpus (up to 300 AIO lines) and HSL graph (up to 10 HSL blocks) are fetched from the database and injected as the Claude system prompt. Suitable for exploratory queries across the full dataset. Token cost is high and fixed — the entire corpus is sent on every request regardless of query specificity.</w:t>
      </w:r>
    </w:p>
    <w:tbl>
      <w:tblPr>
        <w:tblStyle w:val="TableGrid"/>
        <w:tblW w:type="auto" w:w="0"/>
        <w:tblLook w:firstColumn="1" w:firstRow="1" w:lastColumn="0" w:lastRow="0" w:noHBand="0" w:noVBand="1" w:val="04A0"/>
      </w:tblPr>
      <w:tblGrid>
        <w:gridCol w:w="4392"/>
        <w:gridCol w:w="4392"/>
      </w:tblGrid>
      <w:tr>
        <w:tc>
          <w:tcPr>
            <w:tcW w:type="dxa" w:w="2880"/>
            <w:shd w:val="clear" w:color="auto" w:fill="0F3460"/>
          </w:tcPr>
          <w:p>
            <w:pPr>
              <w:jc w:val="center"/>
            </w:pPr>
            <w:r/>
            <w:r>
              <w:rPr>
                <w:rFonts w:ascii="Calibri" w:hAnsi="Calibri"/>
                <w:b/>
                <w:color w:val="FFFFFF"/>
                <w:sz w:val="20"/>
              </w:rPr>
              <w:t>Attribute</w:t>
            </w:r>
          </w:p>
        </w:tc>
        <w:tc>
          <w:tcPr>
            <w:tcW w:type="dxa" w:w="5760"/>
            <w:shd w:val="clear" w:color="auto" w:fill="0F3460"/>
          </w:tcPr>
          <w:p>
            <w:pPr>
              <w:jc w:val="center"/>
            </w:pPr>
            <w:r/>
            <w:r>
              <w:rPr>
                <w:rFonts w:ascii="Calibri" w:hAnsi="Calibri"/>
                <w:b/>
                <w:color w:val="FFFFFF"/>
                <w:sz w:val="20"/>
              </w:rPr>
              <w:t>Value</w:t>
            </w:r>
          </w:p>
        </w:tc>
      </w:tr>
      <w:tr>
        <w:tc>
          <w:tcPr>
            <w:tcW w:type="dxa" w:w="2880"/>
            <w:shd w:val="clear" w:color="auto" w:fill="F5F8FF"/>
          </w:tcPr>
          <w:p>
            <w:r/>
            <w:r>
              <w:rPr>
                <w:rFonts w:ascii="Calibri" w:hAnsi="Calibri"/>
                <w:sz w:val="19"/>
              </w:rPr>
              <w:t>Endpoint</w:t>
            </w:r>
          </w:p>
        </w:tc>
        <w:tc>
          <w:tcPr>
            <w:tcW w:type="dxa" w:w="5760"/>
            <w:shd w:val="clear" w:color="auto" w:fill="F5F8FF"/>
          </w:tcPr>
          <w:p>
            <w:r/>
            <w:r>
              <w:rPr>
                <w:rFonts w:ascii="Calibri" w:hAnsi="Calibri"/>
                <w:sz w:val="19"/>
              </w:rPr>
              <w:t>POST /v1/op/chat</w:t>
            </w:r>
          </w:p>
        </w:tc>
      </w:tr>
      <w:tr>
        <w:tc>
          <w:tcPr>
            <w:tcW w:type="dxa" w:w="2880"/>
            <w:shd w:val="clear" w:color="auto" w:fill="FFFFFF"/>
          </w:tcPr>
          <w:p>
            <w:r/>
            <w:r>
              <w:rPr>
                <w:rFonts w:ascii="Calibri" w:hAnsi="Calibri"/>
                <w:sz w:val="19"/>
              </w:rPr>
              <w:t>Context size</w:t>
            </w:r>
          </w:p>
        </w:tc>
        <w:tc>
          <w:tcPr>
            <w:tcW w:type="dxa" w:w="5760"/>
            <w:shd w:val="clear" w:color="auto" w:fill="FFFFFF"/>
          </w:tcPr>
          <w:p>
            <w:r/>
            <w:r>
              <w:rPr>
                <w:rFonts w:ascii="Calibri" w:hAnsi="Calibri"/>
                <w:sz w:val="19"/>
              </w:rPr>
              <w:t>Up to 300 AIO lines + 10 HSL blocks</w:t>
            </w:r>
          </w:p>
        </w:tc>
      </w:tr>
      <w:tr>
        <w:tc>
          <w:tcPr>
            <w:tcW w:type="dxa" w:w="2880"/>
            <w:shd w:val="clear" w:color="auto" w:fill="F5F8FF"/>
          </w:tcPr>
          <w:p>
            <w:r/>
            <w:r>
              <w:rPr>
                <w:rFonts w:ascii="Calibri" w:hAnsi="Calibri"/>
                <w:sz w:val="19"/>
              </w:rPr>
              <w:t>Cost profile</w:t>
            </w:r>
          </w:p>
        </w:tc>
        <w:tc>
          <w:tcPr>
            <w:tcW w:type="dxa" w:w="5760"/>
            <w:shd w:val="clear" w:color="auto" w:fill="F5F8FF"/>
          </w:tcPr>
          <w:p>
            <w:r/>
            <w:r>
              <w:rPr>
                <w:rFonts w:ascii="Calibri" w:hAnsi="Calibri"/>
                <w:sz w:val="19"/>
              </w:rPr>
              <w:t>Fixed full-corpus scan — high token cost</w:t>
            </w:r>
          </w:p>
        </w:tc>
      </w:tr>
      <w:tr>
        <w:tc>
          <w:tcPr>
            <w:tcW w:type="dxa" w:w="2880"/>
            <w:shd w:val="clear" w:color="auto" w:fill="FFFFFF"/>
          </w:tcPr>
          <w:p>
            <w:r/>
            <w:r>
              <w:rPr>
                <w:rFonts w:ascii="Calibri" w:hAnsi="Calibri"/>
                <w:sz w:val="19"/>
              </w:rPr>
              <w:t>Use case</w:t>
            </w:r>
          </w:p>
        </w:tc>
        <w:tc>
          <w:tcPr>
            <w:tcW w:type="dxa" w:w="5760"/>
            <w:shd w:val="clear" w:color="auto" w:fill="FFFFFF"/>
          </w:tcPr>
          <w:p>
            <w:r/>
            <w:r>
              <w:rPr>
                <w:rFonts w:ascii="Calibri" w:hAnsi="Calibri"/>
                <w:sz w:val="19"/>
              </w:rPr>
              <w:t>Exploratory / broad coverage questions</w:t>
            </w:r>
          </w:p>
        </w:tc>
      </w:tr>
    </w:tbl>
    <w:p/>
    <w:p>
      <w:pPr>
        <w:spacing w:before="240" w:after="40"/>
      </w:pPr>
      <w:r>
        <w:rPr>
          <w:rFonts w:ascii="Calibri" w:hAnsi="Calibri"/>
          <w:b/>
          <w:color w:val="0E6B6B"/>
          <w:sz w:val="22"/>
        </w:rPr>
        <w:t>4.2  Mode 2 — AIO Search (Four-Phase Search Algebra)</w:t>
      </w:r>
    </w:p>
    <w:p>
      <w:pPr>
        <w:spacing w:before="0" w:after="120" w:line="360" w:lineRule="auto"/>
      </w:pPr>
      <w:r>
        <w:rPr>
          <w:rFonts w:ascii="Calibri" w:hAnsi="Calibri"/>
          <w:color w:val="222222"/>
          <w:sz w:val="21"/>
        </w:rPr>
        <w:t>A focused retrieval pipeline that uses the HSL as a pre-filter before calling the LLM, dramatically reducing context size and token cost while improving answer precision.</w:t>
      </w:r>
    </w:p>
    <w:p>
      <w:pPr>
        <w:spacing w:before="80" w:after="40"/>
        <w:ind w:left="432"/>
      </w:pPr>
      <w:r>
        <w:rPr>
          <w:rFonts w:ascii="Calibri" w:hAnsi="Calibri"/>
          <w:b/>
          <w:color w:val="0F3460"/>
          <w:sz w:val="21"/>
        </w:rPr>
        <w:t xml:space="preserve">Phase 1 — Parse:  </w:t>
      </w:r>
      <w:r>
        <w:rPr>
          <w:rFonts w:ascii="Calibri" w:hAnsi="Calibri"/>
          <w:sz w:val="21"/>
        </w:rPr>
        <w:t>Claude extracts structured search terms (field names + values) from the natural-language query. Known field names from the Information Elements directory are provided as a hint list. Output: a structured cue set {(field, value)}.</w:t>
      </w:r>
    </w:p>
    <w:p>
      <w:pPr>
        <w:spacing w:before="80" w:after="40"/>
        <w:ind w:left="432"/>
      </w:pPr>
      <w:r>
        <w:rPr>
          <w:rFonts w:ascii="Calibri" w:hAnsi="Calibri"/>
          <w:b/>
          <w:color w:val="0F3460"/>
          <w:sz w:val="21"/>
        </w:rPr>
        <w:t xml:space="preserve">Phase 2 — Match HSLs:  </w:t>
      </w:r>
      <w:r>
        <w:rPr>
          <w:rFonts w:ascii="Calibri" w:hAnsi="Calibri"/>
          <w:sz w:val="21"/>
        </w:rPr>
        <w:t>Every extracted cue is searched across all 100-element HSL records by substring match. Matching HSLs and their embedded MRO back-links are collected.</w:t>
      </w:r>
    </w:p>
    <w:p>
      <w:pPr>
        <w:spacing w:before="80" w:after="40"/>
        <w:ind w:left="432"/>
      </w:pPr>
      <w:r>
        <w:rPr>
          <w:rFonts w:ascii="Calibri" w:hAnsi="Calibri"/>
          <w:b/>
          <w:color w:val="0F3460"/>
          <w:sz w:val="21"/>
        </w:rPr>
        <w:t xml:space="preserve">Phase 3 — Gather AIOs:  </w:t>
      </w:r>
      <w:r>
        <w:rPr>
          <w:rFonts w:ascii="Calibri" w:hAnsi="Calibri"/>
          <w:sz w:val="21"/>
        </w:rPr>
        <w:t>AIOs referenced in matched HSLs are fetched. If no HSLs match, the system falls back to direct ILIKE search across all 50 AIO element columns.</w:t>
      </w:r>
    </w:p>
    <w:p>
      <w:pPr>
        <w:spacing w:before="80" w:after="40"/>
        <w:ind w:left="432"/>
      </w:pPr>
      <w:r>
        <w:rPr>
          <w:rFonts w:ascii="Calibri" w:hAnsi="Calibri"/>
          <w:b/>
          <w:color w:val="0F3460"/>
          <w:sz w:val="21"/>
        </w:rPr>
        <w:t xml:space="preserve">Phase 4 — Synthesize:  </w:t>
      </w:r>
      <w:r>
        <w:rPr>
          <w:rFonts w:ascii="Calibri" w:hAnsi="Calibri"/>
          <w:sz w:val="21"/>
        </w:rPr>
        <w:t>Matched AIOs + ranked MRO priors (from HSL back-links) are assembled and sent to Claude with the original query. The LLM works from a focused, relevant context rather than the full corpus.</w:t>
      </w:r>
    </w:p>
    <w:p/>
    <w:p>
      <w:pPr>
        <w:spacing w:before="240" w:after="40"/>
      </w:pPr>
      <w:r>
        <w:rPr>
          <w:rFonts w:ascii="Calibri" w:hAnsi="Calibri"/>
          <w:b/>
          <w:color w:val="0E6B6B"/>
          <w:sz w:val="22"/>
        </w:rPr>
        <w:t>4.3  Mode 3 — Substrate Chat (Paper III Pipeline)</w:t>
      </w:r>
    </w:p>
    <w:p>
      <w:pPr>
        <w:spacing w:before="0" w:after="120" w:line="360" w:lineRule="auto"/>
      </w:pPr>
      <w:r>
        <w:rPr>
          <w:rFonts w:ascii="Calibri" w:hAnsi="Calibri"/>
          <w:color w:val="222222"/>
          <w:sz w:val="21"/>
        </w:rPr>
        <w:t xml:space="preserve">The most sophisticated mode, implementing the full Paper III precomputed substrates concept. Context assembly occurs </w:t>
      </w:r>
      <w:r>
        <w:rPr>
          <w:rFonts w:ascii="Calibri" w:hAnsi="Calibri"/>
          <w:b/>
          <w:color w:val="222222"/>
          <w:sz w:val="21"/>
        </w:rPr>
        <w:t>entirely on the client</w:t>
      </w:r>
      <w:r>
        <w:rPr>
          <w:rFonts w:ascii="Calibri" w:hAnsi="Calibri"/>
          <w:color w:val="222222"/>
          <w:sz w:val="21"/>
        </w:rPr>
        <w:t xml:space="preserve"> — no raw database dump is sent to the LLM. Retrieval is </w:t>
      </w:r>
      <w:r>
        <w:rPr>
          <w:rFonts w:ascii="Calibri" w:hAnsi="Calibri"/>
          <w:b/>
          <w:color w:val="222222"/>
          <w:sz w:val="21"/>
        </w:rPr>
        <w:t>deterministic and reproducible</w:t>
      </w:r>
      <w:r>
        <w:rPr>
          <w:rFonts w:ascii="Calibri" w:hAnsi="Calibri"/>
          <w:color w:val="222222"/>
          <w:sz w:val="21"/>
        </w:rPr>
        <w:t>: the same query produces the same cue set, the same traversal, and the same context bundle.</w:t>
      </w:r>
    </w:p>
    <w:p>
      <w:pPr>
        <w:spacing w:before="80" w:after="40"/>
        <w:ind w:left="432"/>
      </w:pPr>
      <w:r>
        <w:rPr>
          <w:rFonts w:ascii="Calibri" w:hAnsi="Calibri"/>
          <w:b/>
          <w:color w:val="0F3460"/>
          <w:sz w:val="21"/>
        </w:rPr>
        <w:t xml:space="preserve">Step 1 — Cue Extraction:  </w:t>
      </w:r>
      <w:r>
        <w:rPr>
          <w:rFonts w:ascii="Calibri" w:hAnsi="Calibri"/>
          <w:sz w:val="21"/>
        </w:rPr>
        <w:t>The query is parsed into a structured cue set K = {(field, value)} using pure lexical matching against the field and value vocabularies. No LLM is called at this step — the extraction is fully deterministic.</w:t>
      </w:r>
    </w:p>
    <w:p>
      <w:pPr>
        <w:spacing w:before="80" w:after="40"/>
        <w:ind w:left="432"/>
      </w:pPr>
      <w:r>
        <w:rPr>
          <w:rFonts w:ascii="Calibri" w:hAnsi="Calibri"/>
          <w:b/>
          <w:color w:val="0F3460"/>
          <w:sz w:val="21"/>
        </w:rPr>
        <w:t xml:space="preserve">Step 2 — HSL Traversal:  </w:t>
      </w:r>
      <w:r>
        <w:rPr>
          <w:rFonts w:ascii="Calibri" w:hAnsi="Calibri"/>
          <w:sz w:val="21"/>
        </w:rPr>
        <w:t>Set-intersection algebra: N(K) = ⋂_{k∈K} H(k), where H(k) is the AIO neighborhood for cue k. The intersection identifies AIOs that satisfy all query cues simultaneously.</w:t>
      </w:r>
    </w:p>
    <w:p>
      <w:pPr>
        <w:spacing w:before="80" w:after="40"/>
        <w:ind w:left="432"/>
      </w:pPr>
      <w:r>
        <w:rPr>
          <w:rFonts w:ascii="Calibri" w:hAnsi="Calibri"/>
          <w:b/>
          <w:color w:val="0F3460"/>
          <w:sz w:val="21"/>
        </w:rPr>
        <w:t xml:space="preserve">Step 3 — MRO Prior Ranking:  </w:t>
      </w:r>
      <w:r>
        <w:rPr>
          <w:rFonts w:ascii="Calibri" w:hAnsi="Calibri"/>
          <w:sz w:val="21"/>
        </w:rPr>
        <w:t>Prior MROs with overlapping cue sets are scored by the Jaccard × freshness × confidence formula. The top 5 ranked priors are selected for Tier-1 injection.</w:t>
      </w:r>
    </w:p>
    <w:p>
      <w:pPr>
        <w:spacing w:before="80" w:after="40"/>
        <w:ind w:left="432"/>
      </w:pPr>
      <w:r>
        <w:rPr>
          <w:rFonts w:ascii="Calibri" w:hAnsi="Calibri"/>
          <w:b/>
          <w:color w:val="0F3460"/>
          <w:sz w:val="21"/>
        </w:rPr>
        <w:t xml:space="preserve">Step 4 — Bundle Assembly:  </w:t>
      </w:r>
      <w:r>
        <w:rPr>
          <w:rFonts w:ascii="Calibri" w:hAnsi="Calibri"/>
          <w:sz w:val="21"/>
        </w:rPr>
        <w:t>Tier 1: Ranked MRO priors (previously validated answers). Tier 2: AIOs from HSL traversal (directly matching evidence). Tier 3: Seed AIOs from the HSL roots (broader contextual support).</w:t>
      </w:r>
    </w:p>
    <w:p>
      <w:pPr>
        <w:spacing w:before="80" w:after="40"/>
        <w:ind w:left="432"/>
      </w:pPr>
      <w:r>
        <w:rPr>
          <w:rFonts w:ascii="Calibri" w:hAnsi="Calibri"/>
          <w:b/>
          <w:color w:val="0F3460"/>
          <w:sz w:val="21"/>
        </w:rPr>
        <w:t xml:space="preserve">Step 5 — Claude Inference:  </w:t>
      </w:r>
      <w:r>
        <w:rPr>
          <w:rFonts w:ascii="Calibri" w:hAnsi="Calibri"/>
          <w:sz w:val="21"/>
        </w:rPr>
        <w:t>The serialized context bundle + conversation history are sent to /v1/op/substrate-chat. The backend calls Claude with the pre-built bundle only — no database queries occur at inference time.</w:t>
      </w:r>
    </w:p>
    <w:p>
      <w:pPr>
        <w:spacing w:before="80" w:after="40"/>
        <w:ind w:left="432"/>
      </w:pPr>
      <w:r>
        <w:rPr>
          <w:rFonts w:ascii="Calibri" w:hAnsi="Calibri"/>
          <w:b/>
          <w:color w:val="0F3460"/>
          <w:sz w:val="21"/>
        </w:rPr>
        <w:t xml:space="preserve">Step 6 — MRO Capture:  </w:t>
      </w:r>
      <w:r>
        <w:rPr>
          <w:rFonts w:ascii="Calibri" w:hAnsi="Calibri"/>
          <w:sz w:val="21"/>
        </w:rPr>
        <w:t>The session is automatically saved as a new MRO and linked back to the traversed HSLs, enriching the graph for future queries — the compounding knowledge flywheel.</w:t>
      </w:r>
    </w:p>
    <w:p/>
    <w:p>
      <w:pPr>
        <w:spacing w:before="360" w:after="80"/>
      </w:pPr>
      <w:r>
        <w:rPr>
          <w:rFonts w:ascii="Calibri" w:hAnsi="Calibri"/>
          <w:b/>
          <w:color w:val="0F3460"/>
          <w:sz w:val="28"/>
        </w:rPr>
        <w:t>5.  Application Features and User Interface</w:t>
      </w:r>
    </w:p>
    <w:p>
      <w:pPr>
        <w:pBdr>
          <w:bottom w:val="single" w:sz="12" w:space="1" w:color="0F3460"/>
        </w:pBdr>
        <w:spacing w:before="0" w:after="80"/>
      </w:pPr>
    </w:p>
    <w:p>
      <w:pPr>
        <w:spacing w:before="240" w:after="40"/>
      </w:pPr>
      <w:r>
        <w:rPr>
          <w:rFonts w:ascii="Calibri" w:hAnsi="Calibri"/>
          <w:b/>
          <w:color w:val="0E6B6B"/>
          <w:sz w:val="22"/>
        </w:rPr>
        <w:t>5.1  Core Workflows</w:t>
      </w:r>
    </w:p>
    <w:p>
      <w:pPr>
        <w:spacing w:before="240" w:after="40"/>
      </w:pPr>
      <w:r>
        <w:rPr>
          <w:rFonts w:ascii="Calibri" w:hAnsi="Calibri"/>
          <w:b/>
          <w:color w:val="0E6B6B"/>
          <w:sz w:val="22"/>
        </w:rPr>
        <w:t>Workflow 1 — Data Ingestion</w:t>
      </w:r>
    </w:p>
    <w:p>
      <w:pPr>
        <w:spacing w:before="0" w:after="120" w:line="360" w:lineRule="auto"/>
      </w:pPr>
      <w:r>
        <w:rPr>
          <w:rFonts w:ascii="Calibri" w:hAnsi="Calibri"/>
          <w:color w:val="222222"/>
          <w:sz w:val="21"/>
        </w:rPr>
        <w:t>CSV files are uploaded via drag-and-drop or file picker. The AIO Converter previews the table, optionally maps column headers to AIO field names using Claude field-mapping assist, and batch-saves each row as an AIO record. PDF files are processed through Claude vision to produce structured CSV first, then converted to AIOs.</w:t>
      </w:r>
    </w:p>
    <w:p>
      <w:pPr>
        <w:spacing w:before="240" w:after="40"/>
      </w:pPr>
      <w:r>
        <w:rPr>
          <w:rFonts w:ascii="Calibri" w:hAnsi="Calibri"/>
          <w:b/>
          <w:color w:val="0E6B6B"/>
          <w:sz w:val="22"/>
        </w:rPr>
        <w:t>Workflow 2 — HSL Construction</w:t>
      </w:r>
    </w:p>
    <w:p>
      <w:pPr>
        <w:spacing w:before="0" w:after="120" w:line="360" w:lineRule="auto"/>
      </w:pPr>
      <w:r>
        <w:rPr>
          <w:rFonts w:ascii="Calibri" w:hAnsi="Calibri"/>
          <w:color w:val="222222"/>
          <w:sz w:val="21"/>
        </w:rPr>
        <w:t>The Semantic Processor provides element-level navigation: the operator selects any element value from the corpus, the system finds all AIOs containing that value, and the operator creates an HSL record linking them. Auto-rebuild generates the full HSL graph from the entire AIO corpus in a single operation.</w:t>
      </w:r>
    </w:p>
    <w:p>
      <w:pPr>
        <w:spacing w:before="240" w:after="40"/>
      </w:pPr>
      <w:r>
        <w:rPr>
          <w:rFonts w:ascii="Calibri" w:hAnsi="Calibri"/>
          <w:b/>
          <w:color w:val="0E6B6B"/>
          <w:sz w:val="22"/>
        </w:rPr>
        <w:t>Workflow 3 — AI Query (ChatAIO)</w:t>
      </w:r>
    </w:p>
    <w:p>
      <w:pPr>
        <w:spacing w:before="0" w:after="120" w:line="360" w:lineRule="auto"/>
      </w:pPr>
      <w:r>
        <w:rPr>
          <w:rFonts w:ascii="Calibri" w:hAnsi="Calibri"/>
          <w:color w:val="222222"/>
          <w:sz w:val="21"/>
        </w:rPr>
        <w:t>The full-screen ChatAIO interface offers three search modes with a shared conversation thread. Responses render with full markdown including formatted tables. The operator can save any response as an MRO, link the MRO to HSLs, export the session as PDF, or download the transcript as markdown.</w:t>
      </w:r>
    </w:p>
    <w:p>
      <w:pPr>
        <w:spacing w:before="240" w:after="40"/>
      </w:pPr>
      <w:r>
        <w:rPr>
          <w:rFonts w:ascii="Calibri" w:hAnsi="Calibri"/>
          <w:b/>
          <w:color w:val="0E6B6B"/>
          <w:sz w:val="22"/>
        </w:rPr>
        <w:t>Workflow 4 — MRO Reuse</w:t>
      </w:r>
    </w:p>
    <w:p>
      <w:pPr>
        <w:spacing w:before="0" w:after="120" w:line="360" w:lineRule="auto"/>
      </w:pPr>
      <w:r>
        <w:rPr>
          <w:rFonts w:ascii="Calibri" w:hAnsi="Calibri"/>
          <w:color w:val="222222"/>
          <w:sz w:val="21"/>
        </w:rPr>
        <w:t>Once MROs are linked into HSLs, future AIO Search and Substrate queries automatically surface them as Tier-1 prior context. The system compounds knowledge over time — each answered query that is saved improves future answers on related topics.</w:t>
      </w:r>
    </w:p>
    <w:p>
      <w:pPr>
        <w:spacing w:before="240" w:after="40"/>
      </w:pPr>
      <w:r>
        <w:rPr>
          <w:rFonts w:ascii="Calibri" w:hAnsi="Calibri"/>
          <w:b/>
          <w:color w:val="0E6B6B"/>
          <w:sz w:val="22"/>
        </w:rPr>
        <w:t>5.2  System Administration</w:t>
      </w:r>
    </w:p>
    <w:p>
      <w:pPr>
        <w:spacing w:before="0" w:after="120" w:line="360" w:lineRule="auto"/>
      </w:pPr>
      <w:r>
        <w:rPr>
          <w:rFonts w:ascii="Calibri" w:hAnsi="Calibri"/>
          <w:color w:val="222222"/>
          <w:sz w:val="21"/>
        </w:rPr>
        <w:t>A 10-tab administration panel provides complete platform management:</w:t>
      </w:r>
    </w:p>
    <w:tbl>
      <w:tblPr>
        <w:tblStyle w:val="TableGrid"/>
        <w:tblW w:type="auto" w:w="0"/>
        <w:tblLook w:firstColumn="1" w:firstRow="1" w:lastColumn="0" w:lastRow="0" w:noHBand="0" w:noVBand="1" w:val="04A0"/>
      </w:tblPr>
      <w:tblGrid>
        <w:gridCol w:w="4392"/>
        <w:gridCol w:w="4392"/>
      </w:tblGrid>
      <w:tr>
        <w:tc>
          <w:tcPr>
            <w:tcW w:type="dxa" w:w="2160"/>
            <w:shd w:val="clear" w:color="auto" w:fill="0F3460"/>
          </w:tcPr>
          <w:p>
            <w:pPr>
              <w:jc w:val="center"/>
            </w:pPr>
            <w:r/>
            <w:r>
              <w:rPr>
                <w:rFonts w:ascii="Calibri" w:hAnsi="Calibri"/>
                <w:b/>
                <w:color w:val="FFFFFF"/>
                <w:sz w:val="20"/>
              </w:rPr>
              <w:t>Tab</w:t>
            </w:r>
          </w:p>
        </w:tc>
        <w:tc>
          <w:tcPr>
            <w:tcW w:type="dxa" w:w="6480"/>
            <w:shd w:val="clear" w:color="auto" w:fill="0F3460"/>
          </w:tcPr>
          <w:p>
            <w:pPr>
              <w:jc w:val="center"/>
            </w:pPr>
            <w:r/>
            <w:r>
              <w:rPr>
                <w:rFonts w:ascii="Calibri" w:hAnsi="Calibri"/>
                <w:b/>
                <w:color w:val="FFFFFF"/>
                <w:sz w:val="20"/>
              </w:rPr>
              <w:t>Function</w:t>
            </w:r>
          </w:p>
        </w:tc>
      </w:tr>
      <w:tr>
        <w:tc>
          <w:tcPr>
            <w:tcW w:type="dxa" w:w="2160"/>
            <w:shd w:val="clear" w:color="auto" w:fill="F5F8FF"/>
          </w:tcPr>
          <w:p>
            <w:r/>
            <w:r>
              <w:rPr>
                <w:rFonts w:ascii="Calibri" w:hAnsi="Calibri"/>
                <w:sz w:val="19"/>
              </w:rPr>
              <w:t>Users</w:t>
            </w:r>
          </w:p>
        </w:tc>
        <w:tc>
          <w:tcPr>
            <w:tcW w:type="dxa" w:w="6480"/>
            <w:shd w:val="clear" w:color="auto" w:fill="F5F8FF"/>
          </w:tcPr>
          <w:p>
            <w:r/>
            <w:r>
              <w:rPr>
                <w:rFonts w:ascii="Calibri" w:hAnsi="Calibri"/>
                <w:sz w:val="19"/>
              </w:rPr>
              <w:t>Create, edit, deactivate users; assign System Admin or General User roles</w:t>
            </w:r>
          </w:p>
        </w:tc>
      </w:tr>
      <w:tr>
        <w:tc>
          <w:tcPr>
            <w:tcW w:type="dxa" w:w="2160"/>
            <w:shd w:val="clear" w:color="auto" w:fill="FFFFFF"/>
          </w:tcPr>
          <w:p>
            <w:r/>
            <w:r>
              <w:rPr>
                <w:rFonts w:ascii="Calibri" w:hAnsi="Calibri"/>
                <w:sz w:val="19"/>
              </w:rPr>
              <w:t>Roles</w:t>
            </w:r>
          </w:p>
        </w:tc>
        <w:tc>
          <w:tcPr>
            <w:tcW w:type="dxa" w:w="6480"/>
            <w:shd w:val="clear" w:color="auto" w:fill="FFFFFF"/>
          </w:tcPr>
          <w:p>
            <w:r/>
            <w:r>
              <w:rPr>
                <w:rFonts w:ascii="Calibri" w:hAnsi="Calibri"/>
                <w:sz w:val="19"/>
              </w:rPr>
              <w:t>Define and remove role categories</w:t>
            </w:r>
          </w:p>
        </w:tc>
      </w:tr>
      <w:tr>
        <w:tc>
          <w:tcPr>
            <w:tcW w:type="dxa" w:w="2160"/>
            <w:shd w:val="clear" w:color="auto" w:fill="F5F8FF"/>
          </w:tcPr>
          <w:p>
            <w:r/>
            <w:r>
              <w:rPr>
                <w:rFonts w:ascii="Calibri" w:hAnsi="Calibri"/>
                <w:sz w:val="19"/>
              </w:rPr>
              <w:t>AIO Data</w:t>
            </w:r>
          </w:p>
        </w:tc>
        <w:tc>
          <w:tcPr>
            <w:tcW w:type="dxa" w:w="6480"/>
            <w:shd w:val="clear" w:color="auto" w:fill="F5F8FF"/>
          </w:tcPr>
          <w:p>
            <w:r/>
            <w:r>
              <w:rPr>
                <w:rFonts w:ascii="Calibri" w:hAnsi="Calibri"/>
                <w:sz w:val="19"/>
              </w:rPr>
              <w:t>Browse, create, edit, delete all AIO records; inspect element values</w:t>
            </w:r>
          </w:p>
        </w:tc>
      </w:tr>
      <w:tr>
        <w:tc>
          <w:tcPr>
            <w:tcW w:type="dxa" w:w="2160"/>
            <w:shd w:val="clear" w:color="auto" w:fill="FFFFFF"/>
          </w:tcPr>
          <w:p>
            <w:r/>
            <w:r>
              <w:rPr>
                <w:rFonts w:ascii="Calibri" w:hAnsi="Calibri"/>
                <w:sz w:val="19"/>
              </w:rPr>
              <w:t>HSL Data</w:t>
            </w:r>
          </w:p>
        </w:tc>
        <w:tc>
          <w:tcPr>
            <w:tcW w:type="dxa" w:w="6480"/>
            <w:shd w:val="clear" w:color="auto" w:fill="FFFFFF"/>
          </w:tcPr>
          <w:p>
            <w:r/>
            <w:r>
              <w:rPr>
                <w:rFonts w:ascii="Calibri" w:hAnsi="Calibri"/>
                <w:sz w:val="19"/>
              </w:rPr>
              <w:t>Browse HSLs; dark-blue element badges; Edit / Structure / Delete per record</w:t>
            </w:r>
          </w:p>
        </w:tc>
      </w:tr>
      <w:tr>
        <w:tc>
          <w:tcPr>
            <w:tcW w:type="dxa" w:w="2160"/>
            <w:shd w:val="clear" w:color="auto" w:fill="F5F8FF"/>
          </w:tcPr>
          <w:p>
            <w:r/>
            <w:r>
              <w:rPr>
                <w:rFonts w:ascii="Calibri" w:hAnsi="Calibri"/>
                <w:sz w:val="19"/>
              </w:rPr>
              <w:t>API Key</w:t>
            </w:r>
          </w:p>
        </w:tc>
        <w:tc>
          <w:tcPr>
            <w:tcW w:type="dxa" w:w="6480"/>
            <w:shd w:val="clear" w:color="auto" w:fill="F5F8FF"/>
          </w:tcPr>
          <w:p>
            <w:r/>
            <w:r>
              <w:rPr>
                <w:rFonts w:ascii="Calibri" w:hAnsi="Calibri"/>
                <w:sz w:val="19"/>
              </w:rPr>
              <w:t>Set and rotate the Anthropic API key (masked display on read)</w:t>
            </w:r>
          </w:p>
        </w:tc>
      </w:tr>
      <w:tr>
        <w:tc>
          <w:tcPr>
            <w:tcW w:type="dxa" w:w="2160"/>
            <w:shd w:val="clear" w:color="auto" w:fill="FFFFFF"/>
          </w:tcPr>
          <w:p>
            <w:r/>
            <w:r>
              <w:rPr>
                <w:rFonts w:ascii="Calibri" w:hAnsi="Calibri"/>
                <w:sz w:val="19"/>
              </w:rPr>
              <w:t>Saved CSVs</w:t>
            </w:r>
          </w:p>
        </w:tc>
        <w:tc>
          <w:tcPr>
            <w:tcW w:type="dxa" w:w="6480"/>
            <w:shd w:val="clear" w:color="auto" w:fill="FFFFFF"/>
          </w:tcPr>
          <w:p>
            <w:r/>
            <w:r>
              <w:rPr>
                <w:rFonts w:ascii="Calibri" w:hAnsi="Calibri"/>
                <w:sz w:val="19"/>
              </w:rPr>
              <w:t>Library of uploaded CSV source files</w:t>
            </w:r>
          </w:p>
        </w:tc>
      </w:tr>
      <w:tr>
        <w:tc>
          <w:tcPr>
            <w:tcW w:type="dxa" w:w="2160"/>
            <w:shd w:val="clear" w:color="auto" w:fill="F5F8FF"/>
          </w:tcPr>
          <w:p>
            <w:r/>
            <w:r>
              <w:rPr>
                <w:rFonts w:ascii="Calibri" w:hAnsi="Calibri"/>
                <w:sz w:val="19"/>
              </w:rPr>
              <w:t>Saved AIOs</w:t>
            </w:r>
          </w:p>
        </w:tc>
        <w:tc>
          <w:tcPr>
            <w:tcW w:type="dxa" w:w="6480"/>
            <w:shd w:val="clear" w:color="auto" w:fill="F5F8FF"/>
          </w:tcPr>
          <w:p>
            <w:r/>
            <w:r>
              <w:rPr>
                <w:rFonts w:ascii="Calibri" w:hAnsi="Calibri"/>
                <w:sz w:val="19"/>
              </w:rPr>
              <w:t>Persist converted AIO sets as named collections</w:t>
            </w:r>
          </w:p>
        </w:tc>
      </w:tr>
      <w:tr>
        <w:tc>
          <w:tcPr>
            <w:tcW w:type="dxa" w:w="2160"/>
            <w:shd w:val="clear" w:color="auto" w:fill="FFFFFF"/>
          </w:tcPr>
          <w:p>
            <w:r/>
            <w:r>
              <w:rPr>
                <w:rFonts w:ascii="Calibri" w:hAnsi="Calibri"/>
                <w:sz w:val="19"/>
              </w:rPr>
              <w:t>Saved Prompts</w:t>
            </w:r>
          </w:p>
        </w:tc>
        <w:tc>
          <w:tcPr>
            <w:tcW w:type="dxa" w:w="6480"/>
            <w:shd w:val="clear" w:color="auto" w:fill="FFFFFF"/>
          </w:tcPr>
          <w:p>
            <w:r/>
            <w:r>
              <w:rPr>
                <w:rFonts w:ascii="Calibri" w:hAnsi="Calibri"/>
                <w:sz w:val="19"/>
              </w:rPr>
              <w:t>User-managed library of reusable query prompt templates</w:t>
            </w:r>
          </w:p>
        </w:tc>
      </w:tr>
      <w:tr>
        <w:tc>
          <w:tcPr>
            <w:tcW w:type="dxa" w:w="2160"/>
            <w:shd w:val="clear" w:color="auto" w:fill="F5F8FF"/>
          </w:tcPr>
          <w:p>
            <w:r/>
            <w:r>
              <w:rPr>
                <w:rFonts w:ascii="Calibri" w:hAnsi="Calibri"/>
                <w:sz w:val="19"/>
              </w:rPr>
              <w:t>Info Elements</w:t>
            </w:r>
          </w:p>
        </w:tc>
        <w:tc>
          <w:tcPr>
            <w:tcW w:type="dxa" w:w="6480"/>
            <w:shd w:val="clear" w:color="auto" w:fill="F5F8FF"/>
          </w:tcPr>
          <w:p>
            <w:r/>
            <w:r>
              <w:rPr>
                <w:rFonts w:ascii="Calibri" w:hAnsi="Calibri"/>
                <w:sz w:val="19"/>
              </w:rPr>
              <w:t>Directory of field names with AIO occurrence counts; corpus rebuild</w:t>
            </w:r>
          </w:p>
        </w:tc>
      </w:tr>
      <w:tr>
        <w:tc>
          <w:tcPr>
            <w:tcW w:type="dxa" w:w="2160"/>
            <w:shd w:val="clear" w:color="auto" w:fill="FFFFFF"/>
          </w:tcPr>
          <w:p>
            <w:r/>
            <w:r>
              <w:rPr>
                <w:rFonts w:ascii="Calibri" w:hAnsi="Calibri"/>
                <w:sz w:val="19"/>
              </w:rPr>
              <w:t>Architecture</w:t>
            </w:r>
          </w:p>
        </w:tc>
        <w:tc>
          <w:tcPr>
            <w:tcW w:type="dxa" w:w="6480"/>
            <w:shd w:val="clear" w:color="auto" w:fill="FFFFFF"/>
          </w:tcPr>
          <w:p>
            <w:r/>
            <w:r>
              <w:rPr>
                <w:rFonts w:ascii="Calibri" w:hAnsi="Calibri"/>
                <w:sz w:val="19"/>
              </w:rPr>
              <w:t>Live system topology diagram and technical reference</w:t>
            </w:r>
          </w:p>
        </w:tc>
      </w:tr>
    </w:tbl>
    <w:p/>
    <w:p>
      <w:pPr>
        <w:spacing w:before="240" w:after="40"/>
      </w:pPr>
      <w:r>
        <w:rPr>
          <w:rFonts w:ascii="Calibri" w:hAnsi="Calibri"/>
          <w:b/>
          <w:color w:val="0E6B6B"/>
          <w:sz w:val="22"/>
        </w:rPr>
        <w:t>5.3  Analytics and Telemetry</w:t>
      </w:r>
    </w:p>
    <w:p>
      <w:pPr>
        <w:spacing w:before="0" w:after="120" w:line="360" w:lineRule="auto"/>
      </w:pPr>
      <w:r>
        <w:rPr>
          <w:rFonts w:ascii="Calibri" w:hAnsi="Calibri"/>
          <w:color w:val="222222"/>
          <w:sz w:val="21"/>
        </w:rPr>
        <w:t xml:space="preserve">The </w:t>
      </w:r>
      <w:r>
        <w:rPr>
          <w:rFonts w:ascii="Calibri" w:hAnsi="Calibri"/>
          <w:b/>
          <w:color w:val="222222"/>
          <w:sz w:val="21"/>
        </w:rPr>
        <w:t>chat_stats</w:t>
      </w:r>
      <w:r>
        <w:rPr>
          <w:rFonts w:ascii="Calibri" w:hAnsi="Calibri"/>
          <w:color w:val="222222"/>
          <w:sz w:val="21"/>
        </w:rPr>
        <w:t xml:space="preserve"> table captures detailed session telemetry for every ChatAIO query, enabling cost analysis, usage pattern review, and cross-mode performance comparison:</w:t>
      </w:r>
    </w:p>
    <w:p>
      <w:pPr>
        <w:pStyle w:val="ListBullet"/>
        <w:spacing w:before="20" w:after="20"/>
        <w:ind w:left="360"/>
      </w:pPr>
      <w:r>
        <w:rPr>
          <w:rFonts w:ascii="Calibri" w:hAnsi="Calibri"/>
          <w:color w:val="222222"/>
          <w:sz w:val="21"/>
        </w:rPr>
        <w:t>Search mode (Broad / AIO Search / Substrate) and query text</w:t>
      </w:r>
    </w:p>
    <w:p>
      <w:pPr>
        <w:pStyle w:val="ListBullet"/>
        <w:spacing w:before="20" w:after="20"/>
        <w:ind w:left="360"/>
      </w:pPr>
      <w:r>
        <w:rPr>
          <w:rFonts w:ascii="Calibri" w:hAnsi="Calibri"/>
          <w:color w:val="222222"/>
          <w:sz w:val="21"/>
        </w:rPr>
        <w:t>Wall-clock elapsed milliseconds per query</w:t>
      </w:r>
    </w:p>
    <w:p>
      <w:pPr>
        <w:pStyle w:val="ListBullet"/>
        <w:spacing w:before="20" w:after="20"/>
        <w:ind w:left="360"/>
      </w:pPr>
      <w:r>
        <w:rPr>
          <w:rFonts w:ascii="Calibri" w:hAnsi="Calibri"/>
          <w:color w:val="222222"/>
          <w:sz w:val="21"/>
        </w:rPr>
        <w:t>Input and output token counts (cost attribution)</w:t>
      </w:r>
    </w:p>
    <w:p>
      <w:pPr>
        <w:pStyle w:val="ListBullet"/>
        <w:spacing w:before="20" w:after="20"/>
        <w:ind w:left="360"/>
      </w:pPr>
      <w:r>
        <w:rPr>
          <w:rFonts w:ascii="Calibri" w:hAnsi="Calibri"/>
          <w:color w:val="222222"/>
          <w:sz w:val="21"/>
        </w:rPr>
        <w:t>Matched HSL count, matched AIO count, MRO prior count</w:t>
      </w:r>
    </w:p>
    <w:p>
      <w:pPr>
        <w:pStyle w:val="ListBullet"/>
        <w:spacing w:before="20" w:after="20"/>
        <w:ind w:left="360"/>
      </w:pPr>
      <w:r>
        <w:rPr>
          <w:rFonts w:ascii="Calibri" w:hAnsi="Calibri"/>
          <w:color w:val="222222"/>
          <w:sz w:val="21"/>
        </w:rPr>
        <w:t>Cue count and neighborhood size (Substrate mode)</w:t>
      </w:r>
    </w:p>
    <w:p>
      <w:pPr>
        <w:pStyle w:val="ListBullet"/>
        <w:spacing w:before="20" w:after="20"/>
        <w:ind w:left="360"/>
      </w:pPr>
      <w:r>
        <w:rPr>
          <w:rFonts w:ascii="Calibri" w:hAnsi="Calibri"/>
          <w:color w:val="222222"/>
          <w:sz w:val="21"/>
        </w:rPr>
        <w:t>Whether an MRO was saved in the session</w:t>
      </w:r>
    </w:p>
    <w:p>
      <w:pPr>
        <w:spacing w:before="360" w:after="80"/>
      </w:pPr>
      <w:r>
        <w:rPr>
          <w:rFonts w:ascii="Calibri" w:hAnsi="Calibri"/>
          <w:b/>
          <w:color w:val="0F3460"/>
          <w:sz w:val="28"/>
        </w:rPr>
        <w:t>6.  Technology Stack</w:t>
      </w:r>
    </w:p>
    <w:p>
      <w:pPr>
        <w:pBdr>
          <w:bottom w:val="single" w:sz="12" w:space="1" w:color="0F3460"/>
        </w:pBdr>
        <w:spacing w:before="0" w:after="80"/>
      </w:pPr>
    </w:p>
    <w:tbl>
      <w:tblPr>
        <w:tblStyle w:val="TableGrid"/>
        <w:tblW w:type="auto" w:w="0"/>
        <w:tblLook w:firstColumn="1" w:firstRow="1" w:lastColumn="0" w:lastRow="0" w:noHBand="0" w:noVBand="1" w:val="04A0"/>
      </w:tblPr>
      <w:tblGrid>
        <w:gridCol w:w="2928"/>
        <w:gridCol w:w="2928"/>
        <w:gridCol w:w="2928"/>
      </w:tblGrid>
      <w:tr>
        <w:tc>
          <w:tcPr>
            <w:tcW w:type="dxa" w:w="1728"/>
            <w:shd w:val="clear" w:color="auto" w:fill="0F3460"/>
          </w:tcPr>
          <w:p>
            <w:pPr>
              <w:jc w:val="center"/>
            </w:pPr>
            <w:r/>
            <w:r>
              <w:rPr>
                <w:rFonts w:ascii="Calibri" w:hAnsi="Calibri"/>
                <w:b/>
                <w:color w:val="FFFFFF"/>
                <w:sz w:val="20"/>
              </w:rPr>
              <w:t>Layer</w:t>
            </w:r>
          </w:p>
        </w:tc>
        <w:tc>
          <w:tcPr>
            <w:tcW w:type="dxa" w:w="2304"/>
            <w:shd w:val="clear" w:color="auto" w:fill="0F3460"/>
          </w:tcPr>
          <w:p>
            <w:pPr>
              <w:jc w:val="center"/>
            </w:pPr>
            <w:r/>
            <w:r>
              <w:rPr>
                <w:rFonts w:ascii="Calibri" w:hAnsi="Calibri"/>
                <w:b/>
                <w:color w:val="FFFFFF"/>
                <w:sz w:val="20"/>
              </w:rPr>
              <w:t>Component</w:t>
            </w:r>
          </w:p>
        </w:tc>
        <w:tc>
          <w:tcPr>
            <w:tcW w:type="dxa" w:w="4608"/>
            <w:shd w:val="clear" w:color="auto" w:fill="0F3460"/>
          </w:tcPr>
          <w:p>
            <w:pPr>
              <w:jc w:val="center"/>
            </w:pPr>
            <w:r/>
            <w:r>
              <w:rPr>
                <w:rFonts w:ascii="Calibri" w:hAnsi="Calibri"/>
                <w:b/>
                <w:color w:val="FFFFFF"/>
                <w:sz w:val="20"/>
              </w:rPr>
              <w:t>Technology</w:t>
            </w:r>
          </w:p>
        </w:tc>
      </w:tr>
      <w:tr>
        <w:tc>
          <w:tcPr>
            <w:tcW w:type="dxa" w:w="1728"/>
            <w:shd w:val="clear" w:color="auto" w:fill="F5F8FF"/>
          </w:tcPr>
          <w:p>
            <w:r/>
            <w:r>
              <w:rPr>
                <w:rFonts w:ascii="Calibri" w:hAnsi="Calibri"/>
                <w:sz w:val="19"/>
              </w:rPr>
              <w:t>Frontend</w:t>
            </w:r>
          </w:p>
        </w:tc>
        <w:tc>
          <w:tcPr>
            <w:tcW w:type="dxa" w:w="2304"/>
            <w:shd w:val="clear" w:color="auto" w:fill="F5F8FF"/>
          </w:tcPr>
          <w:p>
            <w:r/>
            <w:r>
              <w:rPr>
                <w:rFonts w:ascii="Calibri" w:hAnsi="Calibri"/>
                <w:sz w:val="19"/>
              </w:rPr>
              <w:t>Framework</w:t>
            </w:r>
          </w:p>
        </w:tc>
        <w:tc>
          <w:tcPr>
            <w:tcW w:type="dxa" w:w="4608"/>
            <w:shd w:val="clear" w:color="auto" w:fill="F5F8FF"/>
          </w:tcPr>
          <w:p>
            <w:r/>
            <w:r>
              <w:rPr>
                <w:rFonts w:ascii="Calibri" w:hAnsi="Calibri"/>
                <w:sz w:val="19"/>
              </w:rPr>
              <w:t>Next.js 16.1.6 (React 19, App Router)</w:t>
            </w:r>
          </w:p>
        </w:tc>
      </w:tr>
      <w:tr>
        <w:tc>
          <w:tcPr>
            <w:tcW w:type="dxa" w:w="1728"/>
            <w:shd w:val="clear" w:color="auto" w:fill="FFFFFF"/>
          </w:tcPr>
          <w:p>
            <w:r/>
            <w:r>
              <w:rPr>
                <w:rFonts w:ascii="Calibri" w:hAnsi="Calibri"/>
                <w:sz w:val="19"/>
              </w:rPr>
              <w:t>Frontend</w:t>
            </w:r>
          </w:p>
        </w:tc>
        <w:tc>
          <w:tcPr>
            <w:tcW w:type="dxa" w:w="2304"/>
            <w:shd w:val="clear" w:color="auto" w:fill="FFFFFF"/>
          </w:tcPr>
          <w:p>
            <w:r/>
            <w:r>
              <w:rPr>
                <w:rFonts w:ascii="Calibri" w:hAnsi="Calibri"/>
                <w:sz w:val="19"/>
              </w:rPr>
              <w:t>Styling</w:t>
            </w:r>
          </w:p>
        </w:tc>
        <w:tc>
          <w:tcPr>
            <w:tcW w:type="dxa" w:w="4608"/>
            <w:shd w:val="clear" w:color="auto" w:fill="FFFFFF"/>
          </w:tcPr>
          <w:p>
            <w:r/>
            <w:r>
              <w:rPr>
                <w:rFonts w:ascii="Calibri" w:hAnsi="Calibri"/>
                <w:sz w:val="19"/>
              </w:rPr>
              <w:t>Tailwind CSS 4.1 + PostCSS</w:t>
            </w:r>
          </w:p>
        </w:tc>
      </w:tr>
      <w:tr>
        <w:tc>
          <w:tcPr>
            <w:tcW w:type="dxa" w:w="1728"/>
            <w:shd w:val="clear" w:color="auto" w:fill="F5F8FF"/>
          </w:tcPr>
          <w:p>
            <w:r/>
            <w:r>
              <w:rPr>
                <w:rFonts w:ascii="Calibri" w:hAnsi="Calibri"/>
                <w:sz w:val="19"/>
              </w:rPr>
              <w:t>Frontend</w:t>
            </w:r>
          </w:p>
        </w:tc>
        <w:tc>
          <w:tcPr>
            <w:tcW w:type="dxa" w:w="2304"/>
            <w:shd w:val="clear" w:color="auto" w:fill="F5F8FF"/>
          </w:tcPr>
          <w:p>
            <w:r/>
            <w:r>
              <w:rPr>
                <w:rFonts w:ascii="Calibri" w:hAnsi="Calibri"/>
                <w:sz w:val="19"/>
              </w:rPr>
              <w:t>UI Components</w:t>
            </w:r>
          </w:p>
        </w:tc>
        <w:tc>
          <w:tcPr>
            <w:tcW w:type="dxa" w:w="4608"/>
            <w:shd w:val="clear" w:color="auto" w:fill="F5F8FF"/>
          </w:tcPr>
          <w:p>
            <w:r/>
            <w:r>
              <w:rPr>
                <w:rFonts w:ascii="Calibri" w:hAnsi="Calibri"/>
                <w:sz w:val="19"/>
              </w:rPr>
              <w:t>Radix UI / Shadcn — 40+ accessible primitives</w:t>
            </w:r>
          </w:p>
        </w:tc>
      </w:tr>
      <w:tr>
        <w:tc>
          <w:tcPr>
            <w:tcW w:type="dxa" w:w="1728"/>
            <w:shd w:val="clear" w:color="auto" w:fill="FFFFFF"/>
          </w:tcPr>
          <w:p>
            <w:r/>
            <w:r>
              <w:rPr>
                <w:rFonts w:ascii="Calibri" w:hAnsi="Calibri"/>
                <w:sz w:val="19"/>
              </w:rPr>
              <w:t>Frontend</w:t>
            </w:r>
          </w:p>
        </w:tc>
        <w:tc>
          <w:tcPr>
            <w:tcW w:type="dxa" w:w="2304"/>
            <w:shd w:val="clear" w:color="auto" w:fill="FFFFFF"/>
          </w:tcPr>
          <w:p>
            <w:r/>
            <w:r>
              <w:rPr>
                <w:rFonts w:ascii="Calibri" w:hAnsi="Calibri"/>
                <w:sz w:val="19"/>
              </w:rPr>
              <w:t>HTTP Client</w:t>
            </w:r>
          </w:p>
        </w:tc>
        <w:tc>
          <w:tcPr>
            <w:tcW w:type="dxa" w:w="4608"/>
            <w:shd w:val="clear" w:color="auto" w:fill="FFFFFF"/>
          </w:tcPr>
          <w:p>
            <w:r/>
            <w:r>
              <w:rPr>
                <w:rFonts w:ascii="Calibri" w:hAnsi="Calibri"/>
                <w:sz w:val="19"/>
              </w:rPr>
              <w:t>Native Fetch API — typed wrappers in lib/api-client.ts</w:t>
            </w:r>
          </w:p>
        </w:tc>
      </w:tr>
      <w:tr>
        <w:tc>
          <w:tcPr>
            <w:tcW w:type="dxa" w:w="1728"/>
            <w:shd w:val="clear" w:color="auto" w:fill="F5F8FF"/>
          </w:tcPr>
          <w:p>
            <w:r/>
            <w:r>
              <w:rPr>
                <w:rFonts w:ascii="Calibri" w:hAnsi="Calibri"/>
                <w:sz w:val="19"/>
              </w:rPr>
              <w:t>Frontend</w:t>
            </w:r>
          </w:p>
        </w:tc>
        <w:tc>
          <w:tcPr>
            <w:tcW w:type="dxa" w:w="2304"/>
            <w:shd w:val="clear" w:color="auto" w:fill="F5F8FF"/>
          </w:tcPr>
          <w:p>
            <w:r/>
            <w:r>
              <w:rPr>
                <w:rFonts w:ascii="Calibri" w:hAnsi="Calibri"/>
                <w:sz w:val="19"/>
              </w:rPr>
              <w:t>Package Mgr</w:t>
            </w:r>
          </w:p>
        </w:tc>
        <w:tc>
          <w:tcPr>
            <w:tcW w:type="dxa" w:w="4608"/>
            <w:shd w:val="clear" w:color="auto" w:fill="F5F8FF"/>
          </w:tcPr>
          <w:p>
            <w:r/>
            <w:r>
              <w:rPr>
                <w:rFonts w:ascii="Calibri" w:hAnsi="Calibri"/>
                <w:sz w:val="19"/>
              </w:rPr>
              <w:t>pnpm (standalone output for deployment)</w:t>
            </w:r>
          </w:p>
        </w:tc>
      </w:tr>
      <w:tr>
        <w:tc>
          <w:tcPr>
            <w:tcW w:type="dxa" w:w="1728"/>
            <w:shd w:val="clear" w:color="auto" w:fill="FFFFFF"/>
          </w:tcPr>
          <w:p>
            <w:r/>
            <w:r>
              <w:rPr>
                <w:rFonts w:ascii="Calibri" w:hAnsi="Calibri"/>
                <w:sz w:val="19"/>
              </w:rPr>
              <w:t>Backend</w:t>
            </w:r>
          </w:p>
        </w:tc>
        <w:tc>
          <w:tcPr>
            <w:tcW w:type="dxa" w:w="2304"/>
            <w:shd w:val="clear" w:color="auto" w:fill="FFFFFF"/>
          </w:tcPr>
          <w:p>
            <w:r/>
            <w:r>
              <w:rPr>
                <w:rFonts w:ascii="Calibri" w:hAnsi="Calibri"/>
                <w:sz w:val="19"/>
              </w:rPr>
              <w:t>Framework</w:t>
            </w:r>
          </w:p>
        </w:tc>
        <w:tc>
          <w:tcPr>
            <w:tcW w:type="dxa" w:w="4608"/>
            <w:shd w:val="clear" w:color="auto" w:fill="FFFFFF"/>
          </w:tcPr>
          <w:p>
            <w:r/>
            <w:r>
              <w:rPr>
                <w:rFonts w:ascii="Calibri" w:hAnsi="Calibri"/>
                <w:sz w:val="19"/>
              </w:rPr>
              <w:t>FastAPI (Python 3.10+, Pydantic v2 validation)</w:t>
            </w:r>
          </w:p>
        </w:tc>
      </w:tr>
      <w:tr>
        <w:tc>
          <w:tcPr>
            <w:tcW w:type="dxa" w:w="1728"/>
            <w:shd w:val="clear" w:color="auto" w:fill="F5F8FF"/>
          </w:tcPr>
          <w:p>
            <w:r/>
            <w:r>
              <w:rPr>
                <w:rFonts w:ascii="Calibri" w:hAnsi="Calibri"/>
                <w:sz w:val="19"/>
              </w:rPr>
              <w:t>Backend</w:t>
            </w:r>
          </w:p>
        </w:tc>
        <w:tc>
          <w:tcPr>
            <w:tcW w:type="dxa" w:w="2304"/>
            <w:shd w:val="clear" w:color="auto" w:fill="F5F8FF"/>
          </w:tcPr>
          <w:p>
            <w:r/>
            <w:r>
              <w:rPr>
                <w:rFonts w:ascii="Calibri" w:hAnsi="Calibri"/>
                <w:sz w:val="19"/>
              </w:rPr>
              <w:t>DB Driver</w:t>
            </w:r>
          </w:p>
        </w:tc>
        <w:tc>
          <w:tcPr>
            <w:tcW w:type="dxa" w:w="4608"/>
            <w:shd w:val="clear" w:color="auto" w:fill="F5F8FF"/>
          </w:tcPr>
          <w:p>
            <w:r/>
            <w:r>
              <w:rPr>
                <w:rFonts w:ascii="Calibri" w:hAnsi="Calibri"/>
                <w:sz w:val="19"/>
              </w:rPr>
              <w:t>psycopg — raw SQL, no ORM</w:t>
            </w:r>
          </w:p>
        </w:tc>
      </w:tr>
      <w:tr>
        <w:tc>
          <w:tcPr>
            <w:tcW w:type="dxa" w:w="1728"/>
            <w:shd w:val="clear" w:color="auto" w:fill="FFFFFF"/>
          </w:tcPr>
          <w:p>
            <w:r/>
            <w:r>
              <w:rPr>
                <w:rFonts w:ascii="Calibri" w:hAnsi="Calibri"/>
                <w:sz w:val="19"/>
              </w:rPr>
              <w:t>Backend</w:t>
            </w:r>
          </w:p>
        </w:tc>
        <w:tc>
          <w:tcPr>
            <w:tcW w:type="dxa" w:w="2304"/>
            <w:shd w:val="clear" w:color="auto" w:fill="FFFFFF"/>
          </w:tcPr>
          <w:p>
            <w:r/>
            <w:r>
              <w:rPr>
                <w:rFonts w:ascii="Calibri" w:hAnsi="Calibri"/>
                <w:sz w:val="19"/>
              </w:rPr>
              <w:t>Auth</w:t>
            </w:r>
          </w:p>
        </w:tc>
        <w:tc>
          <w:tcPr>
            <w:tcW w:type="dxa" w:w="4608"/>
            <w:shd w:val="clear" w:color="auto" w:fill="FFFFFF"/>
          </w:tcPr>
          <w:p>
            <w:r/>
            <w:r>
              <w:rPr>
                <w:rFonts w:ascii="Calibri" w:hAnsi="Calibri"/>
                <w:sz w:val="19"/>
              </w:rPr>
              <w:t>bcrypt password hashing; role-based access control</w:t>
            </w:r>
          </w:p>
        </w:tc>
      </w:tr>
      <w:tr>
        <w:tc>
          <w:tcPr>
            <w:tcW w:type="dxa" w:w="1728"/>
            <w:shd w:val="clear" w:color="auto" w:fill="F5F8FF"/>
          </w:tcPr>
          <w:p>
            <w:r/>
            <w:r>
              <w:rPr>
                <w:rFonts w:ascii="Calibri" w:hAnsi="Calibri"/>
                <w:sz w:val="19"/>
              </w:rPr>
              <w:t>Backend</w:t>
            </w:r>
          </w:p>
        </w:tc>
        <w:tc>
          <w:tcPr>
            <w:tcW w:type="dxa" w:w="2304"/>
            <w:shd w:val="clear" w:color="auto" w:fill="F5F8FF"/>
          </w:tcPr>
          <w:p>
            <w:r/>
            <w:r>
              <w:rPr>
                <w:rFonts w:ascii="Calibri" w:hAnsi="Calibri"/>
                <w:sz w:val="19"/>
              </w:rPr>
              <w:t>AI SDK</w:t>
            </w:r>
          </w:p>
        </w:tc>
        <w:tc>
          <w:tcPr>
            <w:tcW w:type="dxa" w:w="4608"/>
            <w:shd w:val="clear" w:color="auto" w:fill="F5F8FF"/>
          </w:tcPr>
          <w:p>
            <w:r/>
            <w:r>
              <w:rPr>
                <w:rFonts w:ascii="Calibri" w:hAnsi="Calibri"/>
                <w:sz w:val="19"/>
              </w:rPr>
              <w:t>Anthropic Python SDK (Claude Sonnet 4.6)</w:t>
            </w:r>
          </w:p>
        </w:tc>
      </w:tr>
      <w:tr>
        <w:tc>
          <w:tcPr>
            <w:tcW w:type="dxa" w:w="1728"/>
            <w:shd w:val="clear" w:color="auto" w:fill="FFFFFF"/>
          </w:tcPr>
          <w:p>
            <w:r/>
            <w:r>
              <w:rPr>
                <w:rFonts w:ascii="Calibri" w:hAnsi="Calibri"/>
                <w:sz w:val="19"/>
              </w:rPr>
              <w:t>Database</w:t>
            </w:r>
          </w:p>
        </w:tc>
        <w:tc>
          <w:tcPr>
            <w:tcW w:type="dxa" w:w="2304"/>
            <w:shd w:val="clear" w:color="auto" w:fill="FFFFFF"/>
          </w:tcPr>
          <w:p>
            <w:r/>
            <w:r>
              <w:rPr>
                <w:rFonts w:ascii="Calibri" w:hAnsi="Calibri"/>
                <w:sz w:val="19"/>
              </w:rPr>
              <w:t>DBMS</w:t>
            </w:r>
          </w:p>
        </w:tc>
        <w:tc>
          <w:tcPr>
            <w:tcW w:type="dxa" w:w="4608"/>
            <w:shd w:val="clear" w:color="auto" w:fill="FFFFFF"/>
          </w:tcPr>
          <w:p>
            <w:r/>
            <w:r>
              <w:rPr>
                <w:rFonts w:ascii="Calibri" w:hAnsi="Calibri"/>
                <w:sz w:val="19"/>
              </w:rPr>
              <w:t>PostgreSQL 15 with RLS, JSONB, pg_trgm, btree_gin</w:t>
            </w:r>
          </w:p>
        </w:tc>
      </w:tr>
      <w:tr>
        <w:tc>
          <w:tcPr>
            <w:tcW w:type="dxa" w:w="1728"/>
            <w:shd w:val="clear" w:color="auto" w:fill="F5F8FF"/>
          </w:tcPr>
          <w:p>
            <w:r/>
            <w:r>
              <w:rPr>
                <w:rFonts w:ascii="Calibri" w:hAnsi="Calibri"/>
                <w:sz w:val="19"/>
              </w:rPr>
              <w:t>Database</w:t>
            </w:r>
          </w:p>
        </w:tc>
        <w:tc>
          <w:tcPr>
            <w:tcW w:type="dxa" w:w="2304"/>
            <w:shd w:val="clear" w:color="auto" w:fill="F5F8FF"/>
          </w:tcPr>
          <w:p>
            <w:r/>
            <w:r>
              <w:rPr>
                <w:rFonts w:ascii="Calibri" w:hAnsi="Calibri"/>
                <w:sz w:val="19"/>
              </w:rPr>
              <w:t>Migrations</w:t>
            </w:r>
          </w:p>
        </w:tc>
        <w:tc>
          <w:tcPr>
            <w:tcW w:type="dxa" w:w="4608"/>
            <w:shd w:val="clear" w:color="auto" w:fill="F5F8FF"/>
          </w:tcPr>
          <w:p>
            <w:r/>
            <w:r>
              <w:rPr>
                <w:rFonts w:ascii="Calibri" w:hAnsi="Calibri"/>
                <w:sz w:val="19"/>
              </w:rPr>
              <w:t>14 SQL migration files — auto-applied at startup</w:t>
            </w:r>
          </w:p>
        </w:tc>
      </w:tr>
      <w:tr>
        <w:tc>
          <w:tcPr>
            <w:tcW w:type="dxa" w:w="1728"/>
            <w:shd w:val="clear" w:color="auto" w:fill="FFFFFF"/>
          </w:tcPr>
          <w:p>
            <w:r/>
            <w:r>
              <w:rPr>
                <w:rFonts w:ascii="Calibri" w:hAnsi="Calibri"/>
                <w:sz w:val="19"/>
              </w:rPr>
              <w:t>Desktop</w:t>
            </w:r>
          </w:p>
        </w:tc>
        <w:tc>
          <w:tcPr>
            <w:tcW w:type="dxa" w:w="2304"/>
            <w:shd w:val="clear" w:color="auto" w:fill="FFFFFF"/>
          </w:tcPr>
          <w:p>
            <w:r/>
            <w:r>
              <w:rPr>
                <w:rFonts w:ascii="Calibri" w:hAnsi="Calibri"/>
                <w:sz w:val="19"/>
              </w:rPr>
              <w:t>Wrapper</w:t>
            </w:r>
          </w:p>
        </w:tc>
        <w:tc>
          <w:tcPr>
            <w:tcW w:type="dxa" w:w="4608"/>
            <w:shd w:val="clear" w:color="auto" w:fill="FFFFFF"/>
          </w:tcPr>
          <w:p>
            <w:r/>
            <w:r>
              <w:rPr>
                <w:rFonts w:ascii="Calibri" w:hAnsi="Calibri"/>
                <w:sz w:val="19"/>
              </w:rPr>
              <w:t>Electron 28  (DMG / NSIS / AppImage)</w:t>
            </w:r>
          </w:p>
        </w:tc>
      </w:tr>
      <w:tr>
        <w:tc>
          <w:tcPr>
            <w:tcW w:type="dxa" w:w="1728"/>
            <w:shd w:val="clear" w:color="auto" w:fill="F5F8FF"/>
          </w:tcPr>
          <w:p>
            <w:r/>
            <w:r>
              <w:rPr>
                <w:rFonts w:ascii="Calibri" w:hAnsi="Calibri"/>
                <w:sz w:val="19"/>
              </w:rPr>
              <w:t>Desktop</w:t>
            </w:r>
          </w:p>
        </w:tc>
        <w:tc>
          <w:tcPr>
            <w:tcW w:type="dxa" w:w="2304"/>
            <w:shd w:val="clear" w:color="auto" w:fill="F5F8FF"/>
          </w:tcPr>
          <w:p>
            <w:r/>
            <w:r>
              <w:rPr>
                <w:rFonts w:ascii="Calibri" w:hAnsi="Calibri"/>
                <w:sz w:val="19"/>
              </w:rPr>
              <w:t>Bundled</w:t>
            </w:r>
          </w:p>
        </w:tc>
        <w:tc>
          <w:tcPr>
            <w:tcW w:type="dxa" w:w="4608"/>
            <w:shd w:val="clear" w:color="auto" w:fill="F5F8FF"/>
          </w:tcPr>
          <w:p>
            <w:r/>
            <w:r>
              <w:rPr>
                <w:rFonts w:ascii="Calibri" w:hAnsi="Calibri"/>
                <w:sz w:val="19"/>
              </w:rPr>
              <w:t>Python 3.12 runtime + PostgreSQL binaries</w:t>
            </w:r>
          </w:p>
        </w:tc>
      </w:tr>
      <w:tr>
        <w:tc>
          <w:tcPr>
            <w:tcW w:type="dxa" w:w="1728"/>
            <w:shd w:val="clear" w:color="auto" w:fill="FFFFFF"/>
          </w:tcPr>
          <w:p>
            <w:r/>
            <w:r>
              <w:rPr>
                <w:rFonts w:ascii="Calibri" w:hAnsi="Calibri"/>
                <w:sz w:val="19"/>
              </w:rPr>
              <w:t>AI Model</w:t>
            </w:r>
          </w:p>
        </w:tc>
        <w:tc>
          <w:tcPr>
            <w:tcW w:type="dxa" w:w="2304"/>
            <w:shd w:val="clear" w:color="auto" w:fill="FFFFFF"/>
          </w:tcPr>
          <w:p>
            <w:r/>
            <w:r>
              <w:rPr>
                <w:rFonts w:ascii="Calibri" w:hAnsi="Calibri"/>
                <w:sz w:val="19"/>
              </w:rPr>
              <w:t>Primary LLM</w:t>
            </w:r>
          </w:p>
        </w:tc>
        <w:tc>
          <w:tcPr>
            <w:tcW w:type="dxa" w:w="4608"/>
            <w:shd w:val="clear" w:color="auto" w:fill="FFFFFF"/>
          </w:tcPr>
          <w:p>
            <w:r/>
            <w:r>
              <w:rPr>
                <w:rFonts w:ascii="Calibri" w:hAnsi="Calibri"/>
                <w:sz w:val="19"/>
              </w:rPr>
              <w:t>Claude Sonnet 4.6 (claude-sonnet-4-6)</w:t>
            </w:r>
          </w:p>
        </w:tc>
      </w:tr>
      <w:tr>
        <w:tc>
          <w:tcPr>
            <w:tcW w:type="dxa" w:w="1728"/>
            <w:shd w:val="clear" w:color="auto" w:fill="F5F8FF"/>
          </w:tcPr>
          <w:p>
            <w:r/>
            <w:r>
              <w:rPr>
                <w:rFonts w:ascii="Calibri" w:hAnsi="Calibri"/>
                <w:sz w:val="19"/>
              </w:rPr>
              <w:t>AI Model</w:t>
            </w:r>
          </w:p>
        </w:tc>
        <w:tc>
          <w:tcPr>
            <w:tcW w:type="dxa" w:w="2304"/>
            <w:shd w:val="clear" w:color="auto" w:fill="F5F8FF"/>
          </w:tcPr>
          <w:p>
            <w:r/>
            <w:r>
              <w:rPr>
                <w:rFonts w:ascii="Calibri" w:hAnsi="Calibri"/>
                <w:sz w:val="19"/>
              </w:rPr>
              <w:t>Doc Extraction</w:t>
            </w:r>
          </w:p>
        </w:tc>
        <w:tc>
          <w:tcPr>
            <w:tcW w:type="dxa" w:w="4608"/>
            <w:shd w:val="clear" w:color="auto" w:fill="F5F8FF"/>
          </w:tcPr>
          <w:p>
            <w:r/>
            <w:r>
              <w:rPr>
                <w:rFonts w:ascii="Calibri" w:hAnsi="Calibri"/>
                <w:sz w:val="19"/>
              </w:rPr>
              <w:t>Claude Vision — PDF → structured CSV</w:t>
            </w:r>
          </w:p>
        </w:tc>
      </w:tr>
    </w:tbl>
    <w:p/>
    <w:p>
      <w:pPr>
        <w:spacing w:before="360" w:after="80"/>
      </w:pPr>
      <w:r>
        <w:rPr>
          <w:rFonts w:ascii="Calibri" w:hAnsi="Calibri"/>
          <w:b/>
          <w:color w:val="0F3460"/>
          <w:sz w:val="28"/>
        </w:rPr>
        <w:t>7.  Deployment Architecture</w:t>
      </w:r>
    </w:p>
    <w:p>
      <w:pPr>
        <w:pBdr>
          <w:bottom w:val="single" w:sz="12" w:space="1" w:color="0F3460"/>
        </w:pBdr>
        <w:spacing w:before="0" w:after="80"/>
      </w:pPr>
    </w:p>
    <w:p>
      <w:pPr>
        <w:spacing w:before="240" w:after="40"/>
      </w:pPr>
      <w:r>
        <w:rPr>
          <w:rFonts w:ascii="Calibri" w:hAnsi="Calibri"/>
          <w:b/>
          <w:color w:val="0E6B6B"/>
          <w:sz w:val="22"/>
        </w:rPr>
        <w:t>7.1  Cloud Production (Railway)</w:t>
      </w:r>
    </w:p>
    <w:tbl>
      <w:tblPr>
        <w:tblStyle w:val="TableGrid"/>
        <w:tblW w:type="auto" w:w="0"/>
        <w:tblLook w:firstColumn="1" w:firstRow="1" w:lastColumn="0" w:lastRow="0" w:noHBand="0" w:noVBand="1" w:val="04A0"/>
      </w:tblPr>
      <w:tblGrid>
        <w:gridCol w:w="2928"/>
        <w:gridCol w:w="2928"/>
        <w:gridCol w:w="2928"/>
      </w:tblGrid>
      <w:tr>
        <w:tc>
          <w:tcPr>
            <w:tcW w:type="dxa" w:w="2304"/>
            <w:shd w:val="clear" w:color="auto" w:fill="0F3460"/>
          </w:tcPr>
          <w:p>
            <w:pPr>
              <w:jc w:val="center"/>
            </w:pPr>
            <w:r/>
            <w:r>
              <w:rPr>
                <w:rFonts w:ascii="Calibri" w:hAnsi="Calibri"/>
                <w:b/>
                <w:color w:val="FFFFFF"/>
                <w:sz w:val="20"/>
              </w:rPr>
              <w:t>Service</w:t>
            </w:r>
          </w:p>
        </w:tc>
        <w:tc>
          <w:tcPr>
            <w:tcW w:type="dxa" w:w="4320"/>
            <w:shd w:val="clear" w:color="auto" w:fill="0F3460"/>
          </w:tcPr>
          <w:p>
            <w:pPr>
              <w:jc w:val="center"/>
            </w:pPr>
            <w:r/>
            <w:r>
              <w:rPr>
                <w:rFonts w:ascii="Calibri" w:hAnsi="Calibri"/>
                <w:b/>
                <w:color w:val="FFFFFF"/>
                <w:sz w:val="20"/>
              </w:rPr>
              <w:t>Description</w:t>
            </w:r>
          </w:p>
        </w:tc>
        <w:tc>
          <w:tcPr>
            <w:tcW w:type="dxa" w:w="2016"/>
            <w:shd w:val="clear" w:color="auto" w:fill="0F3460"/>
          </w:tcPr>
          <w:p>
            <w:pPr>
              <w:jc w:val="center"/>
            </w:pPr>
            <w:r/>
            <w:r>
              <w:rPr>
                <w:rFonts w:ascii="Calibri" w:hAnsi="Calibri"/>
                <w:b/>
                <w:color w:val="FFFFFF"/>
                <w:sz w:val="20"/>
              </w:rPr>
              <w:t>Health Check</w:t>
            </w:r>
          </w:p>
        </w:tc>
      </w:tr>
      <w:tr>
        <w:tc>
          <w:tcPr>
            <w:tcW w:type="dxa" w:w="2304"/>
            <w:shd w:val="clear" w:color="auto" w:fill="F5F8FF"/>
          </w:tcPr>
          <w:p>
            <w:r/>
            <w:r>
              <w:rPr>
                <w:rFonts w:ascii="Calibri" w:hAnsi="Calibri"/>
                <w:sz w:val="19"/>
              </w:rPr>
              <w:t>frontend</w:t>
            </w:r>
          </w:p>
        </w:tc>
        <w:tc>
          <w:tcPr>
            <w:tcW w:type="dxa" w:w="4320"/>
            <w:shd w:val="clear" w:color="auto" w:fill="F5F8FF"/>
          </w:tcPr>
          <w:p>
            <w:r/>
            <w:r>
              <w:rPr>
                <w:rFonts w:ascii="Calibri" w:hAnsi="Calibri"/>
                <w:sz w:val="19"/>
              </w:rPr>
              <w:t>Next.js standalone server — auto-deploy from GitHub main</w:t>
            </w:r>
          </w:p>
        </w:tc>
        <w:tc>
          <w:tcPr>
            <w:tcW w:type="dxa" w:w="2016"/>
            <w:shd w:val="clear" w:color="auto" w:fill="F5F8FF"/>
          </w:tcPr>
          <w:p>
            <w:r/>
            <w:r>
              <w:rPr>
                <w:rFonts w:ascii="Calibri" w:hAnsi="Calibri"/>
                <w:sz w:val="19"/>
              </w:rPr>
              <w:t>GET /</w:t>
            </w:r>
          </w:p>
        </w:tc>
      </w:tr>
      <w:tr>
        <w:tc>
          <w:tcPr>
            <w:tcW w:type="dxa" w:w="2304"/>
            <w:shd w:val="clear" w:color="auto" w:fill="FFFFFF"/>
          </w:tcPr>
          <w:p>
            <w:r/>
            <w:r>
              <w:rPr>
                <w:rFonts w:ascii="Calibri" w:hAnsi="Calibri"/>
                <w:sz w:val="19"/>
              </w:rPr>
              <w:t>infophysics-api</w:t>
            </w:r>
          </w:p>
        </w:tc>
        <w:tc>
          <w:tcPr>
            <w:tcW w:type="dxa" w:w="4320"/>
            <w:shd w:val="clear" w:color="auto" w:fill="FFFFFF"/>
          </w:tcPr>
          <w:p>
            <w:r/>
            <w:r>
              <w:rPr>
                <w:rFonts w:ascii="Calibri" w:hAnsi="Calibri"/>
                <w:sz w:val="19"/>
              </w:rPr>
              <w:t>FastAPI backend — rootDirectory: infophysics_impl_grade</w:t>
            </w:r>
          </w:p>
        </w:tc>
        <w:tc>
          <w:tcPr>
            <w:tcW w:type="dxa" w:w="2016"/>
            <w:shd w:val="clear" w:color="auto" w:fill="FFFFFF"/>
          </w:tcPr>
          <w:p>
            <w:r/>
            <w:r>
              <w:rPr>
                <w:rFonts w:ascii="Calibri" w:hAnsi="Calibri"/>
                <w:sz w:val="19"/>
              </w:rPr>
              <w:t>GET /v1/health</w:t>
            </w:r>
          </w:p>
        </w:tc>
      </w:tr>
      <w:tr>
        <w:tc>
          <w:tcPr>
            <w:tcW w:type="dxa" w:w="2304"/>
            <w:shd w:val="clear" w:color="auto" w:fill="F5F8FF"/>
          </w:tcPr>
          <w:p>
            <w:r/>
            <w:r>
              <w:rPr>
                <w:rFonts w:ascii="Calibri" w:hAnsi="Calibri"/>
                <w:sz w:val="19"/>
              </w:rPr>
              <w:t>postgres</w:t>
            </w:r>
          </w:p>
        </w:tc>
        <w:tc>
          <w:tcPr>
            <w:tcW w:type="dxa" w:w="4320"/>
            <w:shd w:val="clear" w:color="auto" w:fill="F5F8FF"/>
          </w:tcPr>
          <w:p>
            <w:r/>
            <w:r>
              <w:rPr>
                <w:rFonts w:ascii="Calibri" w:hAnsi="Calibri"/>
                <w:sz w:val="19"/>
              </w:rPr>
              <w:t>Managed PostgreSQL 15 — network-isolated</w:t>
            </w:r>
          </w:p>
        </w:tc>
        <w:tc>
          <w:tcPr>
            <w:tcW w:type="dxa" w:w="2016"/>
            <w:shd w:val="clear" w:color="auto" w:fill="F5F8FF"/>
          </w:tcPr>
          <w:p>
            <w:r/>
            <w:r>
              <w:rPr>
                <w:rFonts w:ascii="Calibri" w:hAnsi="Calibri"/>
                <w:sz w:val="19"/>
              </w:rPr>
              <w:t>—</w:t>
            </w:r>
          </w:p>
        </w:tc>
      </w:tr>
    </w:tbl>
    <w:p/>
    <w:p>
      <w:pPr>
        <w:spacing w:before="240" w:after="40"/>
      </w:pPr>
      <w:r>
        <w:rPr>
          <w:rFonts w:ascii="Calibri" w:hAnsi="Calibri"/>
          <w:b/>
          <w:color w:val="0E6B6B"/>
          <w:sz w:val="22"/>
        </w:rPr>
        <w:t>7.2  Desktop Application (Electron)</w:t>
      </w:r>
    </w:p>
    <w:p>
      <w:pPr>
        <w:spacing w:before="0" w:after="120" w:line="360" w:lineRule="auto"/>
      </w:pPr>
      <w:r>
        <w:rPr>
          <w:rFonts w:ascii="Calibri" w:hAnsi="Calibri"/>
          <w:color w:val="222222"/>
          <w:sz w:val="21"/>
        </w:rPr>
        <w:t>The platform packages as a native desktop application using Electron 28. The distributable bundles the entire stack for fully air-gapped operation — no internet connection required after installation:</w:t>
      </w:r>
    </w:p>
    <w:p>
      <w:pPr>
        <w:pStyle w:val="ListBullet"/>
        <w:spacing w:before="20" w:after="20"/>
        <w:ind w:left="360"/>
      </w:pPr>
      <w:r>
        <w:rPr>
          <w:rFonts w:ascii="Calibri" w:hAnsi="Calibri"/>
          <w:color w:val="222222"/>
          <w:sz w:val="21"/>
        </w:rPr>
        <w:t>Standalone Python 3.12 runtime with all FastAPI dependencies pre-installed</w:t>
      </w:r>
    </w:p>
    <w:p>
      <w:pPr>
        <w:pStyle w:val="ListBullet"/>
        <w:spacing w:before="20" w:after="20"/>
        <w:ind w:left="360"/>
      </w:pPr>
      <w:r>
        <w:rPr>
          <w:rFonts w:ascii="Calibri" w:hAnsi="Calibri"/>
          <w:color w:val="222222"/>
          <w:sz w:val="21"/>
        </w:rPr>
        <w:t>FastAPI backend started as a managed subprocess by the Electron main process</w:t>
      </w:r>
    </w:p>
    <w:p>
      <w:pPr>
        <w:pStyle w:val="ListBullet"/>
        <w:spacing w:before="20" w:after="20"/>
        <w:ind w:left="360"/>
      </w:pPr>
      <w:r>
        <w:rPr>
          <w:rFonts w:ascii="Calibri" w:hAnsi="Calibri"/>
          <w:color w:val="222222"/>
          <w:sz w:val="21"/>
        </w:rPr>
        <w:t>Next.js standalone frontend server on port 3100</w:t>
      </w:r>
    </w:p>
    <w:p>
      <w:pPr>
        <w:pStyle w:val="ListBullet"/>
        <w:spacing w:before="20" w:after="20"/>
        <w:ind w:left="360"/>
      </w:pPr>
      <w:r>
        <w:rPr>
          <w:rFonts w:ascii="Calibri" w:hAnsi="Calibri"/>
          <w:color w:val="222222"/>
          <w:sz w:val="21"/>
        </w:rPr>
        <w:t>PostgreSQL binaries (initdb, pg_ctl, postgres) with self-managed data directory</w:t>
      </w:r>
    </w:p>
    <w:p>
      <w:pPr>
        <w:pStyle w:val="ListBullet"/>
        <w:spacing w:before="20" w:after="20"/>
        <w:ind w:left="360"/>
      </w:pPr>
      <w:r>
        <w:rPr>
          <w:rFonts w:ascii="Calibri" w:hAnsi="Calibri"/>
          <w:color w:val="222222"/>
          <w:sz w:val="21"/>
        </w:rPr>
        <w:t>Schema migrations applied automatically on first launch</w:t>
      </w:r>
    </w:p>
    <w:tbl>
      <w:tblPr>
        <w:tblStyle w:val="TableGrid"/>
        <w:tblW w:type="auto" w:w="0"/>
        <w:tblLook w:firstColumn="1" w:firstRow="1" w:lastColumn="0" w:lastRow="0" w:noHBand="0" w:noVBand="1" w:val="04A0"/>
      </w:tblPr>
      <w:tblGrid>
        <w:gridCol w:w="2928"/>
        <w:gridCol w:w="2928"/>
        <w:gridCol w:w="2928"/>
      </w:tblGrid>
      <w:tr>
        <w:tc>
          <w:tcPr>
            <w:tcW w:type="dxa" w:w="2016"/>
            <w:shd w:val="clear" w:color="auto" w:fill="0F3460"/>
          </w:tcPr>
          <w:p>
            <w:pPr>
              <w:jc w:val="center"/>
            </w:pPr>
            <w:r/>
            <w:r>
              <w:rPr>
                <w:rFonts w:ascii="Calibri" w:hAnsi="Calibri"/>
                <w:b/>
                <w:color w:val="FFFFFF"/>
                <w:sz w:val="20"/>
              </w:rPr>
              <w:t>Platform</w:t>
            </w:r>
          </w:p>
        </w:tc>
        <w:tc>
          <w:tcPr>
            <w:tcW w:type="dxa" w:w="2016"/>
            <w:shd w:val="clear" w:color="auto" w:fill="0F3460"/>
          </w:tcPr>
          <w:p>
            <w:pPr>
              <w:jc w:val="center"/>
            </w:pPr>
            <w:r/>
            <w:r>
              <w:rPr>
                <w:rFonts w:ascii="Calibri" w:hAnsi="Calibri"/>
                <w:b/>
                <w:color w:val="FFFFFF"/>
                <w:sz w:val="20"/>
              </w:rPr>
              <w:t>Format</w:t>
            </w:r>
          </w:p>
        </w:tc>
        <w:tc>
          <w:tcPr>
            <w:tcW w:type="dxa" w:w="4608"/>
            <w:shd w:val="clear" w:color="auto" w:fill="0F3460"/>
          </w:tcPr>
          <w:p>
            <w:pPr>
              <w:jc w:val="center"/>
            </w:pPr>
            <w:r/>
            <w:r>
              <w:rPr>
                <w:rFonts w:ascii="Calibri" w:hAnsi="Calibri"/>
                <w:b/>
                <w:color w:val="FFFFFF"/>
                <w:sz w:val="20"/>
              </w:rPr>
              <w:t>Architecture</w:t>
            </w:r>
          </w:p>
        </w:tc>
      </w:tr>
      <w:tr>
        <w:tc>
          <w:tcPr>
            <w:tcW w:type="dxa" w:w="2016"/>
            <w:shd w:val="clear" w:color="auto" w:fill="F5F8FF"/>
          </w:tcPr>
          <w:p>
            <w:r/>
            <w:r>
              <w:rPr>
                <w:rFonts w:ascii="Calibri" w:hAnsi="Calibri"/>
                <w:sz w:val="19"/>
              </w:rPr>
              <w:t>macOS</w:t>
            </w:r>
          </w:p>
        </w:tc>
        <w:tc>
          <w:tcPr>
            <w:tcW w:type="dxa" w:w="2016"/>
            <w:shd w:val="clear" w:color="auto" w:fill="F5F8FF"/>
          </w:tcPr>
          <w:p>
            <w:r/>
            <w:r>
              <w:rPr>
                <w:rFonts w:ascii="Calibri" w:hAnsi="Calibri"/>
                <w:sz w:val="19"/>
              </w:rPr>
              <w:t>.dmg</w:t>
            </w:r>
          </w:p>
        </w:tc>
        <w:tc>
          <w:tcPr>
            <w:tcW w:type="dxa" w:w="4608"/>
            <w:shd w:val="clear" w:color="auto" w:fill="F5F8FF"/>
          </w:tcPr>
          <w:p>
            <w:r/>
            <w:r>
              <w:rPr>
                <w:rFonts w:ascii="Calibri" w:hAnsi="Calibri"/>
                <w:sz w:val="19"/>
              </w:rPr>
              <w:t>arm64 (Apple Silicon) + x64 (Intel)</w:t>
            </w:r>
          </w:p>
        </w:tc>
      </w:tr>
      <w:tr>
        <w:tc>
          <w:tcPr>
            <w:tcW w:type="dxa" w:w="2016"/>
            <w:shd w:val="clear" w:color="auto" w:fill="FFFFFF"/>
          </w:tcPr>
          <w:p>
            <w:r/>
            <w:r>
              <w:rPr>
                <w:rFonts w:ascii="Calibri" w:hAnsi="Calibri"/>
                <w:sz w:val="19"/>
              </w:rPr>
              <w:t>Windows</w:t>
            </w:r>
          </w:p>
        </w:tc>
        <w:tc>
          <w:tcPr>
            <w:tcW w:type="dxa" w:w="2016"/>
            <w:shd w:val="clear" w:color="auto" w:fill="FFFFFF"/>
          </w:tcPr>
          <w:p>
            <w:r/>
            <w:r>
              <w:rPr>
                <w:rFonts w:ascii="Calibri" w:hAnsi="Calibri"/>
                <w:sz w:val="19"/>
              </w:rPr>
              <w:t>.exe</w:t>
            </w:r>
          </w:p>
        </w:tc>
        <w:tc>
          <w:tcPr>
            <w:tcW w:type="dxa" w:w="4608"/>
            <w:shd w:val="clear" w:color="auto" w:fill="FFFFFF"/>
          </w:tcPr>
          <w:p>
            <w:r/>
            <w:r>
              <w:rPr>
                <w:rFonts w:ascii="Calibri" w:hAnsi="Calibri"/>
                <w:sz w:val="19"/>
              </w:rPr>
              <w:t>NSIS installer — x64</w:t>
            </w:r>
          </w:p>
        </w:tc>
      </w:tr>
      <w:tr>
        <w:tc>
          <w:tcPr>
            <w:tcW w:type="dxa" w:w="2016"/>
            <w:shd w:val="clear" w:color="auto" w:fill="F5F8FF"/>
          </w:tcPr>
          <w:p>
            <w:r/>
            <w:r>
              <w:rPr>
                <w:rFonts w:ascii="Calibri" w:hAnsi="Calibri"/>
                <w:sz w:val="19"/>
              </w:rPr>
              <w:t>Linux</w:t>
            </w:r>
          </w:p>
        </w:tc>
        <w:tc>
          <w:tcPr>
            <w:tcW w:type="dxa" w:w="2016"/>
            <w:shd w:val="clear" w:color="auto" w:fill="F5F8FF"/>
          </w:tcPr>
          <w:p>
            <w:r/>
            <w:r>
              <w:rPr>
                <w:rFonts w:ascii="Calibri" w:hAnsi="Calibri"/>
                <w:sz w:val="19"/>
              </w:rPr>
              <w:t>.AppImage</w:t>
            </w:r>
          </w:p>
        </w:tc>
        <w:tc>
          <w:tcPr>
            <w:tcW w:type="dxa" w:w="4608"/>
            <w:shd w:val="clear" w:color="auto" w:fill="F5F8FF"/>
          </w:tcPr>
          <w:p>
            <w:r/>
            <w:r>
              <w:rPr>
                <w:rFonts w:ascii="Calibri" w:hAnsi="Calibri"/>
                <w:sz w:val="19"/>
              </w:rPr>
              <w:t>x64</w:t>
            </w:r>
          </w:p>
        </w:tc>
      </w:tr>
    </w:tbl>
    <w:p/>
    <w:p>
      <w:pPr>
        <w:spacing w:before="240" w:after="40"/>
      </w:pPr>
      <w:r>
        <w:rPr>
          <w:rFonts w:ascii="Calibri" w:hAnsi="Calibri"/>
          <w:b/>
          <w:color w:val="0E6B6B"/>
          <w:sz w:val="22"/>
        </w:rPr>
        <w:t>7.3  Docker (Self-hosted Enterprise)</w:t>
      </w:r>
    </w:p>
    <w:p>
      <w:pPr>
        <w:spacing w:before="0" w:after="120" w:line="360" w:lineRule="auto"/>
      </w:pPr>
      <w:r>
        <w:rPr>
          <w:rFonts w:ascii="Calibri" w:hAnsi="Calibri"/>
          <w:color w:val="222222"/>
          <w:sz w:val="21"/>
        </w:rPr>
        <w:t>docker compose up --build launches all three services (PostgreSQL + FastAPI + Next.js) in isolated containers, suitable for self-hosted enterprise or air-gapped data-center deployment.</w:t>
      </w:r>
    </w:p>
    <w:p>
      <w:pPr>
        <w:spacing w:before="360" w:after="80"/>
      </w:pPr>
      <w:r>
        <w:rPr>
          <w:rFonts w:ascii="Calibri" w:hAnsi="Calibri"/>
          <w:b/>
          <w:color w:val="0F3460"/>
          <w:sz w:val="28"/>
        </w:rPr>
        <w:t>8.  Security and Multi-Tenancy</w:t>
      </w:r>
    </w:p>
    <w:p>
      <w:pPr>
        <w:pBdr>
          <w:bottom w:val="single" w:sz="12" w:space="1" w:color="0F3460"/>
        </w:pBdr>
        <w:spacing w:before="0" w:after="80"/>
      </w:pPr>
    </w:p>
    <w:tbl>
      <w:tblPr>
        <w:tblStyle w:val="TableGrid"/>
        <w:tblW w:type="auto" w:w="0"/>
        <w:tblLook w:firstColumn="1" w:firstRow="1" w:lastColumn="0" w:lastRow="0" w:noHBand="0" w:noVBand="1" w:val="04A0"/>
      </w:tblPr>
      <w:tblGrid>
        <w:gridCol w:w="4392"/>
        <w:gridCol w:w="4392"/>
      </w:tblGrid>
      <w:tr>
        <w:tc>
          <w:tcPr>
            <w:tcW w:type="dxa" w:w="2880"/>
            <w:shd w:val="clear" w:color="auto" w:fill="0F3460"/>
          </w:tcPr>
          <w:p>
            <w:pPr>
              <w:jc w:val="center"/>
            </w:pPr>
            <w:r/>
            <w:r>
              <w:rPr>
                <w:rFonts w:ascii="Calibri" w:hAnsi="Calibri"/>
                <w:b/>
                <w:color w:val="FFFFFF"/>
                <w:sz w:val="20"/>
              </w:rPr>
              <w:t>Area</w:t>
            </w:r>
          </w:p>
        </w:tc>
        <w:tc>
          <w:tcPr>
            <w:tcW w:type="dxa" w:w="5760"/>
            <w:shd w:val="clear" w:color="auto" w:fill="0F3460"/>
          </w:tcPr>
          <w:p>
            <w:pPr>
              <w:jc w:val="center"/>
            </w:pPr>
            <w:r/>
            <w:r>
              <w:rPr>
                <w:rFonts w:ascii="Calibri" w:hAnsi="Calibri"/>
                <w:b/>
                <w:color w:val="FFFFFF"/>
                <w:sz w:val="20"/>
              </w:rPr>
              <w:t>Implementation</w:t>
            </w:r>
          </w:p>
        </w:tc>
      </w:tr>
      <w:tr>
        <w:tc>
          <w:tcPr>
            <w:tcW w:type="dxa" w:w="2880"/>
            <w:shd w:val="clear" w:color="auto" w:fill="F5F8FF"/>
          </w:tcPr>
          <w:p>
            <w:r/>
            <w:r>
              <w:rPr>
                <w:rFonts w:ascii="Calibri" w:hAnsi="Calibri"/>
                <w:sz w:val="19"/>
              </w:rPr>
              <w:t>Authentication</w:t>
            </w:r>
          </w:p>
        </w:tc>
        <w:tc>
          <w:tcPr>
            <w:tcW w:type="dxa" w:w="5760"/>
            <w:shd w:val="clear" w:color="auto" w:fill="F5F8FF"/>
          </w:tcPr>
          <w:p>
            <w:r/>
            <w:r>
              <w:rPr>
                <w:rFonts w:ascii="Calibri" w:hAnsi="Calibri"/>
                <w:sz w:val="19"/>
              </w:rPr>
              <w:t>Email + password; bcrypt hashing; role-based access (System Admin / General User)</w:t>
            </w:r>
          </w:p>
        </w:tc>
      </w:tr>
      <w:tr>
        <w:tc>
          <w:tcPr>
            <w:tcW w:type="dxa" w:w="2880"/>
            <w:shd w:val="clear" w:color="auto" w:fill="FFFFFF"/>
          </w:tcPr>
          <w:p>
            <w:r/>
            <w:r>
              <w:rPr>
                <w:rFonts w:ascii="Calibri" w:hAnsi="Calibri"/>
                <w:sz w:val="19"/>
              </w:rPr>
              <w:t>Tenant isolation</w:t>
            </w:r>
          </w:p>
        </w:tc>
        <w:tc>
          <w:tcPr>
            <w:tcW w:type="dxa" w:w="5760"/>
            <w:shd w:val="clear" w:color="auto" w:fill="FFFFFF"/>
          </w:tcPr>
          <w:p>
            <w:r/>
            <w:r>
              <w:rPr>
                <w:rFonts w:ascii="Calibri" w:hAnsi="Calibri"/>
                <w:sz w:val="19"/>
              </w:rPr>
              <w:t>X-Tenant-Id request header; PostgreSQL RLS sets app.tenant_id per transaction</w:t>
            </w:r>
          </w:p>
        </w:tc>
      </w:tr>
      <w:tr>
        <w:tc>
          <w:tcPr>
            <w:tcW w:type="dxa" w:w="2880"/>
            <w:shd w:val="clear" w:color="auto" w:fill="F5F8FF"/>
          </w:tcPr>
          <w:p>
            <w:r/>
            <w:r>
              <w:rPr>
                <w:rFonts w:ascii="Calibri" w:hAnsi="Calibri"/>
                <w:sz w:val="19"/>
              </w:rPr>
              <w:t>Row-level security</w:t>
            </w:r>
          </w:p>
        </w:tc>
        <w:tc>
          <w:tcPr>
            <w:tcW w:type="dxa" w:w="5760"/>
            <w:shd w:val="clear" w:color="auto" w:fill="F5F8FF"/>
          </w:tcPr>
          <w:p>
            <w:r/>
            <w:r>
              <w:rPr>
                <w:rFonts w:ascii="Calibri" w:hAnsi="Calibri"/>
                <w:sz w:val="19"/>
              </w:rPr>
              <w:t>All 14 core tables protected by RLS policies (migration 003)</w:t>
            </w:r>
          </w:p>
        </w:tc>
      </w:tr>
      <w:tr>
        <w:tc>
          <w:tcPr>
            <w:tcW w:type="dxa" w:w="2880"/>
            <w:shd w:val="clear" w:color="auto" w:fill="FFFFFF"/>
          </w:tcPr>
          <w:p>
            <w:r/>
            <w:r>
              <w:rPr>
                <w:rFonts w:ascii="Calibri" w:hAnsi="Calibri"/>
                <w:sz w:val="19"/>
              </w:rPr>
              <w:t>API key storage</w:t>
            </w:r>
          </w:p>
        </w:tc>
        <w:tc>
          <w:tcPr>
            <w:tcW w:type="dxa" w:w="5760"/>
            <w:shd w:val="clear" w:color="auto" w:fill="FFFFFF"/>
          </w:tcPr>
          <w:p>
            <w:r/>
            <w:r>
              <w:rPr>
                <w:rFonts w:ascii="Calibri" w:hAnsi="Calibri"/>
                <w:sz w:val="19"/>
              </w:rPr>
              <w:t>Anthropic key stored in system_settings (JSONB); masked on GET response</w:t>
            </w:r>
          </w:p>
        </w:tc>
      </w:tr>
      <w:tr>
        <w:tc>
          <w:tcPr>
            <w:tcW w:type="dxa" w:w="2880"/>
            <w:shd w:val="clear" w:color="auto" w:fill="F5F8FF"/>
          </w:tcPr>
          <w:p>
            <w:r/>
            <w:r>
              <w:rPr>
                <w:rFonts w:ascii="Calibri" w:hAnsi="Calibri"/>
                <w:sz w:val="19"/>
              </w:rPr>
              <w:t>Input validation</w:t>
            </w:r>
          </w:p>
        </w:tc>
        <w:tc>
          <w:tcPr>
            <w:tcW w:type="dxa" w:w="5760"/>
            <w:shd w:val="clear" w:color="auto" w:fill="F5F8FF"/>
          </w:tcPr>
          <w:p>
            <w:r/>
            <w:r>
              <w:rPr>
                <w:rFonts w:ascii="Calibri" w:hAnsi="Calibri"/>
                <w:sz w:val="19"/>
              </w:rPr>
              <w:t>Pydantic v2 models enforce schema on all FastAPI endpoints</w:t>
            </w:r>
          </w:p>
        </w:tc>
      </w:tr>
      <w:tr>
        <w:tc>
          <w:tcPr>
            <w:tcW w:type="dxa" w:w="2880"/>
            <w:shd w:val="clear" w:color="auto" w:fill="FFFFFF"/>
          </w:tcPr>
          <w:p>
            <w:r/>
            <w:r>
              <w:rPr>
                <w:rFonts w:ascii="Calibri" w:hAnsi="Calibri"/>
                <w:sz w:val="19"/>
              </w:rPr>
              <w:t>Transport security</w:t>
            </w:r>
          </w:p>
        </w:tc>
        <w:tc>
          <w:tcPr>
            <w:tcW w:type="dxa" w:w="5760"/>
            <w:shd w:val="clear" w:color="auto" w:fill="FFFFFF"/>
          </w:tcPr>
          <w:p>
            <w:r/>
            <w:r>
              <w:rPr>
                <w:rFonts w:ascii="Calibri" w:hAnsi="Calibri"/>
                <w:sz w:val="19"/>
              </w:rPr>
              <w:t>HTTPS via Railway TLS (cloud); localhost-only for desktop</w:t>
            </w:r>
          </w:p>
        </w:tc>
      </w:tr>
      <w:tr>
        <w:tc>
          <w:tcPr>
            <w:tcW w:type="dxa" w:w="2880"/>
            <w:shd w:val="clear" w:color="auto" w:fill="F5F8FF"/>
          </w:tcPr>
          <w:p>
            <w:r/>
            <w:r>
              <w:rPr>
                <w:rFonts w:ascii="Calibri" w:hAnsi="Calibri"/>
                <w:sz w:val="19"/>
              </w:rPr>
              <w:t>CORS</w:t>
            </w:r>
          </w:p>
        </w:tc>
        <w:tc>
          <w:tcPr>
            <w:tcW w:type="dxa" w:w="5760"/>
            <w:shd w:val="clear" w:color="auto" w:fill="F5F8FF"/>
          </w:tcPr>
          <w:p>
            <w:r/>
            <w:r>
              <w:rPr>
                <w:rFonts w:ascii="Calibri" w:hAnsi="Calibri"/>
                <w:sz w:val="19"/>
              </w:rPr>
              <w:t>Configurable allowed origins (default: localhost:3000, localhost:3003)</w:t>
            </w:r>
          </w:p>
        </w:tc>
      </w:tr>
    </w:tbl>
    <w:p/>
    <w:p>
      <w:pPr>
        <w:spacing w:before="360" w:after="80"/>
      </w:pPr>
      <w:r>
        <w:rPr>
          <w:rFonts w:ascii="Calibri" w:hAnsi="Calibri"/>
          <w:b/>
          <w:color w:val="0F3460"/>
          <w:sz w:val="28"/>
        </w:rPr>
        <w:t>9.  Intellectual Property — Proprietary Concepts</w:t>
      </w:r>
    </w:p>
    <w:p>
      <w:pPr>
        <w:pBdr>
          <w:bottom w:val="single" w:sz="12" w:space="1" w:color="0F3460"/>
        </w:pBdr>
        <w:spacing w:before="0" w:after="80"/>
      </w:pPr>
    </w:p>
    <w:p>
      <w:pPr>
        <w:spacing w:before="0" w:after="120" w:line="360" w:lineRule="auto"/>
      </w:pPr>
      <w:r>
        <w:rPr>
          <w:rFonts w:ascii="Calibri" w:hAnsi="Calibri"/>
          <w:color w:val="222222"/>
          <w:sz w:val="21"/>
        </w:rPr>
        <w:t xml:space="preserve">The following concepts are defined, documented, and implemented in this platform. Each represents a novel contribution with no direct commercial equivalent. All are </w:t>
      </w:r>
      <w:r>
        <w:rPr>
          <w:rFonts w:ascii="Calibri" w:hAnsi="Calibri"/>
          <w:b/>
          <w:color w:val="222222"/>
          <w:sz w:val="21"/>
        </w:rPr>
        <w:t>proprietary trade secrets of InformationPhysics.ai, LLC</w:t>
      </w:r>
      <w:r>
        <w:rPr>
          <w:rFonts w:ascii="Calibri" w:hAnsi="Calibri"/>
          <w:color w:val="222222"/>
          <w:sz w:val="21"/>
        </w:rPr>
        <w:t>.</w:t>
      </w:r>
    </w:p>
    <w:p>
      <w:pPr>
        <w:spacing w:before="120" w:after="40"/>
      </w:pPr>
      <w:r>
        <w:rPr>
          <w:rFonts w:ascii="Calibri" w:hAnsi="Calibri"/>
          <w:b/>
          <w:color w:val="0F3460"/>
          <w:sz w:val="21"/>
        </w:rPr>
        <w:t xml:space="preserve">  IP-01  Information Physics Standard Model</w:t>
      </w:r>
    </w:p>
    <w:p>
      <w:pPr>
        <w:spacing w:before="0" w:after="120" w:line="360" w:lineRule="auto"/>
      </w:pPr>
      <w:r>
        <w:rPr>
          <w:rFonts w:ascii="Calibri" w:hAnsi="Calibri"/>
          <w:color w:val="222222"/>
          <w:sz w:val="21"/>
        </w:rPr>
        <w:t xml:space="preserve">         A framework for representing, linking, and retrieving structured information through three deterministic layers (AIO → HSL → MRO), independent of embedding-based similarity. Documented in Papers I, II, and III.</w:t>
      </w:r>
    </w:p>
    <w:p>
      <w:pPr>
        <w:spacing w:before="120" w:after="40"/>
      </w:pPr>
      <w:r>
        <w:rPr>
          <w:rFonts w:ascii="Calibri" w:hAnsi="Calibri"/>
          <w:b/>
          <w:color w:val="0F3460"/>
          <w:sz w:val="21"/>
        </w:rPr>
        <w:t xml:space="preserve">  IP-02  Hyper-Semantic Layer (HSL)</w:t>
      </w:r>
    </w:p>
    <w:p>
      <w:pPr>
        <w:spacing w:before="0" w:after="120" w:line="360" w:lineRule="auto"/>
      </w:pPr>
      <w:r>
        <w:rPr>
          <w:rFonts w:ascii="Calibri" w:hAnsi="Calibri"/>
          <w:color w:val="222222"/>
          <w:sz w:val="21"/>
        </w:rPr>
        <w:t xml:space="preserve">         A precomputed pointer structure indexing AIO neighborhoods by element value. Enables O(1) graph traversal at query time with no index recomputation cost as the corpus grows.</w:t>
      </w:r>
    </w:p>
    <w:p>
      <w:pPr>
        <w:spacing w:before="120" w:after="40"/>
      </w:pPr>
      <w:r>
        <w:rPr>
          <w:rFonts w:ascii="Calibri" w:hAnsi="Calibri"/>
          <w:b/>
          <w:color w:val="0F3460"/>
          <w:sz w:val="21"/>
        </w:rPr>
        <w:t xml:space="preserve">  IP-03  Memory Result Objects (MROs)</w:t>
      </w:r>
    </w:p>
    <w:p>
      <w:pPr>
        <w:spacing w:before="0" w:after="120" w:line="360" w:lineRule="auto"/>
      </w:pPr>
      <w:r>
        <w:rPr>
          <w:rFonts w:ascii="Calibri" w:hAnsi="Calibri"/>
          <w:color w:val="222222"/>
          <w:sz w:val="21"/>
        </w:rPr>
        <w:t xml:space="preserve">         Episodic capture of complete retrieval episodes (query + cues + traversal + context + answer) as first-class database objects linked back into the HSL graph as [MRO.&lt;uuid&gt;] pointers.</w:t>
      </w:r>
    </w:p>
    <w:p>
      <w:pPr>
        <w:spacing w:before="120" w:after="40"/>
      </w:pPr>
      <w:r>
        <w:rPr>
          <w:rFonts w:ascii="Calibri" w:hAnsi="Calibri"/>
          <w:b/>
          <w:color w:val="0F3460"/>
          <w:sz w:val="21"/>
        </w:rPr>
        <w:t xml:space="preserve">  IP-04  Paper III — Precomputed Substrates</w:t>
      </w:r>
    </w:p>
    <w:p>
      <w:pPr>
        <w:spacing w:before="0" w:after="120" w:line="360" w:lineRule="auto"/>
      </w:pPr>
      <w:r>
        <w:rPr>
          <w:rFonts w:ascii="Calibri" w:hAnsi="Calibri"/>
          <w:color w:val="222222"/>
          <w:sz w:val="21"/>
        </w:rPr>
        <w:t xml:space="preserve">         A retrieval paradigm in which LLM context bundles are assembled through deterministic set-algebra (no embeddings) and delivered as structured substrates. Enables reproducible, auditable, bounded-cost inference across any corpus size.</w:t>
      </w:r>
    </w:p>
    <w:p>
      <w:pPr>
        <w:spacing w:before="120" w:after="40"/>
      </w:pPr>
      <w:r>
        <w:rPr>
          <w:rFonts w:ascii="Calibri" w:hAnsi="Calibri"/>
          <w:b/>
          <w:color w:val="0F3460"/>
          <w:sz w:val="21"/>
        </w:rPr>
        <w:t xml:space="preserve">  IP-05  MRO Ranking Formula</w:t>
      </w:r>
    </w:p>
    <w:p>
      <w:pPr>
        <w:spacing w:before="0" w:after="120" w:line="360" w:lineRule="auto"/>
      </w:pPr>
      <w:r>
        <w:rPr>
          <w:rFonts w:ascii="Calibri" w:hAnsi="Calibri"/>
          <w:color w:val="222222"/>
          <w:sz w:val="21"/>
        </w:rPr>
        <w:t xml:space="preserve">         score = Jaccard(K_m, K) × exp(−λ · age_days) × confidence_m — a compound relevance function for surfacing prior retrieval episodes ranked by topical similarity, freshness, and recorded confidence.</w:t>
      </w:r>
    </w:p>
    <w:p>
      <w:pPr>
        <w:spacing w:before="120" w:after="40"/>
      </w:pPr>
      <w:r>
        <w:rPr>
          <w:rFonts w:ascii="Calibri" w:hAnsi="Calibri"/>
          <w:b/>
          <w:color w:val="0F3460"/>
          <w:sz w:val="21"/>
        </w:rPr>
        <w:t xml:space="preserve">  IP-06  Tiered Context Assembly</w:t>
      </w:r>
    </w:p>
    <w:p>
      <w:pPr>
        <w:spacing w:before="0" w:after="120" w:line="360" w:lineRule="auto"/>
      </w:pPr>
      <w:r>
        <w:rPr>
          <w:rFonts w:ascii="Calibri" w:hAnsi="Calibri"/>
          <w:color w:val="222222"/>
          <w:sz w:val="21"/>
        </w:rPr>
        <w:t xml:space="preserve">         A three-tier context construction strategy (Tier 1: MRO priors, Tier 2: traversal-matched AIOs, Tier 3: seed AIOs) that prioritizes previously validated answers over raw data, improving answer quality as the MRO graph grows.</w:t>
      </w:r>
    </w:p>
    <w:p>
      <w:pPr>
        <w:spacing w:before="120" w:after="40"/>
      </w:pPr>
      <w:r>
        <w:rPr>
          <w:rFonts w:ascii="Calibri" w:hAnsi="Calibri"/>
          <w:b/>
          <w:color w:val="0F3460"/>
          <w:sz w:val="21"/>
        </w:rPr>
        <w:t xml:space="preserve">  IP-07  Self-Improving Knowledge Graph</w:t>
      </w:r>
    </w:p>
    <w:p>
      <w:pPr>
        <w:spacing w:before="0" w:after="120" w:line="360" w:lineRule="auto"/>
      </w:pPr>
      <w:r>
        <w:rPr>
          <w:rFonts w:ascii="Calibri" w:hAnsi="Calibri"/>
          <w:color w:val="222222"/>
          <w:sz w:val="21"/>
        </w:rPr>
        <w:t xml:space="preserve">         Each MRO capture and HSL linkage makes the graph denser and more responsive to future related queries. Knowledge compounds with use — without retraining or re-embedding any model.</w:t>
      </w:r>
    </w:p>
    <w:p>
      <w:pPr>
        <w:spacing w:before="120" w:after="40"/>
      </w:pPr>
      <w:r>
        <w:rPr>
          <w:rFonts w:ascii="Calibri" w:hAnsi="Calibri"/>
          <w:b/>
          <w:color w:val="0F3460"/>
          <w:sz w:val="21"/>
        </w:rPr>
        <w:t xml:space="preserve">  IP-08  Deterministic Cue Extraction</w:t>
      </w:r>
    </w:p>
    <w:p>
      <w:pPr>
        <w:spacing w:before="0" w:after="120" w:line="360" w:lineRule="auto"/>
      </w:pPr>
      <w:r>
        <w:rPr>
          <w:rFonts w:ascii="Calibri" w:hAnsi="Calibri"/>
          <w:color w:val="222222"/>
          <w:sz w:val="21"/>
        </w:rPr>
        <w:t xml:space="preserve">         Natural-language queries are parsed into structured {(field, value)} cue sets using lexical matching against corpus vocabulary — no LLM required at the extraction step, yielding reproducible, auditable input to the traversal algebra.</w:t>
      </w:r>
    </w:p>
    <w:p>
      <w:pPr>
        <w:spacing w:before="360" w:after="80"/>
      </w:pPr>
      <w:r>
        <w:rPr>
          <w:rFonts w:ascii="Calibri" w:hAnsi="Calibri"/>
          <w:b/>
          <w:color w:val="0F3460"/>
          <w:sz w:val="28"/>
        </w:rPr>
        <w:t>10.  Key Metrics and System Constraints</w:t>
      </w:r>
    </w:p>
    <w:p>
      <w:pPr>
        <w:pBdr>
          <w:bottom w:val="single" w:sz="12" w:space="1" w:color="0F3460"/>
        </w:pBdr>
        <w:spacing w:before="0" w:after="80"/>
      </w:pPr>
    </w:p>
    <w:tbl>
      <w:tblPr>
        <w:tblStyle w:val="TableGrid"/>
        <w:tblW w:type="auto" w:w="0"/>
        <w:tblLook w:firstColumn="1" w:firstRow="1" w:lastColumn="0" w:lastRow="0" w:noHBand="0" w:noVBand="1" w:val="04A0"/>
      </w:tblPr>
      <w:tblGrid>
        <w:gridCol w:w="4392"/>
        <w:gridCol w:w="4392"/>
      </w:tblGrid>
      <w:tr>
        <w:tc>
          <w:tcPr>
            <w:tcW w:type="dxa" w:w="4320"/>
            <w:shd w:val="clear" w:color="auto" w:fill="0F3460"/>
          </w:tcPr>
          <w:p>
            <w:pPr>
              <w:jc w:val="center"/>
            </w:pPr>
            <w:r/>
            <w:r>
              <w:rPr>
                <w:rFonts w:ascii="Calibri" w:hAnsi="Calibri"/>
                <w:b/>
                <w:color w:val="FFFFFF"/>
                <w:sz w:val="20"/>
              </w:rPr>
              <w:t>Parameter</w:t>
            </w:r>
          </w:p>
        </w:tc>
        <w:tc>
          <w:tcPr>
            <w:tcW w:type="dxa" w:w="4320"/>
            <w:shd w:val="clear" w:color="auto" w:fill="0F3460"/>
          </w:tcPr>
          <w:p>
            <w:pPr>
              <w:jc w:val="center"/>
            </w:pPr>
            <w:r/>
            <w:r>
              <w:rPr>
                <w:rFonts w:ascii="Calibri" w:hAnsi="Calibri"/>
                <w:b/>
                <w:color w:val="FFFFFF"/>
                <w:sz w:val="20"/>
              </w:rPr>
              <w:t>Value</w:t>
            </w:r>
          </w:p>
        </w:tc>
      </w:tr>
      <w:tr>
        <w:tc>
          <w:tcPr>
            <w:tcW w:type="dxa" w:w="4320"/>
            <w:shd w:val="clear" w:color="auto" w:fill="F5F8FF"/>
          </w:tcPr>
          <w:p>
            <w:r/>
            <w:r>
              <w:rPr>
                <w:rFonts w:ascii="Calibri" w:hAnsi="Calibri"/>
                <w:sz w:val="19"/>
              </w:rPr>
              <w:t>AIO element capacity</w:t>
            </w:r>
          </w:p>
        </w:tc>
        <w:tc>
          <w:tcPr>
            <w:tcW w:type="dxa" w:w="4320"/>
            <w:shd w:val="clear" w:color="auto" w:fill="F5F8FF"/>
          </w:tcPr>
          <w:p>
            <w:r/>
            <w:r>
              <w:rPr>
                <w:rFonts w:ascii="Calibri" w:hAnsi="Calibri"/>
                <w:sz w:val="19"/>
              </w:rPr>
              <w:t>50 fields per record</w:t>
            </w:r>
          </w:p>
        </w:tc>
      </w:tr>
      <w:tr>
        <w:tc>
          <w:tcPr>
            <w:tcW w:type="dxa" w:w="4320"/>
            <w:shd w:val="clear" w:color="auto" w:fill="FFFFFF"/>
          </w:tcPr>
          <w:p>
            <w:r/>
            <w:r>
              <w:rPr>
                <w:rFonts w:ascii="Calibri" w:hAnsi="Calibri"/>
                <w:sz w:val="19"/>
              </w:rPr>
              <w:t>HSL element capacity</w:t>
            </w:r>
          </w:p>
        </w:tc>
        <w:tc>
          <w:tcPr>
            <w:tcW w:type="dxa" w:w="4320"/>
            <w:shd w:val="clear" w:color="auto" w:fill="FFFFFF"/>
          </w:tcPr>
          <w:p>
            <w:r/>
            <w:r>
              <w:rPr>
                <w:rFonts w:ascii="Calibri" w:hAnsi="Calibri"/>
                <w:sz w:val="19"/>
              </w:rPr>
              <w:t>100 pointer slots per record</w:t>
            </w:r>
          </w:p>
        </w:tc>
      </w:tr>
      <w:tr>
        <w:tc>
          <w:tcPr>
            <w:tcW w:type="dxa" w:w="4320"/>
            <w:shd w:val="clear" w:color="auto" w:fill="F5F8FF"/>
          </w:tcPr>
          <w:p>
            <w:r/>
            <w:r>
              <w:rPr>
                <w:rFonts w:ascii="Calibri" w:hAnsi="Calibri"/>
                <w:sz w:val="19"/>
              </w:rPr>
              <w:t>MRO prior injection limit</w:t>
            </w:r>
          </w:p>
        </w:tc>
        <w:tc>
          <w:tcPr>
            <w:tcW w:type="dxa" w:w="4320"/>
            <w:shd w:val="clear" w:color="auto" w:fill="F5F8FF"/>
          </w:tcPr>
          <w:p>
            <w:r/>
            <w:r>
              <w:rPr>
                <w:rFonts w:ascii="Calibri" w:hAnsi="Calibri"/>
                <w:sz w:val="19"/>
              </w:rPr>
              <w:t>Top 5 ranked priors per query</w:t>
            </w:r>
          </w:p>
        </w:tc>
      </w:tr>
      <w:tr>
        <w:tc>
          <w:tcPr>
            <w:tcW w:type="dxa" w:w="4320"/>
            <w:shd w:val="clear" w:color="auto" w:fill="FFFFFF"/>
          </w:tcPr>
          <w:p>
            <w:r/>
            <w:r>
              <w:rPr>
                <w:rFonts w:ascii="Calibri" w:hAnsi="Calibri"/>
                <w:sz w:val="19"/>
              </w:rPr>
              <w:t>Broad search context limit</w:t>
            </w:r>
          </w:p>
        </w:tc>
        <w:tc>
          <w:tcPr>
            <w:tcW w:type="dxa" w:w="4320"/>
            <w:shd w:val="clear" w:color="auto" w:fill="FFFFFF"/>
          </w:tcPr>
          <w:p>
            <w:r/>
            <w:r>
              <w:rPr>
                <w:rFonts w:ascii="Calibri" w:hAnsi="Calibri"/>
                <w:sz w:val="19"/>
              </w:rPr>
              <w:t>300 AIO lines + 10 HSL blocks</w:t>
            </w:r>
          </w:p>
        </w:tc>
      </w:tr>
      <w:tr>
        <w:tc>
          <w:tcPr>
            <w:tcW w:type="dxa" w:w="4320"/>
            <w:shd w:val="clear" w:color="auto" w:fill="F5F8FF"/>
          </w:tcPr>
          <w:p>
            <w:r/>
            <w:r>
              <w:rPr>
                <w:rFonts w:ascii="Calibri" w:hAnsi="Calibri"/>
                <w:sz w:val="19"/>
              </w:rPr>
              <w:t>AIO Search fallback</w:t>
            </w:r>
          </w:p>
        </w:tc>
        <w:tc>
          <w:tcPr>
            <w:tcW w:type="dxa" w:w="4320"/>
            <w:shd w:val="clear" w:color="auto" w:fill="F5F8FF"/>
          </w:tcPr>
          <w:p>
            <w:r/>
            <w:r>
              <w:rPr>
                <w:rFonts w:ascii="Calibri" w:hAnsi="Calibri"/>
                <w:sz w:val="19"/>
              </w:rPr>
              <w:t>Full ILIKE across 50 element columns</w:t>
            </w:r>
          </w:p>
        </w:tc>
      </w:tr>
      <w:tr>
        <w:tc>
          <w:tcPr>
            <w:tcW w:type="dxa" w:w="4320"/>
            <w:shd w:val="clear" w:color="auto" w:fill="FFFFFF"/>
          </w:tcPr>
          <w:p>
            <w:r/>
            <w:r>
              <w:rPr>
                <w:rFonts w:ascii="Calibri" w:hAnsi="Calibri"/>
                <w:sz w:val="19"/>
              </w:rPr>
              <w:t>PDF upload limit</w:t>
            </w:r>
          </w:p>
        </w:tc>
        <w:tc>
          <w:tcPr>
            <w:tcW w:type="dxa" w:w="4320"/>
            <w:shd w:val="clear" w:color="auto" w:fill="FFFFFF"/>
          </w:tcPr>
          <w:p>
            <w:r/>
            <w:r>
              <w:rPr>
                <w:rFonts w:ascii="Calibri" w:hAnsi="Calibri"/>
                <w:sz w:val="19"/>
              </w:rPr>
              <w:t>20 MB</w:t>
            </w:r>
          </w:p>
        </w:tc>
      </w:tr>
      <w:tr>
        <w:tc>
          <w:tcPr>
            <w:tcW w:type="dxa" w:w="4320"/>
            <w:shd w:val="clear" w:color="auto" w:fill="F5F8FF"/>
          </w:tcPr>
          <w:p>
            <w:r/>
            <w:r>
              <w:rPr>
                <w:rFonts w:ascii="Calibri" w:hAnsi="Calibri"/>
                <w:sz w:val="19"/>
              </w:rPr>
              <w:t>Response max tokens</w:t>
            </w:r>
          </w:p>
        </w:tc>
        <w:tc>
          <w:tcPr>
            <w:tcW w:type="dxa" w:w="4320"/>
            <w:shd w:val="clear" w:color="auto" w:fill="F5F8FF"/>
          </w:tcPr>
          <w:p>
            <w:r/>
            <w:r>
              <w:rPr>
                <w:rFonts w:ascii="Calibri" w:hAnsi="Calibri"/>
                <w:sz w:val="19"/>
              </w:rPr>
              <w:t>2,048 (chat); 8,192 (PDF extract)</w:t>
            </w:r>
          </w:p>
        </w:tc>
      </w:tr>
      <w:tr>
        <w:tc>
          <w:tcPr>
            <w:tcW w:type="dxa" w:w="4320"/>
            <w:shd w:val="clear" w:color="auto" w:fill="FFFFFF"/>
          </w:tcPr>
          <w:p>
            <w:r/>
            <w:r>
              <w:rPr>
                <w:rFonts w:ascii="Calibri" w:hAnsi="Calibri"/>
                <w:sz w:val="19"/>
              </w:rPr>
              <w:t>Cue parse max tokens</w:t>
            </w:r>
          </w:p>
        </w:tc>
        <w:tc>
          <w:tcPr>
            <w:tcW w:type="dxa" w:w="4320"/>
            <w:shd w:val="clear" w:color="auto" w:fill="FFFFFF"/>
          </w:tcPr>
          <w:p>
            <w:r/>
            <w:r>
              <w:rPr>
                <w:rFonts w:ascii="Calibri" w:hAnsi="Calibri"/>
                <w:sz w:val="19"/>
              </w:rPr>
              <w:t>500 (search term extraction)</w:t>
            </w:r>
          </w:p>
        </w:tc>
      </w:tr>
      <w:tr>
        <w:tc>
          <w:tcPr>
            <w:tcW w:type="dxa" w:w="4320"/>
            <w:shd w:val="clear" w:color="auto" w:fill="F5F8FF"/>
          </w:tcPr>
          <w:p>
            <w:r/>
            <w:r>
              <w:rPr>
                <w:rFonts w:ascii="Calibri" w:hAnsi="Calibri"/>
                <w:sz w:val="19"/>
              </w:rPr>
              <w:t>Database migrations</w:t>
            </w:r>
          </w:p>
        </w:tc>
        <w:tc>
          <w:tcPr>
            <w:tcW w:type="dxa" w:w="4320"/>
            <w:shd w:val="clear" w:color="auto" w:fill="F5F8FF"/>
          </w:tcPr>
          <w:p>
            <w:r/>
            <w:r>
              <w:rPr>
                <w:rFonts w:ascii="Calibri" w:hAnsi="Calibri"/>
                <w:sz w:val="19"/>
              </w:rPr>
              <w:t>14 SQL files — auto-applied at startup</w:t>
            </w:r>
          </w:p>
        </w:tc>
      </w:tr>
      <w:tr>
        <w:tc>
          <w:tcPr>
            <w:tcW w:type="dxa" w:w="4320"/>
            <w:shd w:val="clear" w:color="auto" w:fill="FFFFFF"/>
          </w:tcPr>
          <w:p>
            <w:r/>
            <w:r>
              <w:rPr>
                <w:rFonts w:ascii="Calibri" w:hAnsi="Calibri"/>
                <w:sz w:val="19"/>
              </w:rPr>
              <w:t>API endpoints (FastAPI)</w:t>
            </w:r>
          </w:p>
        </w:tc>
        <w:tc>
          <w:tcPr>
            <w:tcW w:type="dxa" w:w="4320"/>
            <w:shd w:val="clear" w:color="auto" w:fill="FFFFFF"/>
          </w:tcPr>
          <w:p>
            <w:r/>
            <w:r>
              <w:rPr>
                <w:rFonts w:ascii="Calibri" w:hAnsi="Calibri"/>
                <w:sz w:val="19"/>
              </w:rPr>
              <w:t>~45 endpoints</w:t>
            </w:r>
          </w:p>
        </w:tc>
      </w:tr>
      <w:tr>
        <w:tc>
          <w:tcPr>
            <w:tcW w:type="dxa" w:w="4320"/>
            <w:shd w:val="clear" w:color="auto" w:fill="F5F8FF"/>
          </w:tcPr>
          <w:p>
            <w:r/>
            <w:r>
              <w:rPr>
                <w:rFonts w:ascii="Calibri" w:hAnsi="Calibri"/>
                <w:sz w:val="19"/>
              </w:rPr>
              <w:t>Frontend proxy routes</w:t>
            </w:r>
          </w:p>
        </w:tc>
        <w:tc>
          <w:tcPr>
            <w:tcW w:type="dxa" w:w="4320"/>
            <w:shd w:val="clear" w:color="auto" w:fill="F5F8FF"/>
          </w:tcPr>
          <w:p>
            <w:r/>
            <w:r>
              <w:rPr>
                <w:rFonts w:ascii="Calibri" w:hAnsi="Calibri"/>
                <w:sz w:val="19"/>
              </w:rPr>
              <w:t>~25 Next.js route handlers</w:t>
            </w:r>
          </w:p>
        </w:tc>
      </w:tr>
      <w:tr>
        <w:tc>
          <w:tcPr>
            <w:tcW w:type="dxa" w:w="4320"/>
            <w:shd w:val="clear" w:color="auto" w:fill="FFFFFF"/>
          </w:tcPr>
          <w:p>
            <w:r/>
            <w:r>
              <w:rPr>
                <w:rFonts w:ascii="Calibri" w:hAnsi="Calibri"/>
                <w:sz w:val="19"/>
              </w:rPr>
              <w:t>Admin panel tabs</w:t>
            </w:r>
          </w:p>
        </w:tc>
        <w:tc>
          <w:tcPr>
            <w:tcW w:type="dxa" w:w="4320"/>
            <w:shd w:val="clear" w:color="auto" w:fill="FFFFFF"/>
          </w:tcPr>
          <w:p>
            <w:r/>
            <w:r>
              <w:rPr>
                <w:rFonts w:ascii="Calibri" w:hAnsi="Calibri"/>
                <w:sz w:val="19"/>
              </w:rPr>
              <w:t>10 management tabs</w:t>
            </w:r>
          </w:p>
        </w:tc>
      </w:tr>
      <w:tr>
        <w:tc>
          <w:tcPr>
            <w:tcW w:type="dxa" w:w="4320"/>
            <w:shd w:val="clear" w:color="auto" w:fill="F5F8FF"/>
          </w:tcPr>
          <w:p>
            <w:r/>
            <w:r>
              <w:rPr>
                <w:rFonts w:ascii="Calibri" w:hAnsi="Calibri"/>
                <w:sz w:val="19"/>
              </w:rPr>
              <w:t>Default tenant</w:t>
            </w:r>
          </w:p>
        </w:tc>
        <w:tc>
          <w:tcPr>
            <w:tcW w:type="dxa" w:w="4320"/>
            <w:shd w:val="clear" w:color="auto" w:fill="F5F8FF"/>
          </w:tcPr>
          <w:p>
            <w:r/>
            <w:r>
              <w:rPr>
                <w:rFonts w:ascii="Calibri" w:hAnsi="Calibri"/>
                <w:sz w:val="19"/>
              </w:rPr>
              <w:t>tenantA  (RLS enforced)</w:t>
            </w:r>
          </w:p>
        </w:tc>
      </w:tr>
      <w:tr>
        <w:tc>
          <w:tcPr>
            <w:tcW w:type="dxa" w:w="4320"/>
            <w:shd w:val="clear" w:color="auto" w:fill="FFFFFF"/>
          </w:tcPr>
          <w:p>
            <w:r/>
            <w:r>
              <w:rPr>
                <w:rFonts w:ascii="Calibri" w:hAnsi="Calibri"/>
                <w:sz w:val="19"/>
              </w:rPr>
              <w:t>Platform version</w:t>
            </w:r>
          </w:p>
        </w:tc>
        <w:tc>
          <w:tcPr>
            <w:tcW w:type="dxa" w:w="4320"/>
            <w:shd w:val="clear" w:color="auto" w:fill="FFFFFF"/>
          </w:tcPr>
          <w:p>
            <w:r/>
            <w:r>
              <w:rPr>
                <w:rFonts w:ascii="Calibri" w:hAnsi="Calibri"/>
                <w:sz w:val="19"/>
              </w:rPr>
              <w:t>V3.5  —  April 2026</w:t>
            </w:r>
          </w:p>
        </w:tc>
      </w:tr>
    </w:tbl>
    <w:p/>
    <w:p>
      <w:pPr>
        <w:spacing w:before="360" w:after="80"/>
      </w:pPr>
      <w:r>
        <w:rPr>
          <w:rFonts w:ascii="Calibri" w:hAnsi="Calibri"/>
          <w:b/>
          <w:color w:val="0F3460"/>
          <w:sz w:val="28"/>
        </w:rPr>
        <w:t>11.  Summary Assessment</w:t>
      </w:r>
    </w:p>
    <w:p>
      <w:pPr>
        <w:pBdr>
          <w:bottom w:val="single" w:sz="12" w:space="1" w:color="0F3460"/>
        </w:pBdr>
        <w:spacing w:before="0" w:after="80"/>
      </w:pPr>
    </w:p>
    <w:p>
      <w:pPr>
        <w:spacing w:before="0" w:after="120" w:line="360" w:lineRule="auto"/>
      </w:pPr>
      <w:r>
        <w:rPr>
          <w:rFonts w:ascii="Calibri" w:hAnsi="Calibri"/>
          <w:color w:val="222222"/>
          <w:sz w:val="21"/>
        </w:rPr>
        <w:t>The Information Physics Demo System is a coherent, production-deployed implementation of a genuinely novel AI retrieval architecture. Its differentiation from the commercial market rests on five pillars:</w:t>
      </w:r>
    </w:p>
    <w:p>
      <w:pPr>
        <w:spacing w:before="120" w:after="40"/>
        <w:ind w:left="432"/>
      </w:pPr>
      <w:r>
        <w:rPr>
          <w:rFonts w:ascii="Calibri" w:hAnsi="Calibri"/>
          <w:b/>
          <w:color w:val="0F3460"/>
          <w:sz w:val="21"/>
        </w:rPr>
        <w:t xml:space="preserve">Determinism:  </w:t>
      </w:r>
      <w:r>
        <w:rPr>
          <w:rFonts w:ascii="Calibri" w:hAnsi="Calibri"/>
          <w:sz w:val="21"/>
        </w:rPr>
        <w:t>Same query produces the same cue set, the same traversal, and the same context bundle. No probabilistic similarity drift across runs or corpus changes.</w:t>
      </w:r>
    </w:p>
    <w:p>
      <w:pPr>
        <w:spacing w:before="120" w:after="40"/>
        <w:ind w:left="432"/>
      </w:pPr>
      <w:r>
        <w:rPr>
          <w:rFonts w:ascii="Calibri" w:hAnsi="Calibri"/>
          <w:b/>
          <w:color w:val="0F3460"/>
          <w:sz w:val="21"/>
        </w:rPr>
        <w:t xml:space="preserve">Auditability:  </w:t>
      </w:r>
      <w:r>
        <w:rPr>
          <w:rFonts w:ascii="Calibri" w:hAnsi="Calibri"/>
          <w:sz w:val="21"/>
        </w:rPr>
        <w:t>Every retrieval episode is recorded in full. The complete path from query to answer — cues, HSL traversal, matched AIOs, MRO priors, synthesized answer — is traceable and reproducible.</w:t>
      </w:r>
    </w:p>
    <w:p>
      <w:pPr>
        <w:spacing w:before="120" w:after="40"/>
        <w:ind w:left="432"/>
      </w:pPr>
      <w:r>
        <w:rPr>
          <w:rFonts w:ascii="Calibri" w:hAnsi="Calibri"/>
          <w:b/>
          <w:color w:val="0F3460"/>
          <w:sz w:val="21"/>
        </w:rPr>
        <w:t xml:space="preserve">Cost Bounding:  </w:t>
      </w:r>
      <w:r>
        <w:rPr>
          <w:rFonts w:ascii="Calibri" w:hAnsi="Calibri"/>
          <w:sz w:val="21"/>
        </w:rPr>
        <w:t>Context size is a function of HSL neighborhood size, not total corpus size. Cost does not grow linearly with data volume as it does in embedding-based systems.</w:t>
      </w:r>
    </w:p>
    <w:p>
      <w:pPr>
        <w:spacing w:before="120" w:after="40"/>
        <w:ind w:left="432"/>
      </w:pPr>
      <w:r>
        <w:rPr>
          <w:rFonts w:ascii="Calibri" w:hAnsi="Calibri"/>
          <w:b/>
          <w:color w:val="0F3460"/>
          <w:sz w:val="21"/>
        </w:rPr>
        <w:t xml:space="preserve">Compounding Value:  </w:t>
      </w:r>
      <w:r>
        <w:rPr>
          <w:rFonts w:ascii="Calibri" w:hAnsi="Calibri"/>
          <w:sz w:val="21"/>
        </w:rPr>
        <w:t>MRO linkage means the system improves measurably with use, without retraining or re-embedding any model. Each answered query that is saved enriches future answers on related topics.</w:t>
      </w:r>
    </w:p>
    <w:p>
      <w:pPr>
        <w:spacing w:before="120" w:after="40"/>
        <w:ind w:left="432"/>
      </w:pPr>
      <w:r>
        <w:rPr>
          <w:rFonts w:ascii="Calibri" w:hAnsi="Calibri"/>
          <w:b/>
          <w:color w:val="0F3460"/>
          <w:sz w:val="21"/>
        </w:rPr>
        <w:t xml:space="preserve">Deployment Flexibility:  </w:t>
      </w:r>
      <w:r>
        <w:rPr>
          <w:rFonts w:ascii="Calibri" w:hAnsi="Calibri"/>
          <w:sz w:val="21"/>
        </w:rPr>
        <w:t>The same codebase runs as a Railway cloud service, a self-hosted Docker stack, or a fully air-gapped native desktop application — serving cloud, enterprise, and secure facility use cases from a single implementation.</w:t>
      </w:r>
    </w:p>
    <w:p/>
    <w:p>
      <w:pPr>
        <w:spacing w:before="0" w:after="120" w:line="360" w:lineRule="auto"/>
      </w:pPr>
      <w:r>
        <w:rPr>
          <w:rFonts w:ascii="Calibri" w:hAnsi="Calibri"/>
          <w:color w:val="222222"/>
          <w:sz w:val="21"/>
        </w:rPr>
        <w:t>The intellectual property is original, documented in proprietary reference papers, and has no direct commercial equivalent. The technology is implemented end-to-end in a modern production stack — Next.js 16, FastAPI, PostgreSQL 15, Electron 28, Claude Sonnet 4.6 — under active version-controlled development with CI/CD on Railway.</w:t>
      </w:r>
    </w:p>
    <w:p/>
    <w:p>
      <w:pPr>
        <w:pBdr>
          <w:bottom w:val="single" w:sz="12" w:space="1" w:color="CC0000"/>
        </w:pBdr>
        <w:spacing w:before="0" w:after="80"/>
      </w:pPr>
    </w:p>
    <w:p>
      <w:pPr>
        <w:jc w:val="center"/>
      </w:pPr>
      <w:r>
        <w:rPr>
          <w:rFonts w:ascii="Calibri" w:hAnsi="Calibri"/>
          <w:b/>
          <w:color w:val="CC0000"/>
          <w:sz w:val="17"/>
        </w:rPr>
        <w:t>TRADE SECRET AND PROPRIETARY INFORMATION OF INFORMATIONPHYSICS.AI, LLC</w:t>
        <w:br/>
        <w:t>© 2026 InformationPhysics.ai, LLC. All rights reserved.</w:t>
        <w:br/>
        <w:t>Unauthorized disclosure or reproduction is prohibited under applicable trade secret law.</w:t>
      </w:r>
    </w:p>
    <w:sectPr w:rsidR="00FC693F" w:rsidRPr="0006063C" w:rsidSect="00034616">
      <w:head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 xml:space="preserve">InformationPhysics.ai — Due Diligence Review  |  </w:t>
    </w:r>
    <w:r>
      <w:rPr>
        <w:rFonts w:ascii="Calibri" w:hAnsi="Calibri"/>
        <w:b/>
        <w:color w:val="CC0000"/>
        <w:sz w:val="16"/>
      </w:rPr>
      <w:t>TRADE SECRET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