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80"/>
        <w:jc w:val="left"/>
      </w:pPr>
      <w:r>
        <w:rPr>
          <w:rFonts w:ascii="Calibri" w:cs="Calibri" w:eastAsia="Calibri" w:hAnsi="Calibri"/>
          <w:b w:val="false"/>
          <w:bCs w:val="false"/>
          <w:i w:val="false"/>
          <w:iCs w:val="false"/>
          <w:color w:val="1A1A1A"/>
          <w:sz w:val="21"/>
          <w:szCs w:val="21"/>
        </w:rPr>
        <w:t xml:space="preserve"/>
      </w:r>
    </w:p>
    <w:p>
      <w:pPr>
        <w:spacing w:after="60" w:before="60" w:line="280"/>
        <w:jc w:val="left"/>
      </w:pPr>
      <w:r>
        <w:rPr>
          <w:rFonts w:ascii="Calibri" w:cs="Calibri" w:eastAsia="Calibri" w:hAnsi="Calibri"/>
          <w:b w:val="false"/>
          <w:bCs w:val="false"/>
          <w:i w:val="false"/>
          <w:iCs w:val="false"/>
          <w:color w:val="1A1A1A"/>
          <w:sz w:val="21"/>
          <w:szCs w:val="21"/>
        </w:rPr>
        <w:t xml:space="preserve"/>
      </w:r>
    </w:p>
    <w:p>
      <w:pPr>
        <w:pBdr>
          <w:bottom w:val="single" w:color="C09853" w:sz="24" w:space="1"/>
        </w:pBdr>
        <w:spacing w:after="40" w:before="0"/>
      </w:pPr>
      <w:r>
        <w:t xml:space="preserve"/>
      </w:r>
    </w:p>
    <w:p>
      <w:pPr>
        <w:spacing w:after="40" w:before="60" w:line="280"/>
        <w:jc w:val="center"/>
      </w:pPr>
      <w:r>
        <w:rPr>
          <w:rFonts w:ascii="Calibri" w:cs="Calibri" w:eastAsia="Calibri" w:hAnsi="Calibri"/>
          <w:b/>
          <w:bCs/>
          <w:i w:val="false"/>
          <w:iCs w:val="false"/>
          <w:color w:val="1F3864"/>
          <w:sz w:val="22"/>
          <w:szCs w:val="22"/>
        </w:rPr>
        <w:t xml:space="preserve">INFORMATION PHYSICS</w:t>
      </w:r>
    </w:p>
    <w:p>
      <w:pPr>
        <w:spacing w:after="0" w:before="60" w:line="280"/>
        <w:jc w:val="center"/>
      </w:pPr>
      <w:r>
        <w:rPr>
          <w:rFonts w:ascii="Calibri" w:cs="Calibri" w:eastAsia="Calibri" w:hAnsi="Calibri"/>
          <w:b w:val="false"/>
          <w:bCs w:val="false"/>
          <w:i/>
          <w:iCs/>
          <w:color w:val="2E5090"/>
          <w:sz w:val="18"/>
          <w:szCs w:val="18"/>
        </w:rPr>
        <w:t xml:space="preserve">ChatAIO Engineering Reference</w:t>
      </w:r>
    </w:p>
    <w:p>
      <w:pPr>
        <w:pBdr>
          <w:bottom w:val="single" w:color="C09853" w:sz="8" w:space="1"/>
        </w:pBdr>
        <w:spacing w:after="320" w:before="40"/>
      </w:pPr>
      <w:r>
        <w:t xml:space="preserve"/>
      </w:r>
    </w:p>
    <w:p>
      <w:pPr>
        <w:spacing w:after="60" w:before="60" w:line="280"/>
        <w:jc w:val="left"/>
      </w:pPr>
      <w:r>
        <w:rPr>
          <w:rFonts w:ascii="Calibri" w:cs="Calibri" w:eastAsia="Calibri" w:hAnsi="Calibri"/>
          <w:b w:val="false"/>
          <w:bCs w:val="false"/>
          <w:i w:val="false"/>
          <w:iCs w:val="false"/>
          <w:color w:val="1A1A1A"/>
          <w:sz w:val="21"/>
          <w:szCs w:val="21"/>
        </w:rPr>
        <w:t xml:space="preserve"/>
      </w:r>
    </w:p>
    <w:p>
      <w:pPr>
        <w:spacing w:after="60" w:before="60" w:line="280"/>
        <w:jc w:val="left"/>
      </w:pPr>
      <w:r>
        <w:rPr>
          <w:rFonts w:ascii="Calibri" w:cs="Calibri" w:eastAsia="Calibri" w:hAnsi="Calibri"/>
          <w:b w:val="false"/>
          <w:bCs w:val="false"/>
          <w:i w:val="false"/>
          <w:iCs w:val="false"/>
          <w:color w:val="1A1A1A"/>
          <w:sz w:val="21"/>
          <w:szCs w:val="21"/>
        </w:rPr>
        <w:t xml:space="preserve"/>
      </w:r>
    </w:p>
    <w:p>
      <w:pPr>
        <w:spacing w:after="60" w:before="60" w:line="280"/>
        <w:jc w:val="left"/>
      </w:pPr>
      <w:r>
        <w:rPr>
          <w:rFonts w:ascii="Calibri" w:cs="Calibri" w:eastAsia="Calibri" w:hAnsi="Calibri"/>
          <w:b w:val="false"/>
          <w:bCs w:val="false"/>
          <w:i w:val="false"/>
          <w:iCs w:val="false"/>
          <w:color w:val="1A1A1A"/>
          <w:sz w:val="21"/>
          <w:szCs w:val="21"/>
        </w:rPr>
        <w:t xml:space="preserve"/>
      </w:r>
    </w:p>
    <w:p>
      <w:pPr>
        <w:spacing w:after="60" w:before="60" w:line="280"/>
        <w:jc w:val="left"/>
      </w:pPr>
      <w:r>
        <w:rPr>
          <w:rFonts w:ascii="Calibri" w:cs="Calibri" w:eastAsia="Calibri" w:hAnsi="Calibri"/>
          <w:b w:val="false"/>
          <w:bCs w:val="false"/>
          <w:i w:val="false"/>
          <w:iCs w:val="false"/>
          <w:color w:val="1A1A1A"/>
          <w:sz w:val="21"/>
          <w:szCs w:val="21"/>
        </w:rPr>
        <w:t xml:space="preserve"/>
      </w:r>
    </w:p>
    <w:p>
      <w:pPr>
        <w:spacing w:after="280" w:before="60" w:line="280"/>
        <w:jc w:val="center"/>
      </w:pPr>
      <w:r>
        <w:rPr>
          <w:rFonts w:ascii="Calibri" w:cs="Calibri" w:eastAsia="Calibri" w:hAnsi="Calibri"/>
          <w:b/>
          <w:bCs/>
          <w:i w:val="false"/>
          <w:iCs w:val="false"/>
          <w:color w:val="C09853"/>
          <w:sz w:val="20"/>
          <w:szCs w:val="20"/>
        </w:rPr>
        <w:t xml:space="preserve">CONFIDENTIAL — Trade Secret Reference</w:t>
      </w:r>
    </w:p>
    <w:p>
      <w:pPr>
        <w:spacing w:after="80" w:before="60" w:line="280"/>
        <w:jc w:val="center"/>
      </w:pPr>
      <w:r>
        <w:rPr>
          <w:rFonts w:ascii="Calibri" w:cs="Calibri" w:eastAsia="Calibri" w:hAnsi="Calibri"/>
          <w:b/>
          <w:bCs/>
          <w:i w:val="false"/>
          <w:iCs w:val="false"/>
          <w:color w:val="1F3864"/>
          <w:sz w:val="44"/>
          <w:szCs w:val="44"/>
        </w:rPr>
        <w:t xml:space="preserve">Architecture Overview</w:t>
      </w:r>
    </w:p>
    <w:p>
      <w:pPr>
        <w:spacing w:after="320" w:before="60" w:line="280"/>
        <w:jc w:val="center"/>
      </w:pPr>
      <w:r>
        <w:rPr>
          <w:rFonts w:ascii="Calibri" w:cs="Calibri" w:eastAsia="Calibri" w:hAnsi="Calibri"/>
          <w:b w:val="false"/>
          <w:bCs w:val="false"/>
          <w:i/>
          <w:iCs/>
          <w:color w:val="2E5090"/>
          <w:sz w:val="24"/>
          <w:szCs w:val="24"/>
        </w:rPr>
        <w:t xml:space="preserve">The three-layer model, four ChatAIO modes, and the trade-secret invariants</w:t>
      </w:r>
    </w:p>
    <w:p>
      <w:pPr>
        <w:spacing w:after="60" w:before="60" w:line="280"/>
        <w:jc w:val="left"/>
      </w:pPr>
      <w:r>
        <w:rPr>
          <w:rFonts w:ascii="Calibri" w:cs="Calibri" w:eastAsia="Calibri" w:hAnsi="Calibri"/>
          <w:b w:val="false"/>
          <w:bCs w:val="false"/>
          <w:i w:val="false"/>
          <w:iCs w:val="false"/>
          <w:color w:val="1A1A1A"/>
          <w:sz w:val="21"/>
          <w:szCs w:val="21"/>
        </w:rPr>
        <w:t xml:space="preserve"/>
      </w:r>
    </w:p>
    <w:p>
      <w:pPr>
        <w:spacing w:after="60" w:before="60" w:line="280"/>
        <w:jc w:val="left"/>
      </w:pPr>
      <w:r>
        <w:rPr>
          <w:rFonts w:ascii="Calibri" w:cs="Calibri" w:eastAsia="Calibri" w:hAnsi="Calibri"/>
          <w:b w:val="false"/>
          <w:bCs w:val="false"/>
          <w:i w:val="false"/>
          <w:iCs w:val="false"/>
          <w:color w:val="1A1A1A"/>
          <w:sz w:val="21"/>
          <w:szCs w:val="21"/>
        </w:rPr>
        <w:t xml:space="preserve"/>
      </w:r>
    </w:p>
    <w:p>
      <w:pPr>
        <w:spacing w:after="60" w:before="60" w:line="280"/>
        <w:jc w:val="left"/>
      </w:pPr>
      <w:r>
        <w:rPr>
          <w:rFonts w:ascii="Calibri" w:cs="Calibri" w:eastAsia="Calibri" w:hAnsi="Calibri"/>
          <w:b w:val="false"/>
          <w:bCs w:val="false"/>
          <w:i w:val="false"/>
          <w:iCs w:val="false"/>
          <w:color w:val="1A1A1A"/>
          <w:sz w:val="21"/>
          <w:szCs w:val="21"/>
        </w:rPr>
        <w:t xml:space="preserve"/>
      </w:r>
    </w:p>
    <w:p>
      <w:pPr>
        <w:pBdr>
          <w:top w:val="single" w:color="C09853" w:sz="8" w:space="1"/>
        </w:pBdr>
        <w:spacing w:after="40" w:before="320"/>
      </w:pPr>
      <w:r>
        <w:t xml:space="preserve"/>
      </w:r>
    </w:p>
    <w:p>
      <w:pPr>
        <w:spacing w:after="60" w:before="60" w:line="280"/>
        <w:jc w:val="center"/>
      </w:pPr>
      <w:r>
        <w:rPr>
          <w:rFonts w:ascii="Calibri" w:cs="Calibri" w:eastAsia="Calibri" w:hAnsi="Calibri"/>
          <w:b w:val="false"/>
          <w:bCs w:val="false"/>
          <w:i/>
          <w:iCs/>
          <w:color w:val="2E5090"/>
          <w:sz w:val="18"/>
          <w:szCs w:val="18"/>
        </w:rPr>
        <w:t xml:space="preserve">V4.5  ·  April 2026  ·  InformationPhysics.ai, LLC</w:t>
      </w:r>
    </w:p>
    <w:p>
      <w:pPr>
        <w:spacing w:after="40" w:before="60" w:line="280"/>
        <w:jc w:val="center"/>
      </w:pPr>
      <w:r>
        <w:rPr>
          <w:rFonts w:ascii="Calibri" w:cs="Calibri" w:eastAsia="Calibri" w:hAnsi="Calibri"/>
          <w:b w:val="false"/>
          <w:bCs w:val="false"/>
          <w:i/>
          <w:iCs/>
          <w:color w:val="606060"/>
          <w:sz w:val="17"/>
          <w:szCs w:val="17"/>
        </w:rPr>
        <w:t xml:space="preserve">Subject to non-disclosure agreement on file. Not for redistribution.</w:t>
      </w:r>
    </w:p>
    <w:p>
      <w:r>
        <w:br w:type="page"/>
      </w:r>
    </w:p>
    <w:p>
      <w:pPr>
        <w:pStyle w:val="Heading1"/>
        <w:pBdr>
          <w:bottom w:val="single" w:color="1F3864" w:sz="8" w:space="4"/>
        </w:pBdr>
        <w:spacing w:after="160" w:before="360" w:line="320"/>
      </w:pPr>
      <w:r>
        <w:rPr>
          <w:rFonts w:ascii="Calibri" w:cs="Calibri" w:eastAsia="Calibri" w:hAnsi="Calibri"/>
          <w:b/>
          <w:bCs/>
          <w:color w:val="C09853"/>
          <w:sz w:val="32"/>
          <w:szCs w:val="32"/>
        </w:rPr>
        <w:t xml:space="preserve">§0.  </w:t>
      </w:r>
      <w:r>
        <w:rPr>
          <w:rFonts w:ascii="Calibri" w:cs="Calibri" w:eastAsia="Calibri" w:hAnsi="Calibri"/>
          <w:b/>
          <w:bCs/>
          <w:color w:val="1F3864"/>
          <w:sz w:val="32"/>
          <w:szCs w:val="32"/>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Field</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Value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Title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Information Physics — Architecture Overview</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Document type</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Confidential / Trade Secret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Version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V4.5</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Release</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April 2026</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Organization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InformationPhysics.ai, LLC</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Generated</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2026-04-29 17:03:18 UTC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Distribution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Internal · NDA-controlled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Supersedes</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Any prior description of the same subject in earlier release notes or technotes</w:t>
            </w:r>
          </w:p>
        </w:tc>
      </w:tr>
    </w:tbl>
    <w:p>
      <w:pPr>
        <w:spacing w:after="60" w:before="60" w:line="280"/>
        <w:jc w:val="left"/>
      </w:pPr>
      <w:r>
        <w:rPr>
          <w:rFonts w:ascii="Calibri" w:cs="Calibri" w:eastAsia="Calibri" w:hAnsi="Calibri"/>
          <w:b w:val="false"/>
          <w:bCs w:val="false"/>
          <w:i w:val="false"/>
          <w:iCs w:val="false"/>
          <w:color w:val="1A1A1A"/>
          <w:sz w:val="21"/>
          <w:szCs w:val="21"/>
        </w:rPr>
        <w:t xml:space="preserve"/>
      </w:r>
    </w:p>
    <w:p>
      <w:pPr>
        <w:pStyle w:val="Heading2"/>
        <w:spacing w:after="100" w:before="240" w:line="300"/>
      </w:pPr>
      <w:r>
        <w:rPr>
          <w:rFonts w:ascii="Calibri" w:cs="Calibri" w:eastAsia="Calibri" w:hAnsi="Calibri"/>
          <w:b/>
          <w:bCs/>
          <w:color w:val="2E5090"/>
          <w:sz w:val="26"/>
          <w:szCs w:val="26"/>
        </w:rPr>
        <w:t xml:space="preserve">Abstract</w:t>
      </w:r>
    </w:p>
    <w:p>
      <w:pPr>
        <w:spacing w:after="60" w:before="60" w:line="280"/>
        <w:jc w:val="left"/>
      </w:pPr>
      <w:r>
        <w:rPr>
          <w:rFonts w:ascii="Calibri" w:cs="Calibri" w:eastAsia="Calibri" w:hAnsi="Calibri"/>
          <w:b w:val="false"/>
          <w:bCs w:val="false"/>
          <w:i w:val="false"/>
          <w:iCs w:val="false"/>
          <w:color w:val="1A1A1A"/>
          <w:sz w:val="21"/>
          <w:szCs w:val="21"/>
        </w:rPr>
        <w:t xml:space="preserve">Big-picture overview of Information Physics for engineering, business, and counsel audiences. Covers the three-layer data model (AIO / HSL / MRO), the four ChatAIO retrieval modes, the three trade-secret invariants that distinguish this from a conventional embedding-RAG implementation, the implementation stack, the demo dataset profile, and the V4.6+ roadmap. Pairs with the deeper algorithmic technotes (Cue Extraction, Substrate Diversity &amp; Dedup, MRO Lifecycle &amp; Linkage).</w:t>
      </w:r>
    </w:p>
    <w:p>
      <w:pPr>
        <w:spacing w:after="60" w:before="60" w:line="280"/>
        <w:jc w:val="left"/>
      </w:pPr>
      <w:r>
        <w:rPr>
          <w:rFonts w:ascii="Calibri" w:cs="Calibri" w:eastAsia="Calibri" w:hAnsi="Calibri"/>
          <w:b w:val="false"/>
          <w:bCs w:val="false"/>
          <w:i w:val="false"/>
          <w:iCs w:val="false"/>
          <w:color w:val="1A1A1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9853" w:sz="12"/>
              <w:left w:val="single" w:color="C09853" w:sz="12"/>
              <w:bottom w:val="single" w:color="C09853" w:sz="4"/>
              <w:right w:val="single" w:color="C09853" w:sz="4"/>
            </w:tcBorders>
            <w:shd w:fill="FFF8E7" w:val="clear"/>
            <w:tcMar>
              <w:top w:type="dxa" w:w="140"/>
              <w:left w:type="dxa" w:w="200"/>
              <w:bottom w:type="dxa" w:w="140"/>
              <w:right w:type="dxa" w:w="200"/>
            </w:tcMar>
          </w:tcPr>
          <w:p>
            <w:pPr>
              <w:spacing w:after="80" w:before="0"/>
            </w:pPr>
            <w:r>
              <w:rPr>
                <w:rFonts w:ascii="Calibri" w:cs="Calibri" w:eastAsia="Calibri" w:hAnsi="Calibri"/>
                <w:b/>
                <w:bCs/>
                <w:color w:val="C09853"/>
                <w:sz w:val="20"/>
                <w:szCs w:val="20"/>
              </w:rPr>
              <w:t xml:space="preserve">Reading this document</w:t>
            </w:r>
          </w:p>
          <w:p>
            <w:pPr>
              <w:spacing w:after="0" w:before="0" w:line="280"/>
            </w:pPr>
            <w:r>
              <w:rPr>
                <w:rFonts w:ascii="Calibri" w:cs="Calibri" w:eastAsia="Calibri" w:hAnsi="Calibri"/>
                <w:color w:val="1A1A1A"/>
                <w:sz w:val="21"/>
                <w:szCs w:val="21"/>
              </w:rPr>
              <w:t xml:space="preserve">Section numbers are stable across revisions of this document; cross-references can rely on §N notation. Code snippets are illustrative — the canonical source is the file path called out in the Provenance section. Any inconsistency between this document and the source code should be reconciled by editing this document, not the code.</w:t>
            </w:r>
          </w:p>
        </w:tc>
      </w:tr>
    </w:tbl>
    <w:p>
      <w:r>
        <w:br w:type="page"/>
      </w:r>
    </w:p>
    <w:p>
      <w:pPr>
        <w:pStyle w:val="Heading1"/>
        <w:pBdr>
          <w:bottom w:val="single" w:color="1F3864" w:sz="8" w:space="4"/>
        </w:pBdr>
        <w:spacing w:after="160" w:before="360" w:line="320"/>
      </w:pPr>
      <w:r>
        <w:rPr>
          <w:rFonts w:ascii="Calibri" w:cs="Calibri" w:eastAsia="Calibri" w:hAnsi="Calibri"/>
          <w:b/>
          <w:bCs/>
          <w:color w:val="C09853"/>
          <w:sz w:val="32"/>
          <w:szCs w:val="32"/>
        </w:rPr>
        <w:t xml:space="preserve">§1.  </w:t>
      </w:r>
      <w:r>
        <w:rPr>
          <w:rFonts w:ascii="Calibri" w:cs="Calibri" w:eastAsia="Calibri" w:hAnsi="Calibri"/>
          <w:b/>
          <w:bCs/>
          <w:color w:val="1F3864"/>
          <w:sz w:val="32"/>
          <w:szCs w:val="32"/>
        </w:rPr>
        <w:t xml:space="preserve">The Premise</w:t>
      </w:r>
    </w:p>
    <w:p>
      <w:pPr>
        <w:spacing w:after="60" w:before="60" w:line="280"/>
        <w:jc w:val="left"/>
      </w:pPr>
      <w:r>
        <w:rPr>
          <w:rFonts w:ascii="Calibri" w:cs="Calibri" w:eastAsia="Calibri" w:hAnsi="Calibri"/>
          <w:b w:val="false"/>
          <w:bCs w:val="false"/>
          <w:i w:val="false"/>
          <w:iCs w:val="false"/>
          <w:color w:val="1A1A1A"/>
          <w:sz w:val="21"/>
          <w:szCs w:val="21"/>
        </w:rPr>
        <w:t xml:space="preserve">Conventional retrieval-augmented generation (RAG) treats text as the substrate and vectors as the index. Information Physics inverts this: relational anchors are the substrate, and language is the renderer. Every record in the system is a self-describing observation in bracket notation; every relationship between records is a precomputed deterministic anchor; every retrieval is a graph lookup, not a similarity search.</w:t>
      </w:r>
    </w:p>
    <w:p>
      <w:pPr>
        <w:spacing w:after="60" w:before="60" w:line="280"/>
        <w:jc w:val="left"/>
      </w:pPr>
      <w:r>
        <w:rPr>
          <w:rFonts w:ascii="Calibri" w:cs="Calibri" w:eastAsia="Calibri" w:hAnsi="Calibri"/>
          <w:b w:val="false"/>
          <w:bCs w:val="false"/>
          <w:i w:val="false"/>
          <w:iCs w:val="false"/>
          <w:color w:val="1A1A1A"/>
          <w:sz w:val="21"/>
          <w:szCs w:val="21"/>
        </w:rPr>
        <w:t xml:space="preserve">This document is the structural overview. For deeper algorithmic detail, see the Cue Extraction technote, the Substrate Diversity &amp; Dedup technote, and the MRO Lifecycle &amp; Linkage technote.</w:t>
      </w:r>
    </w:p>
    <w:p>
      <w:pPr>
        <w:pStyle w:val="Heading1"/>
        <w:pBdr>
          <w:bottom w:val="single" w:color="1F3864" w:sz="8" w:space="4"/>
        </w:pBdr>
        <w:spacing w:after="160" w:before="360" w:line="320"/>
      </w:pPr>
      <w:r>
        <w:rPr>
          <w:rFonts w:ascii="Calibri" w:cs="Calibri" w:eastAsia="Calibri" w:hAnsi="Calibri"/>
          <w:b/>
          <w:bCs/>
          <w:color w:val="C09853"/>
          <w:sz w:val="32"/>
          <w:szCs w:val="32"/>
        </w:rPr>
        <w:t xml:space="preserve">§2.  </w:t>
      </w:r>
      <w:r>
        <w:rPr>
          <w:rFonts w:ascii="Calibri" w:cs="Calibri" w:eastAsia="Calibri" w:hAnsi="Calibri"/>
          <w:b/>
          <w:bCs/>
          <w:color w:val="1F3864"/>
          <w:sz w:val="32"/>
          <w:szCs w:val="32"/>
        </w:rPr>
        <w:t xml:space="preserve">The Three Layers</w:t>
      </w:r>
    </w:p>
    <w:p>
      <w:pPr>
        <w:pStyle w:val="Heading2"/>
        <w:spacing w:after="100" w:before="240" w:line="300"/>
      </w:pPr>
      <w:r>
        <w:rPr>
          <w:rFonts w:ascii="Calibri" w:cs="Calibri" w:eastAsia="Calibri" w:hAnsi="Calibri"/>
          <w:b/>
          <w:bCs/>
          <w:color w:val="2E5090"/>
          <w:sz w:val="26"/>
          <w:szCs w:val="26"/>
        </w:rPr>
        <w:t xml:space="preserve">2.1  AIOs (Layer 1 — Observation)</w:t>
      </w:r>
    </w:p>
    <w:p>
      <w:pPr>
        <w:spacing w:after="60" w:before="60" w:line="280"/>
        <w:jc w:val="left"/>
      </w:pPr>
      <w:r>
        <w:rPr>
          <w:rFonts w:ascii="Calibri" w:cs="Calibri" w:eastAsia="Calibri" w:hAnsi="Calibri"/>
          <w:b w:val="false"/>
          <w:bCs w:val="false"/>
          <w:i w:val="false"/>
          <w:iCs w:val="false"/>
          <w:color w:val="1A1A1A"/>
          <w:sz w:val="21"/>
          <w:szCs w:val="21"/>
        </w:rPr>
        <w:t xml:space="preserve">Associated Information Objects. Every CSV row, every PDF table cell, every ingested record becomes one AIO — a string of bracket-notation tokens [Key.Value][Key.Value]… stored as a single row in aio_data with up to 50 element columns. AIOs are the only first-class data citizens; every higher layer is derived from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DCDC" w:sz="4"/>
              <w:left w:val="single" w:color="DCDCDC" w:sz="4"/>
              <w:bottom w:val="single" w:color="DCDCDC" w:sz="4"/>
              <w:right w:val="single" w:color="DCDCDC" w:sz="4"/>
            </w:tcBorders>
            <w:shd w:fill="F2F2F2" w:val="clear"/>
            <w:tcMar>
              <w:top w:type="dxa" w:w="100"/>
              <w:left w:type="dxa" w:w="200"/>
              <w:bottom w:type="dxa" w:w="100"/>
              <w:right w:type="dxa" w:w="200"/>
            </w:tcMar>
          </w:tcPr>
          <w:p>
            <w:pPr>
              <w:shd w:fill="F2F2F2" w:val="clear"/>
              <w:spacing w:after="0" w:before="0" w:line="240"/>
            </w:pPr>
            <w:r>
              <w:rPr>
                <w:rFonts w:ascii="Consolas" w:cs="Consolas" w:eastAsia="Consolas" w:hAnsi="Consolas"/>
                <w:color w:val="111111"/>
                <w:sz w:val="18"/>
                <w:szCs w:val="18"/>
              </w:rPr>
              <w:t xml:space="preserve">[OriginalCSV.acc_rfis.csv][Project ID.PRJ-003]</w:t>
            </w:r>
          </w:p>
          <w:p>
            <w:pPr>
              <w:shd w:fill="F2F2F2" w:val="clear"/>
              <w:spacing w:after="0" w:before="0" w:line="240"/>
            </w:pPr>
            <w:r>
              <w:rPr>
                <w:rFonts w:ascii="Consolas" w:cs="Consolas" w:eastAsia="Consolas" w:hAnsi="Consolas"/>
                <w:color w:val="111111"/>
                <w:sz w:val="18"/>
                <w:szCs w:val="18"/>
              </w:rPr>
              <w:t xml:space="preserve">[Title.EV Charging Conduit Routing][Status.Open]</w:t>
            </w:r>
          </w:p>
          <w:p>
            <w:pPr>
              <w:shd w:fill="F2F2F2" w:val="clear"/>
              <w:spacing w:after="0" w:before="0" w:line="240"/>
            </w:pPr>
            <w:r>
              <w:rPr>
                <w:rFonts w:ascii="Consolas" w:cs="Consolas" w:eastAsia="Consolas" w:hAnsi="Consolas"/>
                <w:color w:val="111111"/>
                <w:sz w:val="18"/>
                <w:szCs w:val="18"/>
              </w:rPr>
              <w:t xml:space="preserve">[Submitted By.Angela Brooks][Assigned To.Sarah Mitchell]</w:t>
            </w:r>
          </w:p>
          <w:p>
            <w:pPr>
              <w:shd w:fill="F2F2F2" w:val="clear"/>
              <w:spacing w:after="0" w:before="0" w:line="240"/>
            </w:pPr>
            <w:r>
              <w:rPr>
                <w:rFonts w:ascii="Consolas" w:cs="Consolas" w:eastAsia="Consolas" w:hAnsi="Consolas"/>
                <w:color w:val="111111"/>
                <w:sz w:val="18"/>
                <w:szCs w:val="18"/>
              </w:rPr>
              <w:t xml:space="preserve">[Priority.Low][Discipline.Electrical]</w:t>
            </w:r>
          </w:p>
        </w:tc>
      </w:tr>
    </w:tbl>
    <w:p>
      <w:pPr>
        <w:pStyle w:val="Heading2"/>
        <w:spacing w:after="100" w:before="240" w:line="300"/>
      </w:pPr>
      <w:r>
        <w:rPr>
          <w:rFonts w:ascii="Calibri" w:cs="Calibri" w:eastAsia="Calibri" w:hAnsi="Calibri"/>
          <w:b/>
          <w:bCs/>
          <w:color w:val="2E5090"/>
          <w:sz w:val="26"/>
          <w:szCs w:val="26"/>
        </w:rPr>
        <w:t xml:space="preserve">2.2  HSLs (Relational — Anchor)</w:t>
      </w:r>
    </w:p>
    <w:p>
      <w:pPr>
        <w:spacing w:after="60" w:before="60" w:line="280"/>
        <w:jc w:val="left"/>
      </w:pPr>
      <w:r>
        <w:rPr>
          <w:rFonts w:ascii="Calibri" w:cs="Calibri" w:eastAsia="Calibri" w:hAnsi="Calibri"/>
          <w:b w:val="false"/>
          <w:bCs w:val="false"/>
          <w:i w:val="false"/>
          <w:iCs w:val="false"/>
          <w:color w:val="1A1A1A"/>
          <w:sz w:val="21"/>
          <w:szCs w:val="21"/>
        </w:rPr>
        <w:t xml:space="preserve">Hyper-Semantic Layer records. For every [Key.Value] pair shared by two or more AIOs, an HSL is synthesized whose name encodes the anchor and whose member list points to the contributing AIOs. Stored in hsl_data + hsl_member. The HSL topology is a deterministic function of the AIO set — recomputable, never hand-edited.</w:t>
      </w:r>
    </w:p>
    <w:p>
      <w:pPr>
        <w:spacing w:after="60" w:before="60" w:line="280"/>
        <w:jc w:val="left"/>
      </w:pPr>
      <w:r>
        <w:rPr>
          <w:rFonts w:ascii="Calibri" w:cs="Calibri" w:eastAsia="Calibri" w:hAnsi="Calibri"/>
          <w:b w:val="false"/>
          <w:bCs w:val="false"/>
          <w:i w:val="false"/>
          <w:iCs w:val="false"/>
          <w:color w:val="1A1A1A"/>
          <w:sz w:val="21"/>
          <w:szCs w:val="21"/>
        </w:rPr>
        <w:t xml:space="preserve">Example: an HSL named [Project ID.PRJ-003].hsl whose hsl_member rows list every acc_rfis, acc_issues, acc_submittals row that contains [Project ID.PRJ-003] in its element columns. Querying by HSL name is O(1); the members are the join.</w:t>
      </w:r>
    </w:p>
    <w:p>
      <w:pPr>
        <w:spacing w:after="60" w:before="60" w:line="280"/>
        <w:jc w:val="left"/>
      </w:pPr>
      <w:r>
        <w:rPr>
          <w:rFonts w:ascii="Calibri" w:cs="Calibri" w:eastAsia="Calibri" w:hAnsi="Calibri"/>
          <w:b w:val="false"/>
          <w:bCs w:val="false"/>
          <w:i w:val="false"/>
          <w:iCs w:val="false"/>
          <w:color w:val="1A1A1A"/>
          <w:sz w:val="21"/>
          <w:szCs w:val="21"/>
        </w:rPr>
        <w:t xml:space="preserve">Every AIO insert / update fires synth_hsls_for_aio inline (added in migration 023), so the topology stays coherent without operator intervention. Bulk HSL Build is now a recovery / forensic tool, not a routine action.</w:t>
      </w:r>
    </w:p>
    <w:p>
      <w:pPr>
        <w:pStyle w:val="Heading2"/>
        <w:spacing w:after="100" w:before="240" w:line="300"/>
      </w:pPr>
      <w:r>
        <w:rPr>
          <w:rFonts w:ascii="Calibri" w:cs="Calibri" w:eastAsia="Calibri" w:hAnsi="Calibri"/>
          <w:b/>
          <w:bCs/>
          <w:color w:val="2E5090"/>
          <w:sz w:val="26"/>
          <w:szCs w:val="26"/>
        </w:rPr>
        <w:t xml:space="preserve">2.3  MROs (Layer 2 — Memory)</w:t>
      </w:r>
    </w:p>
    <w:p>
      <w:pPr>
        <w:spacing w:after="60" w:before="60" w:line="280"/>
        <w:jc w:val="left"/>
      </w:pPr>
      <w:r>
        <w:rPr>
          <w:rFonts w:ascii="Calibri" w:cs="Calibri" w:eastAsia="Calibri" w:hAnsi="Calibri"/>
          <w:b w:val="false"/>
          <w:bCs w:val="false"/>
          <w:i w:val="false"/>
          <w:iCs w:val="false"/>
          <w:color w:val="1A1A1A"/>
          <w:sz w:val="21"/>
          <w:szCs w:val="21"/>
        </w:rPr>
        <w:t xml:space="preserve">Memory Result Objects. Every successful Recall or Live Search persists its retrieval episode { query, cue_set, seed_hsls, result_text, trust_score, confidence } as an MRO. On subsequent queries, the MRO layer is searched first.</w:t>
      </w:r>
    </w:p>
    <w:p>
      <w:pPr>
        <w:spacing w:after="60" w:before="60" w:line="280"/>
        <w:jc w:val="left"/>
      </w:pPr>
      <w:r>
        <w:rPr>
          <w:rFonts w:ascii="Calibri" w:cs="Calibri" w:eastAsia="Calibri" w:hAnsi="Calibri"/>
          <w:b w:val="false"/>
          <w:bCs w:val="false"/>
          <w:i w:val="false"/>
          <w:iCs w:val="false"/>
          <w:color w:val="1A1A1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Score tier</w:t>
            </w:r>
          </w:p>
        </w:tc>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Behavior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 0.85</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Prior reply returned directly (zero LLM cost)</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 0.50</w:t>
            </w:r>
          </w:p>
        </w:tc>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Injected as framing context in the substrate envelope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 0.30</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Cue_set unioned with the fresh extraction</w:t>
            </w:r>
          </w:p>
        </w:tc>
      </w:tr>
    </w:tbl>
    <w:p>
      <w:pPr>
        <w:pStyle w:val="Heading1"/>
        <w:pBdr>
          <w:bottom w:val="single" w:color="1F3864" w:sz="8" w:space="4"/>
        </w:pBdr>
        <w:spacing w:after="160" w:before="360" w:line="320"/>
      </w:pPr>
      <w:r>
        <w:rPr>
          <w:rFonts w:ascii="Calibri" w:cs="Calibri" w:eastAsia="Calibri" w:hAnsi="Calibri"/>
          <w:b/>
          <w:bCs/>
          <w:color w:val="C09853"/>
          <w:sz w:val="32"/>
          <w:szCs w:val="32"/>
        </w:rPr>
        <w:t xml:space="preserve">§3.  </w:t>
      </w:r>
      <w:r>
        <w:rPr>
          <w:rFonts w:ascii="Calibri" w:cs="Calibri" w:eastAsia="Calibri" w:hAnsi="Calibri"/>
          <w:b/>
          <w:bCs/>
          <w:color w:val="1F3864"/>
          <w:sz w:val="32"/>
          <w:szCs w:val="32"/>
        </w:rPr>
        <w:t xml:space="preserve">The Four ChatAIO Modes</w:t>
      </w:r>
    </w:p>
    <w:p>
      <w:pPr>
        <w:spacing w:after="60" w:before="60" w:line="280"/>
        <w:jc w:val="left"/>
      </w:pPr>
      <w:r>
        <w:rPr>
          <w:rFonts w:ascii="Calibri" w:cs="Calibri" w:eastAsia="Calibri" w:hAnsi="Calibri"/>
          <w:b w:val="false"/>
          <w:bCs w:val="false"/>
          <w:i w:val="false"/>
          <w:iCs w:val="false"/>
          <w:color w:val="1A1A1A"/>
          <w:sz w:val="21"/>
          <w:szCs w:val="21"/>
        </w:rPr>
        <w:t xml:space="preserve">Same query string runs differently across four modes. The architecture is the same; the substrate composition differs.</w:t>
      </w:r>
    </w:p>
    <w:p>
      <w:pPr>
        <w:spacing w:after="60" w:before="60" w:line="280"/>
        <w:jc w:val="left"/>
      </w:pPr>
      <w:r>
        <w:rPr>
          <w:rFonts w:ascii="Calibri" w:cs="Calibri" w:eastAsia="Calibri" w:hAnsi="Calibri"/>
          <w:b w:val="false"/>
          <w:bCs w:val="false"/>
          <w:i w:val="false"/>
          <w:iCs w:val="false"/>
          <w:color w:val="1A1A1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1900"/>
        <w:gridCol w:w="2560"/>
      </w:tblGrid>
      <w:tr>
        <w:trPr>
          <w:tblHeader/>
        </w:trP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Mode</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Substrate</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Token cost</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Best for</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Recall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MRO priors + cue-anchored AIO neighborhood + HSL gating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Lowest — short-circuits on prior episodes</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Repeated queries; entity probes; person workload analysis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Live</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Server-side parse → HSL match → AIO gather → synthesize</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Low–medium</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Fresh queries with strong filter semantics; numeric aggregation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Broad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Entire AIO corpus dumped as context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Highest — every AIO every query</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Open-ended exploration; cost not a concern; wide aggregation</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Raw</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Saved CSV files only; no AIO/HSL/MRO substrate</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Medium</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Null baseline — what would Claude do without our infrastructure?</w:t>
            </w:r>
          </w:p>
        </w:tc>
      </w:tr>
    </w:tbl>
    <w:p>
      <w:pPr>
        <w:pStyle w:val="Heading1"/>
        <w:pBdr>
          <w:bottom w:val="single" w:color="1F3864" w:sz="8" w:space="4"/>
        </w:pBdr>
        <w:spacing w:after="160" w:before="360" w:line="320"/>
      </w:pPr>
      <w:r>
        <w:rPr>
          <w:rFonts w:ascii="Calibri" w:cs="Calibri" w:eastAsia="Calibri" w:hAnsi="Calibri"/>
          <w:b/>
          <w:bCs/>
          <w:color w:val="C09853"/>
          <w:sz w:val="32"/>
          <w:szCs w:val="32"/>
        </w:rPr>
        <w:t xml:space="preserve">§4.  </w:t>
      </w:r>
      <w:r>
        <w:rPr>
          <w:rFonts w:ascii="Calibri" w:cs="Calibri" w:eastAsia="Calibri" w:hAnsi="Calibri"/>
          <w:b/>
          <w:bCs/>
          <w:color w:val="1F3864"/>
          <w:sz w:val="32"/>
          <w:szCs w:val="32"/>
        </w:rPr>
        <w:t xml:space="preserve">Trade-Secret Invariants</w:t>
      </w:r>
    </w:p>
    <w:p>
      <w:pPr>
        <w:spacing w:after="60" w:before="60" w:line="280"/>
        <w:jc w:val="left"/>
      </w:pPr>
      <w:r>
        <w:rPr>
          <w:rFonts w:ascii="Calibri" w:cs="Calibri" w:eastAsia="Calibri" w:hAnsi="Calibri"/>
          <w:b w:val="false"/>
          <w:bCs w:val="false"/>
          <w:i w:val="false"/>
          <w:iCs w:val="false"/>
          <w:color w:val="1A1A1A"/>
          <w:sz w:val="21"/>
          <w:szCs w:val="21"/>
        </w:rPr>
        <w:t xml:space="preserve">Three deliberate architectural choices distinguish Information Physics from a conventional embedding-RAG implementation. They are documented here as invariants — anything that contradicts them is an architectural change, not a bug fix.</w:t>
      </w:r>
    </w:p>
    <w:p>
      <w:pPr>
        <w:pStyle w:val="Heading2"/>
        <w:spacing w:after="100" w:before="240" w:line="300"/>
      </w:pPr>
      <w:r>
        <w:rPr>
          <w:rFonts w:ascii="Calibri" w:cs="Calibri" w:eastAsia="Calibri" w:hAnsi="Calibri"/>
          <w:b/>
          <w:bCs/>
          <w:color w:val="2E5090"/>
          <w:sz w:val="26"/>
          <w:szCs w:val="26"/>
        </w:rPr>
        <w:t xml:space="preserve">4.1  No LLM in the cue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9853" w:sz="12"/>
              <w:left w:val="single" w:color="C09853" w:sz="12"/>
              <w:bottom w:val="single" w:color="C09853" w:sz="4"/>
              <w:right w:val="single" w:color="C09853" w:sz="4"/>
            </w:tcBorders>
            <w:shd w:fill="FFF8E7" w:val="clear"/>
            <w:tcMar>
              <w:top w:type="dxa" w:w="140"/>
              <w:left w:type="dxa" w:w="200"/>
              <w:bottom w:type="dxa" w:w="140"/>
              <w:right w:type="dxa" w:w="200"/>
            </w:tcMar>
          </w:tcPr>
          <w:p>
            <w:pPr>
              <w:spacing w:after="80" w:before="0"/>
            </w:pPr>
            <w:r>
              <w:rPr>
                <w:rFonts w:ascii="Calibri" w:cs="Calibri" w:eastAsia="Calibri" w:hAnsi="Calibri"/>
                <w:b/>
                <w:bCs/>
                <w:color w:val="C09853"/>
                <w:sz w:val="20"/>
                <w:szCs w:val="20"/>
              </w:rPr>
              <w:t xml:space="preserve">Determinism is load-bearing</w:t>
            </w:r>
          </w:p>
          <w:p>
            <w:pPr>
              <w:spacing w:after="0" w:before="0" w:line="280"/>
            </w:pPr>
            <w:r>
              <w:rPr>
                <w:rFonts w:ascii="Calibri" w:cs="Calibri" w:eastAsia="Calibri" w:hAnsi="Calibri"/>
                <w:color w:val="1A1A1A"/>
                <w:sz w:val="21"/>
                <w:szCs w:val="21"/>
              </w:rPr>
              <w:t xml:space="preserve">Every step from query → Cue Set → HSL ids → AIO scope is deterministic. Embedding RAG calls a model to produce a query embedding; we do not. The Cue Set is reproducible across runs, machines, and operators — same query against same corpus always lights the same HSLs. This makes regression testing tractable and makes the retrieval graph an auditable artifact.</w:t>
            </w:r>
          </w:p>
        </w:tc>
      </w:tr>
    </w:tbl>
    <w:p>
      <w:pPr>
        <w:pStyle w:val="Heading2"/>
        <w:spacing w:after="100" w:before="240" w:line="300"/>
      </w:pPr>
      <w:r>
        <w:rPr>
          <w:rFonts w:ascii="Calibri" w:cs="Calibri" w:eastAsia="Calibri" w:hAnsi="Calibri"/>
          <w:b/>
          <w:bCs/>
          <w:color w:val="2E5090"/>
          <w:sz w:val="26"/>
          <w:szCs w:val="26"/>
        </w:rPr>
        <w:t xml:space="preserve">4.2  Cues carry concrete keys whenever possible</w:t>
      </w:r>
    </w:p>
    <w:p>
      <w:pPr>
        <w:spacing w:after="60" w:before="60" w:line="280"/>
        <w:jc w:val="left"/>
      </w:pPr>
      <w:r>
        <w:rPr>
          <w:rFonts w:ascii="Calibri" w:cs="Calibri" w:eastAsia="Calibri" w:hAnsi="Calibri"/>
          <w:b w:val="false"/>
          <w:bCs w:val="false"/>
          <w:i w:val="false"/>
          <w:iCs w:val="false"/>
          <w:color w:val="1A1A1A"/>
          <w:sz w:val="21"/>
          <w:szCs w:val="21"/>
        </w:rPr>
        <w:t xml:space="preserve">The HSL catalog (sourced from /v1/hsl-data/key-value-pairs) lets cue extraction emit cues with their original key — `[Project.PRJ-003]` rather than `[*.PRJ-003]`. The wildcard form is a fallback. SQL pruning by field equality first, value match second; on the demo corpus this is a 5–20× speed-up vs. the wildcard path.</w:t>
      </w:r>
    </w:p>
    <w:p>
      <w:pPr>
        <w:pStyle w:val="Heading2"/>
        <w:spacing w:after="100" w:before="240" w:line="300"/>
      </w:pPr>
      <w:r>
        <w:rPr>
          <w:rFonts w:ascii="Calibri" w:cs="Calibri" w:eastAsia="Calibri" w:hAnsi="Calibri"/>
          <w:b/>
          <w:bCs/>
          <w:color w:val="2E5090"/>
          <w:sz w:val="26"/>
          <w:szCs w:val="26"/>
        </w:rPr>
        <w:t xml:space="preserve">4.3  The HSL catalog IS the substrate</w:t>
      </w:r>
    </w:p>
    <w:p>
      <w:pPr>
        <w:spacing w:after="60" w:before="60" w:line="280"/>
        <w:jc w:val="left"/>
      </w:pPr>
      <w:r>
        <w:rPr>
          <w:rFonts w:ascii="Calibri" w:cs="Calibri" w:eastAsia="Calibri" w:hAnsi="Calibri"/>
          <w:b w:val="false"/>
          <w:bCs w:val="false"/>
          <w:i w:val="false"/>
          <w:iCs w:val="false"/>
          <w:color w:val="1A1A1A"/>
          <w:sz w:val="21"/>
          <w:szCs w:val="21"/>
        </w:rPr>
        <w:t xml:space="preserve">Embedding RAG treats vectors as a derived index — they accelerate lookup, but truth is in the source documents. Information Physics inverts this: the HSL anchors ARE the truth. Every HSL is a deterministic function of the AIO set, computed offline by synth_hsls_for_aio, and used at query time as a lookup, not a computation.</w:t>
      </w:r>
    </w:p>
    <w:p>
      <w:pPr>
        <w:pStyle w:val="Heading1"/>
        <w:pBdr>
          <w:bottom w:val="single" w:color="1F3864" w:sz="8" w:space="4"/>
        </w:pBdr>
        <w:spacing w:after="160" w:before="360" w:line="320"/>
      </w:pPr>
      <w:r>
        <w:rPr>
          <w:rFonts w:ascii="Calibri" w:cs="Calibri" w:eastAsia="Calibri" w:hAnsi="Calibri"/>
          <w:b/>
          <w:bCs/>
          <w:color w:val="C09853"/>
          <w:sz w:val="32"/>
          <w:szCs w:val="32"/>
        </w:rPr>
        <w:t xml:space="preserve">§5.  </w:t>
      </w:r>
      <w:r>
        <w:rPr>
          <w:rFonts w:ascii="Calibri" w:cs="Calibri" w:eastAsia="Calibri" w:hAnsi="Calibri"/>
          <w:b/>
          <w:bCs/>
          <w:color w:val="1F3864"/>
          <w:sz w:val="32"/>
          <w:szCs w:val="32"/>
        </w:rPr>
        <w:t xml:space="preserve">Implementation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Layer</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Technology</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Role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Frontend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Next.js 16 + React 19 + TypeScript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SPA, ChatAIO dialog, System Management, R&amp;D, References, Benchmark runner</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API</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FastAPI + Python 3.11</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AIO/HSL/MRO CRUD, four-phase aio-search, substrate-chat, mro-search, find-by-needles-full</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Database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PostgreSQL 15 + pg_trgm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Source-of-truth storage; inverted index (information_element_refs); GIN trigram for fuzzy match</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LLM</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Anthropic Claude (model selectable at runtime)</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Synthesis only — every retrieval decision is upstream of the LLM</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Hosting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Railway (cloud) + Electron DMG (local)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Same code, three deployment shapes (full-cloud, cloud-stripped, fully-local)</w:t>
            </w:r>
          </w:p>
        </w:tc>
      </w:tr>
    </w:tbl>
    <w:p>
      <w:pPr>
        <w:pStyle w:val="Heading1"/>
        <w:pBdr>
          <w:bottom w:val="single" w:color="1F3864" w:sz="8" w:space="4"/>
        </w:pBdr>
        <w:spacing w:after="160" w:before="360" w:line="320"/>
      </w:pPr>
      <w:r>
        <w:rPr>
          <w:rFonts w:ascii="Calibri" w:cs="Calibri" w:eastAsia="Calibri" w:hAnsi="Calibri"/>
          <w:b/>
          <w:bCs/>
          <w:color w:val="C09853"/>
          <w:sz w:val="32"/>
          <w:szCs w:val="32"/>
        </w:rPr>
        <w:t xml:space="preserve">§6.  </w:t>
      </w:r>
      <w:r>
        <w:rPr>
          <w:rFonts w:ascii="Calibri" w:cs="Calibri" w:eastAsia="Calibri" w:hAnsi="Calibri"/>
          <w:b/>
          <w:bCs/>
          <w:color w:val="1F3864"/>
          <w:sz w:val="32"/>
          <w:szCs w:val="32"/>
        </w:rPr>
        <w:t xml:space="preserve">Why This Matters</w:t>
      </w:r>
    </w:p>
    <w:p>
      <w:pPr>
        <w:spacing w:after="60" w:before="60" w:line="280"/>
        <w:jc w:val="left"/>
      </w:pPr>
      <w:r>
        <w:rPr>
          <w:rFonts w:ascii="Calibri" w:cs="Calibri" w:eastAsia="Calibri" w:hAnsi="Calibri"/>
          <w:b w:val="false"/>
          <w:bCs w:val="false"/>
          <w:i w:val="false"/>
          <w:iCs w:val="false"/>
          <w:color w:val="1A1A1A"/>
          <w:sz w:val="21"/>
          <w:szCs w:val="21"/>
        </w:rPr>
        <w:t xml:space="preserve">Three differentiators that come out of the architecture, in business-relevant terms:</w:t>
      </w:r>
    </w:p>
    <w:p>
      <w:pPr>
        <w:pStyle w:val="Heading2"/>
        <w:spacing w:after="100" w:before="240" w:line="300"/>
      </w:pPr>
      <w:r>
        <w:rPr>
          <w:rFonts w:ascii="Calibri" w:cs="Calibri" w:eastAsia="Calibri" w:hAnsi="Calibri"/>
          <w:b/>
          <w:bCs/>
          <w:color w:val="2E5090"/>
          <w:sz w:val="26"/>
          <w:szCs w:val="26"/>
        </w:rPr>
        <w:t xml:space="preserve">6.1  Audit-grade reproducibility</w:t>
      </w:r>
    </w:p>
    <w:p>
      <w:pPr>
        <w:spacing w:after="60" w:before="60" w:line="280"/>
        <w:jc w:val="left"/>
      </w:pPr>
      <w:r>
        <w:rPr>
          <w:rFonts w:ascii="Calibri" w:cs="Calibri" w:eastAsia="Calibri" w:hAnsi="Calibri"/>
          <w:b w:val="false"/>
          <w:bCs w:val="false"/>
          <w:i w:val="false"/>
          <w:iCs w:val="false"/>
          <w:color w:val="1A1A1A"/>
          <w:sz w:val="21"/>
          <w:szCs w:val="21"/>
        </w:rPr>
        <w:t xml:space="preserve">A regulator, an internal auditor, or a counterparty can ask 'why did the system answer X?' and the answer is a deterministic graph traversal — not a similarity score against an opaque embedding. Same query, same data, same cue set, same HSLs, same answer. Every time.</w:t>
      </w:r>
    </w:p>
    <w:p>
      <w:pPr>
        <w:pStyle w:val="Heading2"/>
        <w:spacing w:after="100" w:before="240" w:line="300"/>
      </w:pPr>
      <w:r>
        <w:rPr>
          <w:rFonts w:ascii="Calibri" w:cs="Calibri" w:eastAsia="Calibri" w:hAnsi="Calibri"/>
          <w:b/>
          <w:bCs/>
          <w:color w:val="2E5090"/>
          <w:sz w:val="26"/>
          <w:szCs w:val="26"/>
        </w:rPr>
        <w:t xml:space="preserve">6.2  Cost discipline</w:t>
      </w:r>
    </w:p>
    <w:p>
      <w:pPr>
        <w:spacing w:after="60" w:before="60" w:line="280"/>
        <w:jc w:val="left"/>
      </w:pPr>
      <w:r>
        <w:rPr>
          <w:rFonts w:ascii="Calibri" w:cs="Calibri" w:eastAsia="Calibri" w:hAnsi="Calibri"/>
          <w:b w:val="false"/>
          <w:bCs w:val="false"/>
          <w:i w:val="false"/>
          <w:iCs w:val="false"/>
          <w:color w:val="1A1A1A"/>
          <w:sz w:val="21"/>
          <w:szCs w:val="21"/>
        </w:rPr>
        <w:t xml:space="preserve">MRO short-circuit means repeated queries cost zero LLM tokens after first run. The cap-by-CSV diversity step ensures we never pay for redundant context just because one CSV happens to be larger. Element-set Jaccard dedup collapses cross-CSV duplicates of the same entity. On the demo corpus, multi-CSV joins use 60–70% fewer tokens than the equivalent embedding-RAG implementation while producing comparable answers.</w:t>
      </w:r>
    </w:p>
    <w:p>
      <w:pPr>
        <w:pStyle w:val="Heading2"/>
        <w:spacing w:after="100" w:before="240" w:line="300"/>
      </w:pPr>
      <w:r>
        <w:rPr>
          <w:rFonts w:ascii="Calibri" w:cs="Calibri" w:eastAsia="Calibri" w:hAnsi="Calibri"/>
          <w:b/>
          <w:bCs/>
          <w:color w:val="2E5090"/>
          <w:sz w:val="26"/>
          <w:szCs w:val="26"/>
        </w:rPr>
        <w:t xml:space="preserve">6.3  Data does not leave</w:t>
      </w:r>
    </w:p>
    <w:p>
      <w:pPr>
        <w:spacing w:after="60" w:before="60" w:line="280"/>
        <w:jc w:val="left"/>
      </w:pPr>
      <w:r>
        <w:rPr>
          <w:rFonts w:ascii="Calibri" w:cs="Calibri" w:eastAsia="Calibri" w:hAnsi="Calibri"/>
          <w:b w:val="false"/>
          <w:bCs w:val="false"/>
          <w:i w:val="false"/>
          <w:iCs w:val="false"/>
          <w:color w:val="1A1A1A"/>
          <w:sz w:val="21"/>
          <w:szCs w:val="21"/>
        </w:rPr>
        <w:t xml:space="preserve">In CLOUD_MODE=false (the local DMG), the only outbound network call is to the Anthropic API for the LLM synthesis step. Every retrieval decision happens on the local Mac. Customers with data-residency or air-gap constraints can use the system without exposing the underlying corpus to a cloud service.</w:t>
      </w:r>
    </w:p>
    <w:p>
      <w:pPr>
        <w:pStyle w:val="Heading1"/>
        <w:pBdr>
          <w:bottom w:val="single" w:color="1F3864" w:sz="8" w:space="4"/>
        </w:pBdr>
        <w:spacing w:after="160" w:before="360" w:line="320"/>
      </w:pPr>
      <w:r>
        <w:rPr>
          <w:rFonts w:ascii="Calibri" w:cs="Calibri" w:eastAsia="Calibri" w:hAnsi="Calibri"/>
          <w:b/>
          <w:bCs/>
          <w:color w:val="C09853"/>
          <w:sz w:val="32"/>
          <w:szCs w:val="32"/>
        </w:rPr>
        <w:t xml:space="preserve">§7.  </w:t>
      </w:r>
      <w:r>
        <w:rPr>
          <w:rFonts w:ascii="Calibri" w:cs="Calibri" w:eastAsia="Calibri" w:hAnsi="Calibri"/>
          <w:b/>
          <w:bCs/>
          <w:color w:val="1F3864"/>
          <w:sz w:val="32"/>
          <w:szCs w:val="32"/>
        </w:rPr>
        <w:t xml:space="preserve">The Demo Dataset</w:t>
      </w:r>
    </w:p>
    <w:p>
      <w:pPr>
        <w:spacing w:after="60" w:before="60" w:line="280"/>
        <w:jc w:val="left"/>
      </w:pPr>
      <w:r>
        <w:rPr>
          <w:rFonts w:ascii="Calibri" w:cs="Calibri" w:eastAsia="Calibri" w:hAnsi="Calibri"/>
          <w:b w:val="false"/>
          <w:bCs w:val="false"/>
          <w:i w:val="false"/>
          <w:iCs w:val="false"/>
          <w:color w:val="1A1A1A"/>
          <w:sz w:val="21"/>
          <w:szCs w:val="21"/>
        </w:rPr>
        <w:t xml:space="preserve">The system ships with a synthetic construction-portfolio demo corpus designed to exercise every architectural property:</w:t>
      </w:r>
    </w:p>
    <w:p>
      <w:pPr>
        <w:spacing w:after="60" w:before="60" w:line="280"/>
        <w:jc w:val="left"/>
      </w:pPr>
      <w:r>
        <w:rPr>
          <w:rFonts w:ascii="Calibri" w:cs="Calibri" w:eastAsia="Calibri" w:hAnsi="Calibri"/>
          <w:b w:val="false"/>
          <w:bCs w:val="false"/>
          <w:i w:val="false"/>
          <w:iCs w:val="false"/>
          <w:color w:val="1A1A1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rPr>
          <w:tblHeader/>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CSV</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Count</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Role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AIA305 Sample.csv</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474</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Project portfolio with detailed financials. Heavy/wide records — primary stress source for diversity-cap behavior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acc_cost_codes.csv</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38</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Cost code catalog with comma-separated 'Applicable Projects' field — exercises multi-value HSL pattern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acc_vendors.csv</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15</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Vendor records with 'Projects Assigned' field — three-hop traversal target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acc_submittals.csv</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14</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Document submittals — workflow-trace records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acc_employees.csv</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13</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Employee directory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acc_rfis.csv</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10</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Requests for information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acc_issues.csv</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10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Field-issue records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acc_customers.csv</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8</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Customer directory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acc_projects.csv</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7</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Detailed project metadata — overlaps with AIA305 entities</w:t>
            </w:r>
          </w:p>
        </w:tc>
      </w:tr>
    </w:tbl>
    <w:p>
      <w:pPr>
        <w:spacing w:after="60" w:before="60" w:line="280"/>
        <w:jc w:val="left"/>
      </w:pPr>
      <w:r>
        <w:rPr>
          <w:rFonts w:ascii="Calibri" w:cs="Calibri" w:eastAsia="Calibri" w:hAnsi="Calibri"/>
          <w:b w:val="false"/>
          <w:bCs w:val="false"/>
          <w:i w:val="false"/>
          <w:iCs w:val="false"/>
          <w:color w:val="1A1A1A"/>
          <w:sz w:val="21"/>
          <w:szCs w:val="21"/>
        </w:rPr>
        <w:t xml:space="preserve">Total: 589 AIO rows, ~1,200 HSL key-value pairs, 9 source CSVs.</w:t>
      </w:r>
    </w:p>
    <w:p>
      <w:pPr>
        <w:pStyle w:val="Heading1"/>
        <w:pBdr>
          <w:bottom w:val="single" w:color="1F3864" w:sz="8" w:space="4"/>
        </w:pBdr>
        <w:spacing w:after="160" w:before="360" w:line="320"/>
      </w:pPr>
      <w:r>
        <w:rPr>
          <w:rFonts w:ascii="Calibri" w:cs="Calibri" w:eastAsia="Calibri" w:hAnsi="Calibri"/>
          <w:b/>
          <w:bCs/>
          <w:color w:val="C09853"/>
          <w:sz w:val="32"/>
          <w:szCs w:val="32"/>
        </w:rPr>
        <w:t xml:space="preserve">§8.  </w:t>
      </w:r>
      <w:r>
        <w:rPr>
          <w:rFonts w:ascii="Calibri" w:cs="Calibri" w:eastAsia="Calibri" w:hAnsi="Calibri"/>
          <w:b/>
          <w:bCs/>
          <w:color w:val="1F3864"/>
          <w:sz w:val="32"/>
          <w:szCs w:val="32"/>
        </w:rPr>
        <w:t xml:space="preserve">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Item</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Description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Embedding-similarity (Stage 3 fuzzy)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Add a vector column to information_elements. Catches paraphrases the trigram path doesn't handle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MRO TTL + version tagging</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Auto-expire MROs and stamp them with the retrieval-pipeline git SHA. Avoids stale-cache poisoning during retrieval-quality improvements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Promote canonicalField to backend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Move alias table from lib/hsl-aliases.ts into a Postgres function. Removes the per-query fold</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Multi-tenant alias overrides</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Tenant-specific extensions to the alias map. Some customers will have schema variations the global alias table doesn't capture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Write-through SDK</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Customer-facing library that lets external apps INSERT into aio_data + trigger synth_hsls_for_aio without going through the SPA</w:t>
            </w:r>
          </w:p>
        </w:tc>
      </w:tr>
    </w:tbl>
    <w:p>
      <w:pPr>
        <w:spacing w:after="60" w:before="60" w:line="280"/>
        <w:jc w:val="left"/>
      </w:pPr>
      <w:r>
        <w:rPr>
          <w:rFonts w:ascii="Calibri" w:cs="Calibri" w:eastAsia="Calibri" w:hAnsi="Calibri"/>
          <w:b w:val="false"/>
          <w:bCs w:val="false"/>
          <w:i w:val="false"/>
          <w:iCs w:val="false"/>
          <w:color w:val="1A1A1A"/>
          <w:sz w:val="21"/>
          <w:szCs w:val="21"/>
        </w:rPr>
        <w:t xml:space="preserve"/>
      </w:r>
    </w:p>
    <w:p>
      <w:pPr>
        <w:pBdr>
          <w:top w:val="single" w:color="C09853" w:sz="8" w:space="1"/>
        </w:pBdr>
        <w:spacing w:after="80" w:before="320"/>
      </w:pPr>
      <w:r>
        <w:t xml:space="preserve"/>
      </w:r>
    </w:p>
    <w:p>
      <w:pPr>
        <w:spacing w:after="60" w:before="60" w:line="280"/>
        <w:jc w:val="center"/>
      </w:pPr>
      <w:r>
        <w:rPr>
          <w:rFonts w:ascii="Calibri" w:cs="Calibri" w:eastAsia="Calibri" w:hAnsi="Calibri"/>
          <w:b w:val="false"/>
          <w:bCs w:val="false"/>
          <w:i/>
          <w:iCs/>
          <w:color w:val="2E5090"/>
          <w:sz w:val="20"/>
          <w:szCs w:val="20"/>
        </w:rPr>
        <w:t xml:space="preserve">End of document.</w:t>
      </w:r>
    </w:p>
    <w:p>
      <w:pPr>
        <w:spacing w:after="0" w:before="60" w:line="280"/>
        <w:jc w:val="center"/>
      </w:pPr>
      <w:r>
        <w:rPr>
          <w:rFonts w:ascii="Calibri" w:cs="Calibri" w:eastAsia="Calibri" w:hAnsi="Calibri"/>
          <w:b w:val="false"/>
          <w:bCs w:val="false"/>
          <w:i/>
          <w:iCs/>
          <w:color w:val="808080"/>
          <w:sz w:val="16"/>
          <w:szCs w:val="16"/>
        </w:rPr>
        <w:t xml:space="preserve">InformationPhysics.ai, LLC  ·  V4.5  ·  April 2026</w:t>
      </w:r>
    </w:p>
    <w:sectPr>
      <w:headerReference w:type="default" r:id="rId7"/>
      <w:footerReference w:type="default" r:id="rId8"/>
      <w:pgSz w:w="12240" w:h="15840" w:orient="portrait"/>
      <w:pgMar w:top="1180" w:right="1320" w:bottom="1180" w:left="1320" w:header="720" w:footer="72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9853" w:sz="6" w:space="1"/>
      </w:pBdr>
      <w:tabs>
        <w:tab w:val="right" w:pos="9360"/>
      </w:tabs>
      <w:spacing w:after="0" w:before="0"/>
    </w:pPr>
    <w:r>
      <w:rPr>
        <w:rFonts w:ascii="Calibri" w:cs="Calibri" w:eastAsia="Calibri" w:hAnsi="Calibri"/>
        <w:color w:val="808080"/>
        <w:sz w:val="16"/>
        <w:szCs w:val="16"/>
      </w:rPr>
      <w:t xml:space="preserve">InformationPhysics.ai, LLC</w:t>
    </w:r>
    <w:r>
      <w:rPr>
        <w:sz w:val="16"/>
        <w:szCs w:val="16"/>
      </w:rPr>
      <w:t xml:space="preserve">	</w:t>
    </w: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9853" w:sz="6" w:space="1"/>
      </w:pBdr>
      <w:tabs>
        <w:tab w:val="right" w:pos="9360"/>
      </w:tabs>
      <w:spacing w:after="0" w:before="0"/>
    </w:pPr>
    <w:r>
      <w:rPr>
        <w:rFonts w:ascii="Calibri" w:cs="Calibri" w:eastAsia="Calibri" w:hAnsi="Calibri"/>
        <w:b/>
        <w:bCs/>
        <w:color w:val="1F3864"/>
        <w:sz w:val="17"/>
        <w:szCs w:val="17"/>
      </w:rPr>
      <w:t xml:space="preserve">InformationPhysics.ai</w:t>
    </w:r>
    <w:r>
      <w:rPr>
        <w:color w:val="808080"/>
        <w:sz w:val="17"/>
        <w:szCs w:val="17"/>
      </w:rPr>
      <w:t xml:space="preserve">  ·  </w:t>
    </w:r>
    <w:r>
      <w:rPr>
        <w:rFonts w:ascii="Calibri" w:cs="Calibri" w:eastAsia="Calibri" w:hAnsi="Calibri"/>
        <w:i/>
        <w:iCs/>
        <w:color w:val="2E5090"/>
        <w:sz w:val="17"/>
        <w:szCs w:val="17"/>
      </w:rPr>
      <w:t xml:space="preserve">Architecture Overview</w:t>
    </w:r>
    <w:r>
      <w:rPr>
        <w:sz w:val="17"/>
        <w:szCs w:val="17"/>
      </w:rPr>
      <w:t xml:space="preserve">	</w:t>
    </w:r>
    <w:r>
      <w:rPr>
        <w:rFonts w:ascii="Calibri" w:cs="Calibri" w:eastAsia="Calibri" w:hAnsi="Calibri"/>
        <w:b/>
        <w:bCs/>
        <w:color w:val="C09853"/>
        <w:sz w:val="17"/>
        <w:szCs w:val="17"/>
      </w:rPr>
      <w:t xml:space="preserve">V4.5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lin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line="300"/>
      <w:outlineLvl w:val="1"/>
    </w:pPr>
    <w:rPr>
      <w:rFonts w:ascii="Calibri" w:cs="Calibri" w:eastAsia="Calibri" w:hAnsi="Calibri"/>
      <w:b/>
      <w:bCs/>
      <w:color w:val="2E5090"/>
      <w:sz w:val="26"/>
      <w:szCs w:val="26"/>
    </w:rPr>
  </w:style>
  <w:style w:type="paragraph" w:styleId="Heading3">
    <w:name w:val="Heading 3"/>
    <w:basedOn w:val="Normal"/>
    <w:next w:val="Normal"/>
    <w:qFormat/>
    <w:pPr>
      <w:spacing w:after="80" w:before="180" w:line="280"/>
      <w:outlineLvl w:val="2"/>
    </w:pPr>
    <w:rPr>
      <w:rFonts w:ascii="Calibri" w:cs="Calibri" w:eastAsia="Calibri" w:hAnsi="Calibri"/>
      <w:b/>
      <w:bCs/>
      <w:i/>
      <w:i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Overview</dc:title>
  <dc:creator>Information Physics — ChatAIO Engineering</dc:creator>
  <dc:description>Architecture Overview — V4.5</dc:description>
  <cp:lastModifiedBy>Un-named</cp:lastModifiedBy>
  <cp:revision>1</cp:revision>
  <dcterms:created xsi:type="dcterms:W3CDTF">2026-04-29T17:03:18.964Z</dcterms:created>
  <dcterms:modified xsi:type="dcterms:W3CDTF">2026-04-29T17:03:18.964Z</dcterms:modified>
</cp:coreProperties>
</file>

<file path=docProps/custom.xml><?xml version="1.0" encoding="utf-8"?>
<Properties xmlns="http://schemas.openxmlformats.org/officeDocument/2006/custom-properties" xmlns:vt="http://schemas.openxmlformats.org/officeDocument/2006/docPropsVTypes"/>
</file>