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Benchmark Catalog Reference</w:t>
      </w:r>
    </w:p>
    <w:p>
      <w:pPr>
        <w:spacing w:after="320" w:before="60" w:line="280"/>
        <w:jc w:val="center"/>
      </w:pPr>
      <w:r>
        <w:rPr>
          <w:rFonts w:ascii="Calibri" w:cs="Calibri" w:eastAsia="Calibri" w:hAnsi="Calibri"/>
          <w:b w:val="false"/>
          <w:bCs w:val="false"/>
          <w:i/>
          <w:iCs/>
          <w:color w:val="2E5090"/>
          <w:sz w:val="24"/>
          <w:szCs w:val="24"/>
        </w:rPr>
        <w:t xml:space="preserve">All 10 saved ChatAIO benchmarks — full prompts, mode recommendations, evaluation rubrics</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Benchmark Catalog Reference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2026-04-29 17:03:18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Supersedes</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Any prior description of the same subject in earlier release notes or technotes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Print-friendly companion to the in-app Benchmark Guide. Each benchmark in the V4.5 catalog is reproduced verbatim with full prompt body, the retrieval characteristic it stresses, the recommended ChatAIO mode for primary evaluation, and dataset answer-key concept. The catalog itself lives in lib/benchmarks.ts; this document is generated from the same source so the two stay aligned.</w:t>
      </w:r>
    </w:p>
    <w:p>
      <w:pPr>
        <w:spacing w:after="60" w:before="60" w:line="280"/>
        <w:jc w:val="left"/>
      </w:pPr>
      <w:r>
        <w:rPr>
          <w:rFonts w:ascii="Calibri" w:cs="Calibri" w:eastAsia="Calibri" w:hAnsi="Calibri"/>
          <w:b w:val="false"/>
          <w:bCs w:val="false"/>
          <w:i w:val="false"/>
          <w:iCs w:val="false"/>
          <w:color w:val="1A1A1A"/>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Reading this document</w:t>
            </w:r>
          </w:p>
          <w:p>
            <w:pPr>
              <w:spacing w:after="0" w:before="0" w:line="280"/>
            </w:pPr>
            <w:r>
              <w:rPr>
                <w:rFonts w:ascii="Calibri" w:cs="Calibri" w:eastAsia="Calibri" w:hAnsi="Calibri"/>
                <w:color w:val="1A1A1A"/>
                <w:sz w:val="21"/>
                <w:szCs w:val="21"/>
              </w:rPr>
              <w:t xml:space="preserve">Section numbers are stable across revisions of this document; cross-references can rely on §N notation. Code snippets are illustrative — the canonical source is the file path called out in the Provenance section. Any inconsistency between this document and the source code should be reconciled by editing this document, not the code.</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Purpose</w:t>
      </w:r>
    </w:p>
    <w:p>
      <w:pPr>
        <w:spacing w:after="60" w:before="60" w:line="280"/>
        <w:jc w:val="left"/>
      </w:pPr>
      <w:r>
        <w:rPr>
          <w:rFonts w:ascii="Calibri" w:cs="Calibri" w:eastAsia="Calibri" w:hAnsi="Calibri"/>
          <w:b w:val="false"/>
          <w:bCs w:val="false"/>
          <w:i w:val="false"/>
          <w:iCs w:val="false"/>
          <w:color w:val="1A1A1A"/>
          <w:sz w:val="21"/>
          <w:szCs w:val="21"/>
        </w:rPr>
        <w:t xml:space="preserve">Print-friendly companion to the in-app Benchmark Guide. Each benchmark in the V4.5 catalog is reproduced verbatim with full prompt body, the retrieval characteristic it stresses, the recommended ChatAIO mode for primary evaluation, and the dataset answer-key concept.</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How to Run</w:t>
      </w:r>
    </w:p>
    <w:p>
      <w:pPr>
        <w:spacing w:after="60" w:before="60" w:line="280"/>
        <w:jc w:val="left"/>
      </w:pPr>
      <w:r>
        <w:rPr>
          <w:rFonts w:ascii="Calibri" w:cs="Calibri" w:eastAsia="Calibri" w:hAnsi="Calibri"/>
          <w:b w:val="false"/>
          <w:bCs w:val="false"/>
          <w:i w:val="false"/>
          <w:iCs w:val="false"/>
          <w:color w:val="1A1A1A"/>
          <w:sz w:val="21"/>
          <w:szCs w:val="21"/>
        </w:rPr>
        <w:t xml:space="preserve">Three entry points, all reading from the same lib/benchmarks.ts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 In-app:  R&amp;D → Benchmark dropdown → pick → full-screen runner</w:t>
            </w:r>
          </w:p>
          <w:p>
            <w:pPr>
              <w:shd w:fill="F2F2F2" w:val="clear"/>
              <w:spacing w:after="0" w:before="0" w:line="240"/>
            </w:pPr>
            <w:r>
              <w:rPr>
                <w:rFonts w:ascii="Consolas" w:cs="Consolas" w:eastAsia="Consolas" w:hAnsi="Consolas"/>
                <w:color w:val="111111"/>
                <w:sz w:val="18"/>
                <w:szCs w:val="18"/>
              </w:rPr>
              <w:t xml:space="preserve"># CLI:     BENCHMARK=N pnpm dlx tsx scripts/measure_modes.ts</w:t>
            </w:r>
          </w:p>
          <w:p>
            <w:pPr>
              <w:shd w:fill="F2F2F2" w:val="clear"/>
              <w:spacing w:after="0" w:before="0" w:line="240"/>
            </w:pPr>
            <w:r>
              <w:rPr>
                <w:rFonts w:ascii="Consolas" w:cs="Consolas" w:eastAsia="Consolas" w:hAnsi="Consolas"/>
                <w:color w:val="111111"/>
                <w:sz w:val="18"/>
                <w:szCs w:val="18"/>
              </w:rPr>
              <w:t xml:space="preserve"># Trace:   BENCHMARK=N MRO_BYPASS=1 pnpm dlx tsx scripts/trace_recall.ts</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Catalog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400"/>
        <w:gridCol w:w="3560"/>
      </w:tblGrid>
      <w:tr>
        <w:trPr>
          <w:tblHeader/>
        </w:trP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bCs/>
                <w:color w:val="1A1A1A"/>
                <w:sz w:val="19"/>
                <w:szCs w:val="19"/>
              </w:rPr>
              <w:t xml:space="preserve">#</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Title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Best mode</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Stresses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Multi-CSV Project Join (PRJ-003)</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then Live</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HSL pointer + needle scan + diversity cap</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Named-Entity Person Probe</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(MRO short-circuits)</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Person fan-out, MRO short-circuit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Cross-CSV Financial Rollup (PRJ-002)</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then Live</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Jaccard dedup, dollar arithmetic</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Person Workload (Priya Nair)</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 fields × 4 CSVs</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5</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Comma-list HSL + Strict Filters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or Broad</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Multi-value HSL pattern, filter compliance</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Vendor Relationship Graph</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3-hop traversal</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7</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Fuzzy Match Stress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post-mig-031</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Trigram threshold tuning</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8</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Time-Bounded Portfolio Dashboard</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Broad</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Heavy aggregation, cost test</w:t>
            </w:r>
          </w:p>
        </w:tc>
      </w:tr>
      <w:t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9</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Data-Quality Audit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Absence detection, no fabrication</w:t>
            </w:r>
          </w:p>
        </w:tc>
      </w:tr>
      <w:tr>
        <w:tc>
          <w:tcPr>
            <w:tcW w:type="dxa" w:w="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w:t>
            </w:r>
          </w:p>
        </w:tc>
        <w:tc>
          <w:tcPr>
            <w:tcW w:type="dxa" w:w="2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Workflow Trace (PRJ-004)</w:t>
            </w:r>
          </w:p>
        </w:tc>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Multi-record narrative reasoning</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Benchmark 1 — Multi-CSV Project Join (PRJ-003)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then Live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Multi-CSV diversity cap; Jaccard dedup behavior</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For Project ID PRJ-003 (Greenway Office Park - Phase 2):</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1. List every Open RFI and every Open Issue tied to this project. For each, give: ID, Title, Assigned To, Priority, and Due Date.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2. Group those open items by Assigned To and report a count per person.</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3. List every Cost Code whose Applicable Projects field names PRJ-003. Give Cost Code, Cost Code Name, and Division Name.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4. List every Vendor whose Projects Assigned field names PRJ-003. Give Vendor ID, Vendor Name, Status, and Trade/Specialty.</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5. From the Submittal records for PRJ-003, give a count grouped by Status.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6. Across all six person fields touched by PRJ-003 — RFI Submitted By, RFI Assigned To, Issue Reported By, Issue Assigned To, Submittal Submitted By, Submittal Reviewed By — report the total count of distinct people who appear in any record tied to PRJ-003, and list them.</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Apply each filter strictly: do not list non-matching items, do not annotate them with a rejection mark.</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Benchmark 2 — Named-Entity Person Probe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(MRO short-circuits after first run)</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Person-cue HSL fan-out, name fuzzy match</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What roles does James Okafor hold. List projects and financials for each.</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Benchmark 3 — Cross-CSV Financial Rollup (PRJ-002)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then Live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Cross-CSV financial rollup; Jaccard dedup of the same project across CSVs</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For Project ID PRJ-002 (Highland Medical Center Expansion):</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1. Pull the AIA305 financial snapshot (one row): ProjectValue, EstimatedValue, Current_Contract_Value, PaidtoDate, Work_Completed, LSP_Total_Contracts, % Performed_by_LSP.</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2. Compute the gap: ProjectValue − PaidtoDate.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3. List every Open RFI for PRJ-002.</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4. List every Open Issue for PRJ-002.</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5. List every Submittal for PRJ-002 with Status ≠ Approved, grouped by Status.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6. From acc_cost_codes.csv: list every Cost Code whose Applicable Projects field includes PRJ-002.</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Benchmark 4 — Person Workload (Priya Nair)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Person cue across 6 fields × 4 CSVs</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What is Priya Nair's complete workload across the system?</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1. Every AIA305 project where Priya Nair appears as Superintendent, ProjectManager, Estimator, ProjectAssistant, or ProjectAccountant.</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2. Every RFI, Issue, and Submittal where Priya Nair is Submitted By, Reported By, Assigned To, or Reviewed By.</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3. Total dollar exposure: sum the ProjectValue of every AIA305 project where she appears in any role.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4. Status mix of the projects she touches.</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Benchmark 5 — Comma-list HSL + Strict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or Broad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Comma-list HSL value handling; strict-filter compliance</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Find every Cost Code that:</w:t>
            </w:r>
          </w:p>
          <w:p>
            <w:pPr>
              <w:shd w:fill="F2F2F2" w:val="clear"/>
              <w:spacing w:after="0" w:before="0" w:line="240"/>
            </w:pPr>
            <w:r>
              <w:rPr>
                <w:rFonts w:ascii="Consolas" w:cs="Consolas" w:eastAsia="Consolas" w:hAnsi="Consolas"/>
                <w:color w:val="111111"/>
                <w:sz w:val="18"/>
                <w:szCs w:val="18"/>
              </w:rPr>
              <w:t xml:space="preserve">  (a) lists PRJ-005 in its Applicable Projects field, AND</w:t>
            </w:r>
          </w:p>
          <w:p>
            <w:pPr>
              <w:shd w:fill="F2F2F2" w:val="clear"/>
              <w:spacing w:after="0" w:before="0" w:line="240"/>
            </w:pPr>
            <w:r>
              <w:rPr>
                <w:rFonts w:ascii="Consolas" w:cs="Consolas" w:eastAsia="Consolas" w:hAnsi="Consolas"/>
                <w:color w:val="111111"/>
                <w:sz w:val="18"/>
                <w:szCs w:val="18"/>
              </w:rPr>
              <w:t xml:space="preserve">  (b) is in Division 26 (Electrical) OR Division 23 (HVAC), AND</w:t>
            </w:r>
          </w:p>
          <w:p>
            <w:pPr>
              <w:shd w:fill="F2F2F2" w:val="clear"/>
              <w:spacing w:after="0" w:before="0" w:line="240"/>
            </w:pPr>
            <w:r>
              <w:rPr>
                <w:rFonts w:ascii="Consolas" w:cs="Consolas" w:eastAsia="Consolas" w:hAnsi="Consolas"/>
                <w:color w:val="111111"/>
                <w:sz w:val="18"/>
                <w:szCs w:val="18"/>
              </w:rPr>
              <w:t xml:space="preserve">  (c) has a Cost Code Name that includes the word "Distribution" or "Service".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Drop non-matching codes silently — do not list them and do not annotate them with a rejection mark.</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§9.  </w:t>
      </w:r>
      <w:r>
        <w:rPr>
          <w:rFonts w:ascii="Calibri" w:cs="Calibri" w:eastAsia="Calibri" w:hAnsi="Calibri"/>
          <w:b/>
          <w:bCs/>
          <w:color w:val="1F3864"/>
          <w:sz w:val="32"/>
          <w:szCs w:val="32"/>
        </w:rPr>
        <w:t xml:space="preserve">Benchmark 6 — Vendor Relationship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3-hop traversal (vendor → projects → submittals)</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For Vendor IronWorks Fabrication (VND-007):</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1. From acc_vendors.csv: pull the vendor's full profile.</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2. For each Project ID in Projects Assigned, find the AIA305 record and report Project name, Owner, Architect, ProjectValue, Status, ConstructionType, Market.</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3. For each project, list any Submittals from acc_submittals.csv where Submitted By = "IronWorks Fabrication".</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4. Total dollar exposure to this single vendor: sum the ProjectValue of every project in Projects Assigned.</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§10.  </w:t>
      </w:r>
      <w:r>
        <w:rPr>
          <w:rFonts w:ascii="Calibri" w:cs="Calibri" w:eastAsia="Calibri" w:hAnsi="Calibri"/>
          <w:b/>
          <w:bCs/>
          <w:color w:val="1F3864"/>
          <w:sz w:val="32"/>
          <w:szCs w:val="32"/>
        </w:rPr>
        <w:t xml:space="preserve">Benchmark 7 — Fuzzy Match Stress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post-mig-031</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Trigram similarity threshold tuning</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Find everything in the system about Sara Mitchel (deliberate partial spelling — match the closest real person). Then also find:</w:t>
            </w:r>
          </w:p>
          <w:p>
            <w:pPr>
              <w:shd w:fill="F2F2F2" w:val="clear"/>
              <w:spacing w:after="0" w:before="0" w:line="240"/>
            </w:pPr>
            <w:r>
              <w:rPr>
                <w:rFonts w:ascii="Consolas" w:cs="Consolas" w:eastAsia="Consolas" w:hAnsi="Consolas"/>
                <w:color w:val="111111"/>
                <w:sz w:val="18"/>
                <w:szCs w:val="18"/>
              </w:rPr>
              <w:t xml:space="preserve">  - Every project where the Architech is "Perkins Will" or similar.</w:t>
            </w:r>
          </w:p>
          <w:p>
            <w:pPr>
              <w:shd w:fill="F2F2F2" w:val="clear"/>
              <w:spacing w:after="0" w:before="0" w:line="240"/>
            </w:pPr>
            <w:r>
              <w:rPr>
                <w:rFonts w:ascii="Consolas" w:cs="Consolas" w:eastAsia="Consolas" w:hAnsi="Consolas"/>
                <w:color w:val="111111"/>
                <w:sz w:val="18"/>
                <w:szCs w:val="18"/>
              </w:rPr>
              <w:t xml:space="preserve">  - Every project in Texis or Tex (typos for Texas).</w:t>
            </w:r>
          </w:p>
          <w:p>
            <w:pPr>
              <w:shd w:fill="F2F2F2" w:val="clear"/>
              <w:spacing w:after="0" w:before="0" w:line="240"/>
            </w:pPr>
            <w:r>
              <w:rPr>
                <w:rFonts w:ascii="Consolas" w:cs="Consolas" w:eastAsia="Consolas" w:hAnsi="Consolas"/>
                <w:color w:val="111111"/>
                <w:sz w:val="18"/>
                <w:szCs w:val="18"/>
              </w:rPr>
              <w:t xml:space="preserve">  - Every cost code whose Division Name contains "Electric".</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For each match, cite the exact stored value alongside the typo'd cue.</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§11.  </w:t>
      </w:r>
      <w:r>
        <w:rPr>
          <w:rFonts w:ascii="Calibri" w:cs="Calibri" w:eastAsia="Calibri" w:hAnsi="Calibri"/>
          <w:b/>
          <w:bCs/>
          <w:color w:val="1F3864"/>
          <w:sz w:val="32"/>
          <w:szCs w:val="32"/>
        </w:rPr>
        <w:t xml:space="preserve">Benchmark 8 — Time-Bounded Portfolio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Broad (heavy aggregation)</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Token cost vs. answer completeness</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From AIA305 Sample.csv, build a portfolio dashboard for projects with StartDate between 2024-01-01 and 2024-12-31:</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1. Total project count and total ProjectValue.</w:t>
            </w:r>
          </w:p>
          <w:p>
            <w:pPr>
              <w:shd w:fill="F2F2F2" w:val="clear"/>
              <w:spacing w:after="0" w:before="0" w:line="240"/>
            </w:pPr>
            <w:r>
              <w:rPr>
                <w:rFonts w:ascii="Consolas" w:cs="Consolas" w:eastAsia="Consolas" w:hAnsi="Consolas"/>
                <w:color w:val="111111"/>
                <w:sz w:val="18"/>
                <w:szCs w:val="18"/>
              </w:rPr>
              <w:t xml:space="preserve">2. Top 5 projects by ProjectValue.</w:t>
            </w:r>
          </w:p>
          <w:p>
            <w:pPr>
              <w:shd w:fill="F2F2F2" w:val="clear"/>
              <w:spacing w:after="0" w:before="0" w:line="240"/>
            </w:pPr>
            <w:r>
              <w:rPr>
                <w:rFonts w:ascii="Consolas" w:cs="Consolas" w:eastAsia="Consolas" w:hAnsi="Consolas"/>
                <w:color w:val="111111"/>
                <w:sz w:val="18"/>
                <w:szCs w:val="18"/>
              </w:rPr>
              <w:t xml:space="preserve">3. Bottom 5 projects by % Performed_by_LSP among the top-10-by-ProjectValue.</w:t>
            </w:r>
          </w:p>
          <w:p>
            <w:pPr>
              <w:shd w:fill="F2F2F2" w:val="clear"/>
              <w:spacing w:after="0" w:before="0" w:line="240"/>
            </w:pPr>
            <w:r>
              <w:rPr>
                <w:rFonts w:ascii="Consolas" w:cs="Consolas" w:eastAsia="Consolas" w:hAnsi="Consolas"/>
                <w:color w:val="111111"/>
                <w:sz w:val="18"/>
                <w:szCs w:val="18"/>
              </w:rPr>
              <w:t xml:space="preserve">4. Status mix.</w:t>
            </w:r>
          </w:p>
          <w:p>
            <w:pPr>
              <w:shd w:fill="F2F2F2" w:val="clear"/>
              <w:spacing w:after="0" w:before="0" w:line="240"/>
            </w:pPr>
            <w:r>
              <w:rPr>
                <w:rFonts w:ascii="Consolas" w:cs="Consolas" w:eastAsia="Consolas" w:hAnsi="Consolas"/>
                <w:color w:val="111111"/>
                <w:sz w:val="18"/>
                <w:szCs w:val="18"/>
              </w:rPr>
              <w:t xml:space="preserve">5. Geographic distribution (top 5 states).</w:t>
            </w:r>
          </w:p>
          <w:p>
            <w:pPr>
              <w:shd w:fill="F2F2F2" w:val="clear"/>
              <w:spacing w:after="0" w:before="0" w:line="240"/>
            </w:pPr>
            <w:r>
              <w:rPr>
                <w:rFonts w:ascii="Consolas" w:cs="Consolas" w:eastAsia="Consolas" w:hAnsi="Consolas"/>
                <w:color w:val="111111"/>
                <w:sz w:val="18"/>
                <w:szCs w:val="18"/>
              </w:rPr>
              <w:t xml:space="preserve">6. Construction-type mix.</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§12.  </w:t>
      </w:r>
      <w:r>
        <w:rPr>
          <w:rFonts w:ascii="Calibri" w:cs="Calibri" w:eastAsia="Calibri" w:hAnsi="Calibri"/>
          <w:b/>
          <w:bCs/>
          <w:color w:val="1F3864"/>
          <w:sz w:val="32"/>
          <w:szCs w:val="32"/>
        </w:rPr>
        <w:t xml:space="preserve">Benchmark 9 — Data-Quality Audit (Gap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Absence detection; gap-reporting honesty</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Audit data quality across the corpus:</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1. acc_projects.csv records where Project Manager is empty.</w:t>
            </w:r>
          </w:p>
          <w:p>
            <w:pPr>
              <w:shd w:fill="F2F2F2" w:val="clear"/>
              <w:spacing w:after="0" w:before="0" w:line="240"/>
            </w:pPr>
            <w:r>
              <w:rPr>
                <w:rFonts w:ascii="Consolas" w:cs="Consolas" w:eastAsia="Consolas" w:hAnsi="Consolas"/>
                <w:color w:val="111111"/>
                <w:sz w:val="18"/>
                <w:szCs w:val="18"/>
              </w:rPr>
              <w:t xml:space="preserve">2. acc_vendors.csv records where Insurance Expiry is past or missing.</w:t>
            </w:r>
          </w:p>
          <w:p>
            <w:pPr>
              <w:shd w:fill="F2F2F2" w:val="clear"/>
              <w:spacing w:after="0" w:before="0" w:line="240"/>
            </w:pPr>
            <w:r>
              <w:rPr>
                <w:rFonts w:ascii="Consolas" w:cs="Consolas" w:eastAsia="Consolas" w:hAnsi="Consolas"/>
                <w:color w:val="111111"/>
                <w:sz w:val="18"/>
                <w:szCs w:val="18"/>
              </w:rPr>
              <w:t xml:space="preserve">3. AIA305 Sample.csv: count projects where Architect is empty (group by Status).</w:t>
            </w:r>
          </w:p>
          <w:p>
            <w:pPr>
              <w:shd w:fill="F2F2F2" w:val="clear"/>
              <w:spacing w:after="0" w:before="0" w:line="240"/>
            </w:pPr>
            <w:r>
              <w:rPr>
                <w:rFonts w:ascii="Consolas" w:cs="Consolas" w:eastAsia="Consolas" w:hAnsi="Consolas"/>
                <w:color w:val="111111"/>
                <w:sz w:val="18"/>
                <w:szCs w:val="18"/>
              </w:rPr>
              <w:t xml:space="preserve">4. acc_employees.csv records where Projects Assigned is empty.</w:t>
            </w:r>
          </w:p>
          <w:p>
            <w:pPr>
              <w:shd w:fill="F2F2F2" w:val="clear"/>
              <w:spacing w:after="0" w:before="0" w:line="240"/>
            </w:pPr>
            <w:r>
              <w:rPr>
                <w:rFonts w:ascii="Consolas" w:cs="Consolas" w:eastAsia="Consolas" w:hAnsi="Consolas"/>
                <w:color w:val="111111"/>
                <w:sz w:val="18"/>
                <w:szCs w:val="18"/>
              </w:rPr>
              <w:t xml:space="preserve">5. Cross-reference: Project IDs in acc_cost_codes Applicable Projects that don't appear in either acc_projects.csv or AIA305 Sample.csv (orphans).</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§13.  </w:t>
      </w:r>
      <w:r>
        <w:rPr>
          <w:rFonts w:ascii="Calibri" w:cs="Calibri" w:eastAsia="Calibri" w:hAnsi="Calibri"/>
          <w:b/>
          <w:bCs/>
          <w:color w:val="1F3864"/>
          <w:sz w:val="32"/>
          <w:szCs w:val="32"/>
        </w:rPr>
        <w:t xml:space="preserve">Benchmark 10 — Workflow Trace (PRJ-004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Best mode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What you'll learn</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Multi-record narrative reasoning</w:t>
            </w:r>
          </w:p>
        </w:tc>
      </w:tr>
    </w:tbl>
    <w:p>
      <w:pPr>
        <w:pStyle w:val="Heading2"/>
        <w:spacing w:after="100" w:before="240" w:line="300"/>
      </w:pPr>
      <w:r>
        <w:rPr>
          <w:rFonts w:ascii="Calibri" w:cs="Calibri" w:eastAsia="Calibri" w:hAnsi="Calibri"/>
          <w:b/>
          <w:bCs/>
          <w:color w:val="2E5090"/>
          <w:sz w:val="26"/>
          <w:szCs w:val="26"/>
        </w:rPr>
        <w:t xml:space="preserve">Prompt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DCDC" w:sz="4"/>
              <w:left w:val="single" w:color="DCDCDC" w:sz="4"/>
              <w:bottom w:val="single" w:color="DCDCDC" w:sz="4"/>
              <w:right w:val="single" w:color="DCDCDC" w:sz="4"/>
            </w:tcBorders>
            <w:shd w:fill="F2F2F2" w:val="clear"/>
            <w:tcMar>
              <w:top w:type="dxa" w:w="100"/>
              <w:left w:type="dxa" w:w="200"/>
              <w:bottom w:type="dxa" w:w="100"/>
              <w:right w:type="dxa" w:w="200"/>
            </w:tcMar>
          </w:tcPr>
          <w:p>
            <w:pPr>
              <w:shd w:fill="F2F2F2" w:val="clear"/>
              <w:spacing w:after="0" w:before="0" w:line="240"/>
            </w:pPr>
            <w:r>
              <w:rPr>
                <w:rFonts w:ascii="Consolas" w:cs="Consolas" w:eastAsia="Consolas" w:hAnsi="Consolas"/>
                <w:color w:val="111111"/>
                <w:sz w:val="18"/>
                <w:szCs w:val="18"/>
              </w:rPr>
              <w:t xml:space="preserve">Trace the dependency chain for Project PRJ-004 (Lakeview Elementary School):</w:t>
            </w:r>
          </w:p>
          <w:p>
            <w:pPr>
              <w:shd w:fill="F2F2F2" w:val="clear"/>
              <w:spacing w:after="0" w:before="0" w:line="240"/>
            </w:pPr>
            <w:r>
              <w:rPr>
                <w:rFonts w:ascii="Consolas" w:cs="Consolas" w:eastAsia="Consolas" w:hAnsi="Consolas"/>
                <w:color w:val="111111"/>
                <w:sz w:val="18"/>
                <w:szCs w:val="18"/>
              </w:rPr>
              <w:t xml:space="preserve"> </w:t>
            </w:r>
          </w:p>
          <w:p>
            <w:pPr>
              <w:shd w:fill="F2F2F2" w:val="clear"/>
              <w:spacing w:after="0" w:before="0" w:line="240"/>
            </w:pPr>
            <w:r>
              <w:rPr>
                <w:rFonts w:ascii="Consolas" w:cs="Consolas" w:eastAsia="Consolas" w:hAnsi="Consolas"/>
                <w:color w:val="111111"/>
                <w:sz w:val="18"/>
                <w:szCs w:val="18"/>
              </w:rPr>
              <w:t xml:space="preserve">1. Every RFI for PRJ-004.</w:t>
            </w:r>
          </w:p>
          <w:p>
            <w:pPr>
              <w:shd w:fill="F2F2F2" w:val="clear"/>
              <w:spacing w:after="0" w:before="0" w:line="240"/>
            </w:pPr>
            <w:r>
              <w:rPr>
                <w:rFonts w:ascii="Consolas" w:cs="Consolas" w:eastAsia="Consolas" w:hAnsi="Consolas"/>
                <w:color w:val="111111"/>
                <w:sz w:val="18"/>
                <w:szCs w:val="18"/>
              </w:rPr>
              <w:t xml:space="preserve">2. Every Submittal for PRJ-004.</w:t>
            </w:r>
          </w:p>
          <w:p>
            <w:pPr>
              <w:shd w:fill="F2F2F2" w:val="clear"/>
              <w:spacing w:after="0" w:before="0" w:line="240"/>
            </w:pPr>
            <w:r>
              <w:rPr>
                <w:rFonts w:ascii="Consolas" w:cs="Consolas" w:eastAsia="Consolas" w:hAnsi="Consolas"/>
                <w:color w:val="111111"/>
                <w:sz w:val="18"/>
                <w:szCs w:val="18"/>
              </w:rPr>
              <w:t xml:space="preserve">3. Cross-reference: which Submittals' Notes references a specific RFI ID? Identifies submittals blocked on RFIs.</w:t>
            </w:r>
          </w:p>
          <w:p>
            <w:pPr>
              <w:shd w:fill="F2F2F2" w:val="clear"/>
              <w:spacing w:after="0" w:before="0" w:line="240"/>
            </w:pPr>
            <w:r>
              <w:rPr>
                <w:rFonts w:ascii="Consolas" w:cs="Consolas" w:eastAsia="Consolas" w:hAnsi="Consolas"/>
                <w:color w:val="111111"/>
                <w:sz w:val="18"/>
                <w:szCs w:val="18"/>
              </w:rPr>
              <w:t xml:space="preserve">4. Every Issue for PRJ-004.</w:t>
            </w:r>
          </w:p>
          <w:p>
            <w:pPr>
              <w:shd w:fill="F2F2F2" w:val="clear"/>
              <w:spacing w:after="0" w:before="0" w:line="240"/>
            </w:pPr>
            <w:r>
              <w:rPr>
                <w:rFonts w:ascii="Consolas" w:cs="Consolas" w:eastAsia="Consolas" w:hAnsi="Consolas"/>
                <w:color w:val="111111"/>
                <w:sz w:val="18"/>
                <w:szCs w:val="18"/>
              </w:rPr>
              <w:t xml:space="preserve">5. Construct a brief narrative timeline.</w:t>
            </w:r>
          </w:p>
        </w:tc>
      </w:tr>
    </w:tbl>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§14.  </w:t>
      </w:r>
      <w:r>
        <w:rPr>
          <w:rFonts w:ascii="Calibri" w:cs="Calibri" w:eastAsia="Calibri" w:hAnsi="Calibri"/>
          <w:b/>
          <w:bCs/>
          <w:color w:val="1F3864"/>
          <w:sz w:val="32"/>
          <w:szCs w:val="32"/>
        </w:rPr>
        <w:t xml:space="preserve">Reading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Signal</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What it means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Side-by-side metrics</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Lower token counts at equal answer quality ⇒ retrieval is doing more of the work</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Citation density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and Live should cite exact AIO row names. Broad cites often. Raw fabricates citations or skips them — treat as a tell</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Filter compliance</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Benchmarks 1, 3, 5, 8, 9 have strict 'drop, don't annotate' instructions. Replies with rejection marks failed</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Absence honesty</w:t>
            </w:r>
          </w:p>
        </w:tc>
        <w:tc>
          <w:tcPr>
            <w:tcW w:type="dxa" w:w="6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Benchmark 9 specifically tests whether the model says 'no records' on an empty bucket vs. fabricating an entry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MRO short-circuit</w:t>
            </w:r>
          </w:p>
        </w:tc>
        <w:tc>
          <w:tcPr>
            <w:tcW w:type="dxa" w:w="6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After running once, subsequent runs short-circuit at score ≥ 0.85, returning the prior with zero LLM cost. Use 'Force fresh' toggle or MRO_BYPASS=1 for fresh</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Benchmark Catalog</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 w:type="paragraph" w:styleId="Heading3">
    <w:name w:val="Heading 3"/>
    <w:basedOn w:val="Normal"/>
    <w:next w:val="Normal"/>
    <w:qFormat/>
    <w:pPr>
      <w:spacing w:after="80" w:before="180" w:line="280"/>
      <w:outlineLvl w:val="2"/>
    </w:pPr>
    <w:rPr>
      <w:rFonts w:ascii="Calibri" w:cs="Calibri" w:eastAsia="Calibri" w:hAnsi="Calibri"/>
      <w:b/>
      <w:bCs/>
      <w:i/>
      <w:iCs/>
      <w:color w:val="2E509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Catalog</dc:title>
  <dc:creator>Information Physics — ChatAIO Engineering</dc:creator>
  <dc:description>Benchmark Catalog — V4.5</dc:description>
  <cp:lastModifiedBy>Un-named</cp:lastModifiedBy>
  <cp:revision>1</cp:revision>
  <dcterms:created xsi:type="dcterms:W3CDTF">2026-04-29T17:03:18.922Z</dcterms:created>
  <dcterms:modified xsi:type="dcterms:W3CDTF">2026-04-29T17:03:18.922Z</dcterms:modified>
</cp:coreProperties>
</file>

<file path=docProps/custom.xml><?xml version="1.0" encoding="utf-8"?>
<Properties xmlns="http://schemas.openxmlformats.org/officeDocument/2006/custom-properties" xmlns:vt="http://schemas.openxmlformats.org/officeDocument/2006/docPropsVTypes"/>
</file>