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 w:line="280"/>
        <w:jc w:val="left"/>
      </w:pPr>
      <w:r>
        <w:rPr>
          <w:rFonts w:ascii="Calibri" w:cs="Calibri" w:eastAsia="Calibri" w:hAnsi="Calibri"/>
          <w:b w:val="false"/>
          <w:bCs w:val="false"/>
          <w:i w:val="false"/>
          <w:iCs w:val="false"/>
          <w:color w:val="1A1A1A"/>
          <w:sz w:val="21"/>
          <w:szCs w:val="21"/>
        </w:rPr>
        <w:t xml:space="preserve"/>
      </w:r>
    </w:p>
    <w:p>
      <w:pPr>
        <w:spacing w:after="60" w:before="60" w:line="280"/>
        <w:jc w:val="left"/>
      </w:pPr>
      <w:r>
        <w:rPr>
          <w:rFonts w:ascii="Calibri" w:cs="Calibri" w:eastAsia="Calibri" w:hAnsi="Calibri"/>
          <w:b w:val="false"/>
          <w:bCs w:val="false"/>
          <w:i w:val="false"/>
          <w:iCs w:val="false"/>
          <w:color w:val="1A1A1A"/>
          <w:sz w:val="21"/>
          <w:szCs w:val="21"/>
        </w:rPr>
        <w:t xml:space="preserve"/>
      </w:r>
    </w:p>
    <w:p>
      <w:pPr>
        <w:pBdr>
          <w:bottom w:val="single" w:color="C09853" w:sz="24" w:space="1"/>
        </w:pBdr>
        <w:spacing w:after="40" w:before="0"/>
      </w:pPr>
      <w:r>
        <w:t xml:space="preserve"/>
      </w:r>
    </w:p>
    <w:p>
      <w:pPr>
        <w:spacing w:after="40" w:before="60" w:line="280"/>
        <w:jc w:val="center"/>
      </w:pPr>
      <w:r>
        <w:rPr>
          <w:rFonts w:ascii="Calibri" w:cs="Calibri" w:eastAsia="Calibri" w:hAnsi="Calibri"/>
          <w:b/>
          <w:bCs/>
          <w:i w:val="false"/>
          <w:iCs w:val="false"/>
          <w:color w:val="1F3864"/>
          <w:sz w:val="22"/>
          <w:szCs w:val="22"/>
        </w:rPr>
        <w:t xml:space="preserve">INFORMATION PHYSICS</w:t>
      </w:r>
    </w:p>
    <w:p>
      <w:pPr>
        <w:spacing w:after="0" w:before="60" w:line="280"/>
        <w:jc w:val="center"/>
      </w:pPr>
      <w:r>
        <w:rPr>
          <w:rFonts w:ascii="Calibri" w:cs="Calibri" w:eastAsia="Calibri" w:hAnsi="Calibri"/>
          <w:b w:val="false"/>
          <w:bCs w:val="false"/>
          <w:i/>
          <w:iCs/>
          <w:color w:val="2E5090"/>
          <w:sz w:val="18"/>
          <w:szCs w:val="18"/>
        </w:rPr>
        <w:t xml:space="preserve">ChatAIO Engineering Reference</w:t>
      </w:r>
    </w:p>
    <w:p>
      <w:pPr>
        <w:pBdr>
          <w:bottom w:val="single" w:color="C09853" w:sz="8" w:space="1"/>
        </w:pBdr>
        <w:spacing w:after="320" w:before="40"/>
      </w:pPr>
      <w:r>
        <w:t xml:space="preserve"/>
      </w:r>
    </w:p>
    <w:p>
      <w:pPr>
        <w:spacing w:after="60" w:before="60" w:line="280"/>
        <w:jc w:val="left"/>
      </w:pPr>
      <w:r>
        <w:rPr>
          <w:rFonts w:ascii="Calibri" w:cs="Calibri" w:eastAsia="Calibri" w:hAnsi="Calibri"/>
          <w:b w:val="false"/>
          <w:bCs w:val="false"/>
          <w:i w:val="false"/>
          <w:iCs w:val="false"/>
          <w:color w:val="1A1A1A"/>
          <w:sz w:val="21"/>
          <w:szCs w:val="21"/>
        </w:rPr>
        <w:t xml:space="preserve"/>
      </w:r>
    </w:p>
    <w:p>
      <w:pPr>
        <w:spacing w:after="60" w:before="60" w:line="280"/>
        <w:jc w:val="left"/>
      </w:pPr>
      <w:r>
        <w:rPr>
          <w:rFonts w:ascii="Calibri" w:cs="Calibri" w:eastAsia="Calibri" w:hAnsi="Calibri"/>
          <w:b w:val="false"/>
          <w:bCs w:val="false"/>
          <w:i w:val="false"/>
          <w:iCs w:val="false"/>
          <w:color w:val="1A1A1A"/>
          <w:sz w:val="21"/>
          <w:szCs w:val="21"/>
        </w:rPr>
        <w:t xml:space="preserve"/>
      </w:r>
    </w:p>
    <w:p>
      <w:pPr>
        <w:spacing w:after="60" w:before="60" w:line="280"/>
        <w:jc w:val="left"/>
      </w:pPr>
      <w:r>
        <w:rPr>
          <w:rFonts w:ascii="Calibri" w:cs="Calibri" w:eastAsia="Calibri" w:hAnsi="Calibri"/>
          <w:b w:val="false"/>
          <w:bCs w:val="false"/>
          <w:i w:val="false"/>
          <w:iCs w:val="false"/>
          <w:color w:val="1A1A1A"/>
          <w:sz w:val="21"/>
          <w:szCs w:val="21"/>
        </w:rPr>
        <w:t xml:space="preserve"/>
      </w:r>
    </w:p>
    <w:p>
      <w:pPr>
        <w:spacing w:after="60" w:before="60" w:line="280"/>
        <w:jc w:val="left"/>
      </w:pPr>
      <w:r>
        <w:rPr>
          <w:rFonts w:ascii="Calibri" w:cs="Calibri" w:eastAsia="Calibri" w:hAnsi="Calibri"/>
          <w:b w:val="false"/>
          <w:bCs w:val="false"/>
          <w:i w:val="false"/>
          <w:iCs w:val="false"/>
          <w:color w:val="1A1A1A"/>
          <w:sz w:val="21"/>
          <w:szCs w:val="21"/>
        </w:rPr>
        <w:t xml:space="preserve"/>
      </w:r>
    </w:p>
    <w:p>
      <w:pPr>
        <w:spacing w:after="280" w:before="60" w:line="280"/>
        <w:jc w:val="center"/>
      </w:pPr>
      <w:r>
        <w:rPr>
          <w:rFonts w:ascii="Calibri" w:cs="Calibri" w:eastAsia="Calibri" w:hAnsi="Calibri"/>
          <w:b/>
          <w:bCs/>
          <w:i w:val="false"/>
          <w:iCs w:val="false"/>
          <w:color w:val="C09853"/>
          <w:sz w:val="20"/>
          <w:szCs w:val="20"/>
        </w:rPr>
        <w:t xml:space="preserve">CONFIDENTIAL — Trade Secret Reference</w:t>
      </w:r>
    </w:p>
    <w:p>
      <w:pPr>
        <w:spacing w:after="80" w:before="60" w:line="280"/>
        <w:jc w:val="center"/>
      </w:pPr>
      <w:r>
        <w:rPr>
          <w:rFonts w:ascii="Calibri" w:cs="Calibri" w:eastAsia="Calibri" w:hAnsi="Calibri"/>
          <w:b/>
          <w:bCs/>
          <w:i w:val="false"/>
          <w:iCs w:val="false"/>
          <w:color w:val="1F3864"/>
          <w:sz w:val="44"/>
          <w:szCs w:val="44"/>
        </w:rPr>
        <w:t xml:space="preserve">MRO Lifecycle &amp; Linkage</w:t>
      </w:r>
    </w:p>
    <w:p>
      <w:pPr>
        <w:spacing w:after="320" w:before="60" w:line="280"/>
        <w:jc w:val="center"/>
      </w:pPr>
      <w:r>
        <w:rPr>
          <w:rFonts w:ascii="Calibri" w:cs="Calibri" w:eastAsia="Calibri" w:hAnsi="Calibri"/>
          <w:b w:val="false"/>
          <w:bCs w:val="false"/>
          <w:i/>
          <w:iCs/>
          <w:color w:val="2E5090"/>
          <w:sz w:val="24"/>
          <w:szCs w:val="24"/>
        </w:rPr>
        <w:t xml:space="preserve">Memory Result Object creation, persistence, retrieval, reuse, and audit</w:t>
      </w:r>
    </w:p>
    <w:p>
      <w:pPr>
        <w:spacing w:after="60" w:before="60" w:line="280"/>
        <w:jc w:val="left"/>
      </w:pPr>
      <w:r>
        <w:rPr>
          <w:rFonts w:ascii="Calibri" w:cs="Calibri" w:eastAsia="Calibri" w:hAnsi="Calibri"/>
          <w:b w:val="false"/>
          <w:bCs w:val="false"/>
          <w:i w:val="false"/>
          <w:iCs w:val="false"/>
          <w:color w:val="1A1A1A"/>
          <w:sz w:val="21"/>
          <w:szCs w:val="21"/>
        </w:rPr>
        <w:t xml:space="preserve"/>
      </w:r>
    </w:p>
    <w:p>
      <w:pPr>
        <w:spacing w:after="60" w:before="60" w:line="280"/>
        <w:jc w:val="left"/>
      </w:pPr>
      <w:r>
        <w:rPr>
          <w:rFonts w:ascii="Calibri" w:cs="Calibri" w:eastAsia="Calibri" w:hAnsi="Calibri"/>
          <w:b w:val="false"/>
          <w:bCs w:val="false"/>
          <w:i w:val="false"/>
          <w:iCs w:val="false"/>
          <w:color w:val="1A1A1A"/>
          <w:sz w:val="21"/>
          <w:szCs w:val="21"/>
        </w:rPr>
        <w:t xml:space="preserve"/>
      </w:r>
    </w:p>
    <w:p>
      <w:pPr>
        <w:spacing w:after="60" w:before="60" w:line="280"/>
        <w:jc w:val="left"/>
      </w:pPr>
      <w:r>
        <w:rPr>
          <w:rFonts w:ascii="Calibri" w:cs="Calibri" w:eastAsia="Calibri" w:hAnsi="Calibri"/>
          <w:b w:val="false"/>
          <w:bCs w:val="false"/>
          <w:i w:val="false"/>
          <w:iCs w:val="false"/>
          <w:color w:val="1A1A1A"/>
          <w:sz w:val="21"/>
          <w:szCs w:val="21"/>
        </w:rPr>
        <w:t xml:space="preserve"/>
      </w:r>
    </w:p>
    <w:p>
      <w:pPr>
        <w:pBdr>
          <w:top w:val="single" w:color="C09853" w:sz="8" w:space="1"/>
        </w:pBdr>
        <w:spacing w:after="40" w:before="320"/>
      </w:pPr>
      <w:r>
        <w:t xml:space="preserve"/>
      </w:r>
    </w:p>
    <w:p>
      <w:pPr>
        <w:spacing w:after="60" w:before="60" w:line="280"/>
        <w:jc w:val="center"/>
      </w:pPr>
      <w:r>
        <w:rPr>
          <w:rFonts w:ascii="Calibri" w:cs="Calibri" w:eastAsia="Calibri" w:hAnsi="Calibri"/>
          <w:b w:val="false"/>
          <w:bCs w:val="false"/>
          <w:i/>
          <w:iCs/>
          <w:color w:val="2E5090"/>
          <w:sz w:val="18"/>
          <w:szCs w:val="18"/>
        </w:rPr>
        <w:t xml:space="preserve">V4.5  ·  April 2026  ·  InformationPhysics.ai, LLC</w:t>
      </w:r>
    </w:p>
    <w:p>
      <w:pPr>
        <w:spacing w:after="40" w:before="60" w:line="280"/>
        <w:jc w:val="center"/>
      </w:pPr>
      <w:r>
        <w:rPr>
          <w:rFonts w:ascii="Calibri" w:cs="Calibri" w:eastAsia="Calibri" w:hAnsi="Calibri"/>
          <w:b w:val="false"/>
          <w:bCs w:val="false"/>
          <w:i/>
          <w:iCs/>
          <w:color w:val="606060"/>
          <w:sz w:val="17"/>
          <w:szCs w:val="17"/>
        </w:rPr>
        <w:t xml:space="preserve">Subject to non-disclosure agreement on file. Not for redistribution.</w:t>
      </w:r>
    </w:p>
    <w:p>
      <w:r>
        <w:br w:type="page"/>
      </w:r>
    </w:p>
    <w:p>
      <w:pPr>
        <w:pStyle w:val="Heading1"/>
        <w:pBdr>
          <w:bottom w:val="single" w:color="1F3864" w:sz="8" w:space="4"/>
        </w:pBdr>
        <w:spacing w:after="160" w:before="360" w:line="320"/>
      </w:pPr>
      <w:r>
        <w:rPr>
          <w:rFonts w:ascii="Calibri" w:cs="Calibri" w:eastAsia="Calibri" w:hAnsi="Calibri"/>
          <w:b/>
          <w:bCs/>
          <w:color w:val="C09853"/>
          <w:sz w:val="32"/>
          <w:szCs w:val="32"/>
        </w:rPr>
        <w:t xml:space="preserve">§0.  </w:t>
      </w:r>
      <w:r>
        <w:rPr>
          <w:rFonts w:ascii="Calibri" w:cs="Calibri" w:eastAsia="Calibri" w:hAnsi="Calibri"/>
          <w:b/>
          <w:bCs/>
          <w:color w:val="1F3864"/>
          <w:sz w:val="32"/>
          <w:szCs w:val="32"/>
        </w:rPr>
        <w:t xml:space="preserve">Document Information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Field</w:t>
            </w:r>
          </w:p>
        </w:tc>
        <w:tc>
          <w:tcPr>
            <w:tcW w:type="dxa" w:w="7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Value</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Title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MRO Lifecycle &amp; Linkage — Technical Process Declaration</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Document type</w:t>
            </w:r>
          </w:p>
        </w:tc>
        <w:tc>
          <w:tcPr>
            <w:tcW w:type="dxa" w:w="7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Confidential / Trade Secret</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Version</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V4.5</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Release</w:t>
            </w:r>
          </w:p>
        </w:tc>
        <w:tc>
          <w:tcPr>
            <w:tcW w:type="dxa" w:w="7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April 2026</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Organization</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InformationPhysics.ai, LLC</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Generated</w:t>
            </w:r>
          </w:p>
        </w:tc>
        <w:tc>
          <w:tcPr>
            <w:tcW w:type="dxa" w:w="7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2026-04-29 17:03:18 UTC</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Distribution</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Internal · NDA-controlled</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Supersedes</w:t>
            </w:r>
          </w:p>
        </w:tc>
        <w:tc>
          <w:tcPr>
            <w:tcW w:type="dxa" w:w="7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Any prior description of the same subject in earlier release notes or technotes</w:t>
            </w:r>
          </w:p>
        </w:tc>
      </w:tr>
    </w:tbl>
    <w:p>
      <w:pPr>
        <w:spacing w:after="60" w:before="60" w:line="280"/>
        <w:jc w:val="left"/>
      </w:pPr>
      <w:r>
        <w:rPr>
          <w:rFonts w:ascii="Calibri" w:cs="Calibri" w:eastAsia="Calibri" w:hAnsi="Calibri"/>
          <w:b w:val="false"/>
          <w:bCs w:val="false"/>
          <w:i w:val="false"/>
          <w:iCs w:val="false"/>
          <w:color w:val="1A1A1A"/>
          <w:sz w:val="21"/>
          <w:szCs w:val="21"/>
        </w:rPr>
        <w:t xml:space="preserve"/>
      </w:r>
    </w:p>
    <w:p>
      <w:pPr>
        <w:pStyle w:val="Heading2"/>
        <w:spacing w:after="100" w:before="240" w:line="300"/>
      </w:pPr>
      <w:r>
        <w:rPr>
          <w:rFonts w:ascii="Calibri" w:cs="Calibri" w:eastAsia="Calibri" w:hAnsi="Calibri"/>
          <w:b/>
          <w:bCs/>
          <w:color w:val="2E5090"/>
          <w:sz w:val="26"/>
          <w:szCs w:val="26"/>
        </w:rPr>
        <w:t xml:space="preserve">Abstract</w:t>
      </w:r>
    </w:p>
    <w:p>
      <w:pPr>
        <w:spacing w:after="60" w:before="60" w:line="280"/>
        <w:jc w:val="left"/>
      </w:pPr>
      <w:r>
        <w:rPr>
          <w:rFonts w:ascii="Calibri" w:cs="Calibri" w:eastAsia="Calibri" w:hAnsi="Calibri"/>
          <w:b w:val="false"/>
          <w:bCs w:val="false"/>
          <w:i w:val="false"/>
          <w:iCs w:val="false"/>
          <w:color w:val="1A1A1A"/>
          <w:sz w:val="21"/>
          <w:szCs w:val="21"/>
        </w:rPr>
        <w:t xml:space="preserve">Authoritative engineering description of the Memory Result Object (MRO) layer of ChatAIO. Covers MRO creation paths, the back-link writeback to contributing HSLs, retrieval (short-circuit and prior-augmentation paths), trust scoring, and the V4.5 audit and repair tooling that surfaced and corrected three silent failure modes in the link path.</w:t>
      </w:r>
    </w:p>
    <w:p>
      <w:pPr>
        <w:spacing w:after="60" w:before="60" w:line="280"/>
        <w:jc w:val="left"/>
      </w:pPr>
      <w:r>
        <w:rPr>
          <w:rFonts w:ascii="Calibri" w:cs="Calibri" w:eastAsia="Calibri" w:hAnsi="Calibri"/>
          <w:b w:val="false"/>
          <w:bCs w:val="false"/>
          <w:i w:val="false"/>
          <w:iCs w:val="false"/>
          <w:color w:val="1A1A1A"/>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9853" w:sz="12"/>
              <w:left w:val="single" w:color="C09853" w:sz="12"/>
              <w:bottom w:val="single" w:color="C09853" w:sz="4"/>
              <w:right w:val="single" w:color="C09853" w:sz="4"/>
            </w:tcBorders>
            <w:shd w:fill="FFF8E7" w:val="clear"/>
            <w:tcMar>
              <w:top w:type="dxa" w:w="140"/>
              <w:left w:type="dxa" w:w="200"/>
              <w:bottom w:type="dxa" w:w="140"/>
              <w:right w:type="dxa" w:w="200"/>
            </w:tcMar>
          </w:tcPr>
          <w:p>
            <w:pPr>
              <w:spacing w:after="80" w:before="0"/>
            </w:pPr>
            <w:r>
              <w:rPr>
                <w:rFonts w:ascii="Calibri" w:cs="Calibri" w:eastAsia="Calibri" w:hAnsi="Calibri"/>
                <w:b/>
                <w:bCs/>
                <w:color w:val="C09853"/>
                <w:sz w:val="20"/>
                <w:szCs w:val="20"/>
              </w:rPr>
              <w:t xml:space="preserve">Reading this document</w:t>
            </w:r>
          </w:p>
          <w:p>
            <w:pPr>
              <w:spacing w:after="0" w:before="0" w:line="280"/>
            </w:pPr>
            <w:r>
              <w:rPr>
                <w:rFonts w:ascii="Calibri" w:cs="Calibri" w:eastAsia="Calibri" w:hAnsi="Calibri"/>
                <w:color w:val="1A1A1A"/>
                <w:sz w:val="21"/>
                <w:szCs w:val="21"/>
              </w:rPr>
              <w:t xml:space="preserve">Section numbers are stable across revisions of this document; cross-references can rely on §N notation. Code snippets are illustrative — the canonical source is the file path called out in the Provenance section. Any inconsistency between this document and the source code should be reconciled by editing this document, not the code.</w:t>
            </w:r>
          </w:p>
        </w:tc>
      </w:tr>
    </w:tbl>
    <w:p>
      <w:r>
        <w:br w:type="page"/>
      </w:r>
    </w:p>
    <w:p>
      <w:pPr>
        <w:pStyle w:val="Heading1"/>
        <w:pBdr>
          <w:bottom w:val="single" w:color="1F3864" w:sz="8" w:space="4"/>
        </w:pBdr>
        <w:spacing w:after="160" w:before="360" w:line="320"/>
      </w:pPr>
      <w:r>
        <w:rPr>
          <w:rFonts w:ascii="Calibri" w:cs="Calibri" w:eastAsia="Calibri" w:hAnsi="Calibri"/>
          <w:b/>
          <w:bCs/>
          <w:color w:val="C09853"/>
          <w:sz w:val="32"/>
          <w:szCs w:val="32"/>
        </w:rPr>
        <w:t xml:space="preserve">§1.  </w:t>
      </w:r>
      <w:r>
        <w:rPr>
          <w:rFonts w:ascii="Calibri" w:cs="Calibri" w:eastAsia="Calibri" w:hAnsi="Calibri"/>
          <w:b/>
          <w:bCs/>
          <w:color w:val="1F3864"/>
          <w:sz w:val="32"/>
          <w:szCs w:val="32"/>
        </w:rPr>
        <w:t xml:space="preserve">Scope</w:t>
      </w:r>
    </w:p>
    <w:p>
      <w:pPr>
        <w:spacing w:after="60" w:before="60" w:line="280"/>
        <w:jc w:val="left"/>
      </w:pPr>
      <w:r>
        <w:rPr>
          <w:rFonts w:ascii="Calibri" w:cs="Calibri" w:eastAsia="Calibri" w:hAnsi="Calibri"/>
          <w:b w:val="false"/>
          <w:bCs w:val="false"/>
          <w:i w:val="false"/>
          <w:iCs w:val="false"/>
          <w:color w:val="1A1A1A"/>
          <w:sz w:val="21"/>
          <w:szCs w:val="21"/>
        </w:rPr>
        <w:t xml:space="preserve">Authoritative engineering description of the Memory Result Object (MRO) layer of ChatAIO as shipped in V4.5. Covers MRO creation, the back-link writeback to contributing HSLs, retrieval (short-circuit and prior-augmentation paths), trust scoring, and the V4.5 audit and repair tooling that surfaced and corrected three silent failure modes in the link path.</w:t>
      </w:r>
    </w:p>
    <w:p>
      <w:pPr>
        <w:pStyle w:val="Heading1"/>
        <w:pBdr>
          <w:bottom w:val="single" w:color="1F3864" w:sz="8" w:space="4"/>
        </w:pBdr>
        <w:spacing w:after="160" w:before="360" w:line="320"/>
      </w:pPr>
      <w:r>
        <w:rPr>
          <w:rFonts w:ascii="Calibri" w:cs="Calibri" w:eastAsia="Calibri" w:hAnsi="Calibri"/>
          <w:b/>
          <w:bCs/>
          <w:color w:val="C09853"/>
          <w:sz w:val="32"/>
          <w:szCs w:val="32"/>
        </w:rPr>
        <w:t xml:space="preserve">§2.  </w:t>
      </w:r>
      <w:r>
        <w:rPr>
          <w:rFonts w:ascii="Calibri" w:cs="Calibri" w:eastAsia="Calibri" w:hAnsi="Calibri"/>
          <w:b/>
          <w:bCs/>
          <w:color w:val="1F3864"/>
          <w:sz w:val="32"/>
          <w:szCs w:val="32"/>
        </w:rPr>
        <w:t xml:space="preserve">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Term</w:t>
            </w:r>
          </w:p>
        </w:tc>
        <w:tc>
          <w:tcPr>
            <w:tcW w:type="dxa" w:w="6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Meaning</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MRO</w:t>
            </w:r>
          </w:p>
        </w:tc>
        <w:tc>
          <w:tcPr>
            <w:tcW w:type="dxa" w:w="69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Memory Result Object — persisted retrieval episode { mro_id, query_text, cue_set, seed_hsls, result_text, trust_score, confidence, … }. Stored in mro_objects table.</w:t>
            </w:r>
          </w:p>
        </w:tc>
      </w:tr>
      <w:tr>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seed_hsls</w:t>
            </w:r>
          </w:p>
        </w:tc>
        <w:tc>
          <w:tcPr>
            <w:tcW w:type="dxa" w:w="6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Pipe-separated HSL UUIDs the MRO claims as its origin. Set when the MRO is created from a Recall or Live Search.</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Back-pointer</w:t>
            </w:r>
          </w:p>
        </w:tc>
        <w:tc>
          <w:tcPr>
            <w:tcW w:type="dxa" w:w="69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Entry [MRO.&lt;uuid&gt;] written into hsl_member for every contributing HSL. Bidirectional with seed_hsls — symmetric in healthy operation.</w:t>
            </w:r>
          </w:p>
        </w:tc>
      </w:tr>
      <w:tr>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Short-circuit</w:t>
            </w:r>
          </w:p>
        </w:tc>
        <w:tc>
          <w:tcPr>
            <w:tcW w:type="dxa" w:w="6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Pipeline behavior of returning a cached MRO's result_text directly when its similarity to the new query exceeds MRO_SHORT_CIRCUIT_THRESHOLD (0.85). Skips the LLM call entirely.</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trust_score</w:t>
            </w:r>
          </w:p>
        </w:tc>
        <w:tc>
          <w:tcPr>
            <w:tcW w:type="dxa" w:w="69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Integer counter on each MRO. Bumped by linkMroToHsl every time an MRO is reused as a prior. Frequently-useful episodes rise to the top of the priors-by-relevance ranking.</w:t>
            </w:r>
          </w:p>
        </w:tc>
      </w:tr>
      <w:tr>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Linkage view</w:t>
            </w:r>
          </w:p>
        </w:tc>
        <w:tc>
          <w:tcPr>
            <w:tcW w:type="dxa" w:w="6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System Management → MRO Data → Linkage button. Renders symmetric audit of an MRO's seed_hsls vs. its hsl_member back-pointers.</w:t>
            </w:r>
          </w:p>
        </w:tc>
      </w:tr>
    </w:tbl>
    <w:p>
      <w:pPr>
        <w:pStyle w:val="Heading1"/>
        <w:pBdr>
          <w:bottom w:val="single" w:color="1F3864" w:sz="8" w:space="4"/>
        </w:pBdr>
        <w:spacing w:after="160" w:before="360" w:line="320"/>
      </w:pPr>
      <w:r>
        <w:rPr>
          <w:rFonts w:ascii="Calibri" w:cs="Calibri" w:eastAsia="Calibri" w:hAnsi="Calibri"/>
          <w:b/>
          <w:bCs/>
          <w:color w:val="C09853"/>
          <w:sz w:val="32"/>
          <w:szCs w:val="32"/>
        </w:rPr>
        <w:t xml:space="preserve">§3.  </w:t>
      </w:r>
      <w:r>
        <w:rPr>
          <w:rFonts w:ascii="Calibri" w:cs="Calibri" w:eastAsia="Calibri" w:hAnsi="Calibri"/>
          <w:b/>
          <w:bCs/>
          <w:color w:val="1F3864"/>
          <w:sz w:val="32"/>
          <w:szCs w:val="32"/>
        </w:rPr>
        <w:t xml:space="preserve">Creation Paths</w:t>
      </w:r>
    </w:p>
    <w:p>
      <w:pPr>
        <w:pStyle w:val="Heading2"/>
        <w:spacing w:after="100" w:before="240" w:line="300"/>
      </w:pPr>
      <w:r>
        <w:rPr>
          <w:rFonts w:ascii="Calibri" w:cs="Calibri" w:eastAsia="Calibri" w:hAnsi="Calibri"/>
          <w:b/>
          <w:bCs/>
          <w:color w:val="2E5090"/>
          <w:sz w:val="26"/>
          <w:szCs w:val="26"/>
        </w:rPr>
        <w:t xml:space="preserve">3.1  Recall Search auto-save (saveMRO=true in runChatPipeline)</w:t>
      </w:r>
    </w:p>
    <w:p>
      <w:pPr>
        <w:spacing w:after="60" w:before="60" w:line="280"/>
        <w:jc w:val="left"/>
      </w:pPr>
      <w:r>
        <w:rPr>
          <w:rFonts w:ascii="Calibri" w:cs="Calibri" w:eastAsia="Calibri" w:hAnsi="Calibri"/>
          <w:b w:val="false"/>
          <w:bCs w:val="false"/>
          <w:i w:val="false"/>
          <w:iCs w:val="false"/>
          <w:color w:val="1A1A1A"/>
          <w:sz w:val="21"/>
          <w:szCs w:val="21"/>
        </w:rPr>
        <w:t xml:space="preserve">After a successful Recall reply, the pipeline calls createMroObject with the matched HSL UUIDs joined into seed_hsls and the LLM reply as result_text. Then for each ID in matched_hsl_ids, the chat dialog fires linkMroToHsl asynchronously.</w:t>
      </w:r>
    </w:p>
    <w:p>
      <w:pPr>
        <w:pStyle w:val="Heading2"/>
        <w:spacing w:after="100" w:before="240" w:line="300"/>
      </w:pPr>
      <w:r>
        <w:rPr>
          <w:rFonts w:ascii="Calibri" w:cs="Calibri" w:eastAsia="Calibri" w:hAnsi="Calibri"/>
          <w:b/>
          <w:bCs/>
          <w:color w:val="2E5090"/>
          <w:sz w:val="26"/>
          <w:szCs w:val="26"/>
        </w:rPr>
        <w:t xml:space="preserve">3.2  Live Search streaming meta save</w:t>
      </w:r>
    </w:p>
    <w:p>
      <w:pPr>
        <w:spacing w:after="60" w:before="60" w:line="280"/>
        <w:jc w:val="left"/>
      </w:pPr>
      <w:r>
        <w:rPr>
          <w:rFonts w:ascii="Calibri" w:cs="Calibri" w:eastAsia="Calibri" w:hAnsi="Calibri"/>
          <w:b w:val="false"/>
          <w:bCs w:val="false"/>
          <w:i w:val="false"/>
          <w:iCs w:val="false"/>
          <w:color w:val="1A1A1A"/>
          <w:sz w:val="21"/>
          <w:szCs w:val="21"/>
        </w:rPr>
        <w:t xml:space="preserve">aioSearchChatStream emits a meta event carrying matched_hsl_ids. The dialog calls createMroObject with hslIds.join("|") as seed_hsls, then linkMroToHsl per id. Same structure as Recall.</w:t>
      </w:r>
    </w:p>
    <w:p>
      <w:pPr>
        <w:pStyle w:val="Heading2"/>
        <w:spacing w:after="100" w:before="240" w:line="300"/>
      </w:pPr>
      <w:r>
        <w:rPr>
          <w:rFonts w:ascii="Calibri" w:cs="Calibri" w:eastAsia="Calibri" w:hAnsi="Calibri"/>
          <w:b/>
          <w:bCs/>
          <w:color w:val="2E5090"/>
          <w:sz w:val="26"/>
          <w:szCs w:val="26"/>
        </w:rPr>
        <w:t xml:space="preserve">3.3  Manual Save MRO button</w:t>
      </w:r>
    </w:p>
    <w:p>
      <w:pPr>
        <w:spacing w:after="60" w:before="60" w:line="280"/>
        <w:jc w:val="left"/>
      </w:pPr>
      <w:r>
        <w:rPr>
          <w:rFonts w:ascii="Calibri" w:cs="Calibri" w:eastAsia="Calibri" w:hAnsi="Calibri"/>
          <w:b w:val="false"/>
          <w:bCs w:val="false"/>
          <w:i w:val="false"/>
          <w:iCs w:val="false"/>
          <w:color w:val="1A1A1A"/>
          <w:sz w:val="21"/>
          <w:szCs w:val="21"/>
        </w:rPr>
        <w:t xml:space="preserve">User-triggered save after any reply. Pre-V4.5 this path wrote a human-readable display string ("629 HSLs") into seed_hsls and never called linkMroToHsl. Fixed in commit d3b2116; the earlier broken records remained until the Fix Broken MROs button (commits ada4109 + 238b4fa) repaired them.</w:t>
      </w:r>
    </w:p>
    <w:p>
      <w:pPr>
        <w:pStyle w:val="Heading1"/>
        <w:pBdr>
          <w:bottom w:val="single" w:color="1F3864" w:sz="8" w:space="4"/>
        </w:pBdr>
        <w:spacing w:after="160" w:before="360" w:line="320"/>
      </w:pPr>
      <w:r>
        <w:rPr>
          <w:rFonts w:ascii="Calibri" w:cs="Calibri" w:eastAsia="Calibri" w:hAnsi="Calibri"/>
          <w:b/>
          <w:bCs/>
          <w:color w:val="C09853"/>
          <w:sz w:val="32"/>
          <w:szCs w:val="32"/>
        </w:rPr>
        <w:t xml:space="preserve">§4.  </w:t>
      </w:r>
      <w:r>
        <w:rPr>
          <w:rFonts w:ascii="Calibri" w:cs="Calibri" w:eastAsia="Calibri" w:hAnsi="Calibri"/>
          <w:b/>
          <w:bCs/>
          <w:color w:val="1F3864"/>
          <w:sz w:val="32"/>
          <w:szCs w:val="32"/>
        </w:rPr>
        <w:t xml:space="preserve">The Link-MRO Endpoint</w:t>
      </w:r>
    </w:p>
    <w:p>
      <w:pPr>
        <w:spacing w:after="60" w:before="60" w:line="280"/>
        <w:jc w:val="left"/>
      </w:pPr>
      <w:r>
        <w:rPr>
          <w:rFonts w:ascii="Calibri" w:cs="Calibri" w:eastAsia="Calibri" w:hAnsi="Calibri"/>
          <w:b w:val="false"/>
          <w:bCs w:val="false"/>
          <w:i w:val="false"/>
          <w:iCs w:val="false"/>
          <w:color w:val="1A1A1A"/>
          <w:sz w:val="21"/>
          <w:szCs w:val="21"/>
        </w:rPr>
        <w:t xml:space="preserve">POST /v1/hsl-data/{hsl_id}/link-mro writes [MRO.&lt;uuid&gt;] into the hsl_member side table for that HSL. Idempotent — ON CONFLICT DO NOTHING returns updated=false / reason=already_linked.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DCDC" w:sz="4"/>
              <w:left w:val="single" w:color="DCDCDC" w:sz="4"/>
              <w:bottom w:val="single" w:color="DCDCDC" w:sz="4"/>
              <w:right w:val="single" w:color="DCDCDC" w:sz="4"/>
            </w:tcBorders>
            <w:shd w:fill="F2F2F2" w:val="clear"/>
            <w:tcMar>
              <w:top w:type="dxa" w:w="100"/>
              <w:left w:type="dxa" w:w="200"/>
              <w:bottom w:type="dxa" w:w="100"/>
              <w:right w:type="dxa" w:w="200"/>
            </w:tcMar>
          </w:tcPr>
          <w:p>
            <w:pPr>
              <w:shd w:fill="F2F2F2" w:val="clear"/>
              <w:spacing w:after="0" w:before="0" w:line="240"/>
            </w:pPr>
            <w:r>
              <w:rPr>
                <w:rFonts w:ascii="Consolas" w:cs="Consolas" w:eastAsia="Consolas" w:hAnsi="Consolas"/>
                <w:color w:val="111111"/>
                <w:sz w:val="18"/>
                <w:szCs w:val="18"/>
              </w:rPr>
              <w:t xml:space="preserve">INSERT INTO hsl_member (hsl_id, member_value, member_kind, tenant_id)</w:t>
            </w:r>
          </w:p>
          <w:p>
            <w:pPr>
              <w:shd w:fill="F2F2F2" w:val="clear"/>
              <w:spacing w:after="0" w:before="0" w:line="240"/>
            </w:pPr>
            <w:r>
              <w:rPr>
                <w:rFonts w:ascii="Consolas" w:cs="Consolas" w:eastAsia="Consolas" w:hAnsi="Consolas"/>
                <w:color w:val="111111"/>
                <w:sz w:val="18"/>
                <w:szCs w:val="18"/>
              </w:rPr>
              <w:t xml:space="preserve">VALUES (%s, '[MRO.&lt;uuid&gt;]', 'mro', %s)</w:t>
            </w:r>
          </w:p>
          <w:p>
            <w:pPr>
              <w:shd w:fill="F2F2F2" w:val="clear"/>
              <w:spacing w:after="0" w:before="0" w:line="240"/>
            </w:pPr>
            <w:r>
              <w:rPr>
                <w:rFonts w:ascii="Consolas" w:cs="Consolas" w:eastAsia="Consolas" w:hAnsi="Consolas"/>
                <w:color w:val="111111"/>
                <w:sz w:val="18"/>
                <w:szCs w:val="18"/>
              </w:rPr>
              <w:t xml:space="preserve">ON CONFLICT DO NOTHING RETURNING hsl_id;</w:t>
            </w:r>
          </w:p>
          <w:p>
            <w:pPr>
              <w:shd w:fill="F2F2F2" w:val="clear"/>
              <w:spacing w:after="0" w:before="0" w:line="240"/>
            </w:pPr>
            <w:r>
              <w:rPr>
                <w:rFonts w:ascii="Consolas" w:cs="Consolas" w:eastAsia="Consolas" w:hAnsi="Consolas"/>
                <w:color w:val="111111"/>
                <w:sz w:val="18"/>
                <w:szCs w:val="18"/>
              </w:rPr>
              <w:t xml:space="preserve"> </w:t>
            </w:r>
          </w:p>
          <w:p>
            <w:pPr>
              <w:shd w:fill="F2F2F2" w:val="clear"/>
              <w:spacing w:after="0" w:before="0" w:line="240"/>
            </w:pPr>
            <w:r>
              <w:rPr>
                <w:rFonts w:ascii="Consolas" w:cs="Consolas" w:eastAsia="Consolas" w:hAnsi="Consolas"/>
                <w:color w:val="111111"/>
                <w:sz w:val="18"/>
                <w:szCs w:val="18"/>
              </w:rPr>
              <w:t xml:space="preserve">-- Best-effort dual-write into legacy hsl_element_N column for</w:t>
            </w:r>
          </w:p>
          <w:p>
            <w:pPr>
              <w:shd w:fill="F2F2F2" w:val="clear"/>
              <w:spacing w:after="0" w:before="0" w:line="240"/>
            </w:pPr>
            <w:r>
              <w:rPr>
                <w:rFonts w:ascii="Consolas" w:cs="Consolas" w:eastAsia="Consolas" w:hAnsi="Consolas"/>
                <w:color w:val="111111"/>
                <w:sz w:val="18"/>
                <w:szCs w:val="18"/>
              </w:rPr>
              <w:t xml:space="preserve">-- elements_text-text continuity. Cap of 100; overflow members live</w:t>
            </w:r>
          </w:p>
          <w:p>
            <w:pPr>
              <w:shd w:fill="F2F2F2" w:val="clear"/>
              <w:spacing w:after="0" w:before="0" w:line="240"/>
            </w:pPr>
            <w:r>
              <w:rPr>
                <w:rFonts w:ascii="Consolas" w:cs="Consolas" w:eastAsia="Consolas" w:hAnsi="Consolas"/>
                <w:color w:val="111111"/>
                <w:sz w:val="18"/>
                <w:szCs w:val="18"/>
              </w:rPr>
              <w:t xml:space="preserve">-- only in the side table.</w:t>
            </w:r>
          </w:p>
          <w:p>
            <w:pPr>
              <w:shd w:fill="F2F2F2" w:val="clear"/>
              <w:spacing w:after="0" w:before="0" w:line="240"/>
            </w:pPr>
            <w:r>
              <w:rPr>
                <w:rFonts w:ascii="Consolas" w:cs="Consolas" w:eastAsia="Consolas" w:hAnsi="Consolas"/>
                <w:color w:val="111111"/>
                <w:sz w:val="18"/>
                <w:szCs w:val="18"/>
              </w:rPr>
              <w:t xml:space="preserve">UPDATE hsl_data SET hsl_element_&lt;idx&gt; = %s, updated_at = now()</w:t>
            </w:r>
          </w:p>
          <w:p>
            <w:pPr>
              <w:shd w:fill="F2F2F2" w:val="clear"/>
              <w:spacing w:after="0" w:before="0" w:line="240"/>
            </w:pPr>
            <w:r>
              <w:rPr>
                <w:rFonts w:ascii="Consolas" w:cs="Consolas" w:eastAsia="Consolas" w:hAnsi="Consolas"/>
                <w:color w:val="111111"/>
                <w:sz w:val="18"/>
                <w:szCs w:val="18"/>
              </w:rPr>
              <w:t xml:space="preserve"> WHERE hsl_id = %s;</w:t>
            </w:r>
          </w:p>
        </w:tc>
      </w:tr>
    </w:tbl>
    <w:p>
      <w:pPr>
        <w:pStyle w:val="Heading1"/>
        <w:pBdr>
          <w:bottom w:val="single" w:color="1F3864" w:sz="8" w:space="4"/>
        </w:pBdr>
        <w:spacing w:after="160" w:before="360" w:line="320"/>
      </w:pPr>
      <w:r>
        <w:rPr>
          <w:rFonts w:ascii="Calibri" w:cs="Calibri" w:eastAsia="Calibri" w:hAnsi="Calibri"/>
          <w:b/>
          <w:bCs/>
          <w:color w:val="C09853"/>
          <w:sz w:val="32"/>
          <w:szCs w:val="32"/>
        </w:rPr>
        <w:t xml:space="preserve">§5.  </w:t>
      </w:r>
      <w:r>
        <w:rPr>
          <w:rFonts w:ascii="Calibri" w:cs="Calibri" w:eastAsia="Calibri" w:hAnsi="Calibri"/>
          <w:b/>
          <w:bCs/>
          <w:color w:val="1F3864"/>
          <w:sz w:val="32"/>
          <w:szCs w:val="32"/>
        </w:rPr>
        <w:t xml:space="preserve">Retrieval Path</w:t>
      </w:r>
    </w:p>
    <w:p>
      <w:pPr>
        <w:pStyle w:val="Heading2"/>
        <w:spacing w:after="100" w:before="240" w:line="300"/>
      </w:pPr>
      <w:r>
        <w:rPr>
          <w:rFonts w:ascii="Calibri" w:cs="Calibri" w:eastAsia="Calibri" w:hAnsi="Calibri"/>
          <w:b/>
          <w:bCs/>
          <w:color w:val="2E5090"/>
          <w:sz w:val="26"/>
          <w:szCs w:val="26"/>
        </w:rPr>
        <w:t xml:space="preserve">5.1  The MRO probe</w:t>
      </w:r>
    </w:p>
    <w:p>
      <w:pPr>
        <w:spacing w:after="60" w:before="60" w:line="280"/>
        <w:jc w:val="left"/>
      </w:pPr>
      <w:r>
        <w:rPr>
          <w:rFonts w:ascii="Calibri" w:cs="Calibri" w:eastAsia="Calibri" w:hAnsi="Calibri"/>
          <w:b w:val="false"/>
          <w:bCs w:val="false"/>
          <w:i w:val="false"/>
          <w:iCs w:val="false"/>
          <w:color w:val="1A1A1A"/>
          <w:sz w:val="21"/>
          <w:szCs w:val="21"/>
        </w:rPr>
        <w:t xml:space="preserve">Every Recall query starts with mroSearch(query, k=5). The endpoint returns top-K matches ranked by cue overlap × freshness × trust_score, plus a result_summary.</w:t>
      </w:r>
    </w:p>
    <w:p>
      <w:pPr>
        <w:pStyle w:val="Heading2"/>
        <w:spacing w:after="100" w:before="240" w:line="300"/>
      </w:pPr>
      <w:r>
        <w:rPr>
          <w:rFonts w:ascii="Calibri" w:cs="Calibri" w:eastAsia="Calibri" w:hAnsi="Calibri"/>
          <w:b/>
          <w:bCs/>
          <w:color w:val="2E5090"/>
          <w:sz w:val="26"/>
          <w:szCs w:val="26"/>
        </w:rPr>
        <w:t xml:space="preserve">5.2  Three threshold tiers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200"/>
        <w:gridCol w:w="4560"/>
      </w:tblGrid>
      <w:tr>
        <w:trPr>
          <w:tblHeader/>
        </w:trPr>
        <w:tc>
          <w:tcPr>
            <w:tcW w:type="dxa" w:w="1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Threshold</w:t>
            </w:r>
          </w:p>
        </w:tc>
        <w:tc>
          <w:tcPr>
            <w:tcW w:type="dxa" w:w="3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Constant</w:t>
            </w:r>
          </w:p>
        </w:tc>
        <w:tc>
          <w:tcPr>
            <w:tcW w:type="dxa" w:w="4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Behavior</w:t>
            </w:r>
          </w:p>
        </w:tc>
      </w:tr>
      <w:tr>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 0.85</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MRO_SHORT_CIRCUIT_THRESHOLD</w:t>
            </w:r>
          </w:p>
        </w:tc>
        <w:tc>
          <w:tcPr>
            <w:tcW w:type="dxa" w:w="45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Pipeline returns the prior MRO's result_text directly. No LLM call. Bumps trust_score on the matched MRO. Drops to LLM only if the prior's result_text is empty (defensive guard).</w:t>
            </w:r>
          </w:p>
        </w:tc>
      </w:tr>
      <w:tr>
        <w:tc>
          <w:tcPr>
            <w:tcW w:type="dxa" w:w="1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 0.50</w:t>
            </w:r>
          </w:p>
        </w:tc>
        <w:tc>
          <w:tcPr>
            <w:tcW w:type="dxa" w:w="3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MRO_BUNDLE_AUGMENT_THRESHOLD</w:t>
            </w:r>
          </w:p>
        </w:tc>
        <w:tc>
          <w:tcPr>
            <w:tcW w:type="dxa" w:w="4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MRO is hydrated and injected into the substrate envelope as a prior. The system prompt teaches the LLM to treat priors as framing only, never as ground truth.</w:t>
            </w:r>
          </w:p>
        </w:tc>
      </w:tr>
      <w:tr>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 0.30</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MRO_CUE_SEED_THRESHOLD</w:t>
            </w:r>
          </w:p>
        </w:tc>
        <w:tc>
          <w:tcPr>
            <w:tcW w:type="dxa" w:w="45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Prior's cue_set is unioned into the fresh query's cue extraction (top-K=3). Cheap, broad — gives near-misses a chance to anchor on the same HSLs as a successful prior.</w:t>
            </w:r>
          </w:p>
        </w:tc>
      </w:tr>
    </w:tbl>
    <w:p>
      <w:pPr>
        <w:pStyle w:val="Heading1"/>
        <w:pBdr>
          <w:bottom w:val="single" w:color="1F3864" w:sz="8" w:space="4"/>
        </w:pBdr>
        <w:spacing w:after="160" w:before="360" w:line="320"/>
      </w:pPr>
      <w:r>
        <w:rPr>
          <w:rFonts w:ascii="Calibri" w:cs="Calibri" w:eastAsia="Calibri" w:hAnsi="Calibri"/>
          <w:b/>
          <w:bCs/>
          <w:color w:val="C09853"/>
          <w:sz w:val="32"/>
          <w:szCs w:val="32"/>
        </w:rPr>
        <w:t xml:space="preserve">§6.  </w:t>
      </w:r>
      <w:r>
        <w:rPr>
          <w:rFonts w:ascii="Calibri" w:cs="Calibri" w:eastAsia="Calibri" w:hAnsi="Calibri"/>
          <w:b/>
          <w:bCs/>
          <w:color w:val="1F3864"/>
          <w:sz w:val="32"/>
          <w:szCs w:val="32"/>
        </w:rPr>
        <w:t xml:space="preserve">Trust-Score Reinforcement</w:t>
      </w:r>
    </w:p>
    <w:p>
      <w:pPr>
        <w:spacing w:after="60" w:before="60" w:line="280"/>
        <w:jc w:val="left"/>
      </w:pPr>
      <w:r>
        <w:rPr>
          <w:rFonts w:ascii="Calibri" w:cs="Calibri" w:eastAsia="Calibri" w:hAnsi="Calibri"/>
          <w:b w:val="false"/>
          <w:bCs w:val="false"/>
          <w:i w:val="false"/>
          <w:iCs w:val="false"/>
          <w:color w:val="1A1A1A"/>
          <w:sz w:val="21"/>
          <w:szCs w:val="21"/>
        </w:rPr>
        <w:t xml:space="preserve">trust_score on every reused MRO is incremented by 1.0 when (a) it short-circuits a query, or (b) one of its seed_hsls is back-linked from a fresh MRO. The score is a non-decreasing integer per MRO that surfaces the empirically most-useful episodes.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9853" w:sz="12"/>
              <w:left w:val="single" w:color="C09853" w:sz="12"/>
              <w:bottom w:val="single" w:color="C09853" w:sz="4"/>
              <w:right w:val="single" w:color="C09853" w:sz="4"/>
            </w:tcBorders>
            <w:shd w:fill="FFF8E7" w:val="clear"/>
            <w:tcMar>
              <w:top w:type="dxa" w:w="140"/>
              <w:left w:type="dxa" w:w="200"/>
              <w:bottom w:type="dxa" w:w="140"/>
              <w:right w:type="dxa" w:w="200"/>
            </w:tcMar>
          </w:tcPr>
          <w:p>
            <w:pPr>
              <w:spacing w:after="80" w:before="0"/>
            </w:pPr>
            <w:r>
              <w:rPr>
                <w:rFonts w:ascii="Calibri" w:cs="Calibri" w:eastAsia="Calibri" w:hAnsi="Calibri"/>
                <w:b/>
                <w:bCs/>
                <w:color w:val="C09853"/>
                <w:sz w:val="20"/>
                <w:szCs w:val="20"/>
              </w:rPr>
              <w:t xml:space="preserve">Design choice — no decay term</w:t>
            </w:r>
          </w:p>
          <w:p>
            <w:pPr>
              <w:spacing w:after="0" w:before="0" w:line="280"/>
            </w:pPr>
            <w:r>
              <w:rPr>
                <w:rFonts w:ascii="Calibri" w:cs="Calibri" w:eastAsia="Calibri" w:hAnsi="Calibri"/>
                <w:color w:val="1A1A1A"/>
                <w:sz w:val="21"/>
                <w:szCs w:val="21"/>
              </w:rPr>
              <w:t xml:space="preserve">trust_score is monotonically non-decreasing. Outdated MROs are deleted (manually or via the Fix Broken MROs button), not down-ranked. A future TTL implementation would handle this automatically; today it is operator-managed.</w:t>
            </w:r>
          </w:p>
        </w:tc>
      </w:tr>
    </w:tbl>
    <w:p>
      <w:pPr>
        <w:pStyle w:val="Heading1"/>
        <w:pBdr>
          <w:bottom w:val="single" w:color="1F3864" w:sz="8" w:space="4"/>
        </w:pBdr>
        <w:spacing w:after="160" w:before="360" w:line="320"/>
      </w:pPr>
      <w:r>
        <w:rPr>
          <w:rFonts w:ascii="Calibri" w:cs="Calibri" w:eastAsia="Calibri" w:hAnsi="Calibri"/>
          <w:b/>
          <w:bCs/>
          <w:color w:val="C09853"/>
          <w:sz w:val="32"/>
          <w:szCs w:val="32"/>
        </w:rPr>
        <w:t xml:space="preserve">§7.  </w:t>
      </w:r>
      <w:r>
        <w:rPr>
          <w:rFonts w:ascii="Calibri" w:cs="Calibri" w:eastAsia="Calibri" w:hAnsi="Calibri"/>
          <w:b/>
          <w:bCs/>
          <w:color w:val="1F3864"/>
          <w:sz w:val="32"/>
          <w:szCs w:val="32"/>
        </w:rPr>
        <w:t xml:space="preserve">The Linkage Audit View</w:t>
      </w:r>
    </w:p>
    <w:p>
      <w:pPr>
        <w:spacing w:after="60" w:before="60" w:line="280"/>
        <w:jc w:val="left"/>
      </w:pPr>
      <w:r>
        <w:rPr>
          <w:rFonts w:ascii="Calibri" w:cs="Calibri" w:eastAsia="Calibri" w:hAnsi="Calibri"/>
          <w:b w:val="false"/>
          <w:bCs w:val="false"/>
          <w:i w:val="false"/>
          <w:iCs w:val="false"/>
          <w:color w:val="1A1A1A"/>
          <w:sz w:val="21"/>
          <w:szCs w:val="21"/>
        </w:rPr>
        <w:t xml:space="preserve">System Management → MRO Data → Linkage button (Network icon) opens a dialog showing for any MRO:</w:t>
      </w:r>
    </w:p>
    <w:p>
      <w:pPr>
        <w:spacing w:after="60" w:before="60" w:line="280"/>
        <w:jc w:val="left"/>
      </w:pPr>
      <w:r>
        <w:rPr>
          <w:rFonts w:ascii="Calibri" w:cs="Calibri" w:eastAsia="Calibri" w:hAnsi="Calibri"/>
          <w:b w:val="false"/>
          <w:bCs w:val="false"/>
          <w:i w:val="false"/>
          <w:iCs w:val="false"/>
          <w:color w:val="1A1A1A"/>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Section</w:t>
            </w:r>
          </w:p>
        </w:tc>
        <w:tc>
          <w:tcPr>
            <w:tcW w:type="dxa" w:w="6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Contents</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Seed HSLs count</w:t>
            </w:r>
          </w:p>
        </w:tc>
        <w:tc>
          <w:tcPr>
            <w:tcW w:type="dxa" w:w="69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Number of HSL UUIDs in seed_hsls — what the MRO claims as origins</w:t>
            </w:r>
          </w:p>
        </w:tc>
      </w:tr>
      <w:tr>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Linked HSLs count</w:t>
            </w:r>
          </w:p>
        </w:tc>
        <w:tc>
          <w:tcPr>
            <w:tcW w:type="dxa" w:w="6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Number of HSLs that actually carry [MRO.&lt;uuid&gt;] in hsl_member</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Symmetry indicator</w:t>
            </w:r>
          </w:p>
        </w:tc>
        <w:tc>
          <w:tcPr>
            <w:tcW w:type="dxa" w:w="69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 Symmetric when both sets match exactly. Otherwise an asymmetry count and warnings</w:t>
            </w:r>
          </w:p>
        </w:tc>
      </w:tr>
      <w:tr>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seed_minus_linked</w:t>
            </w:r>
          </w:p>
        </w:tc>
        <w:tc>
          <w:tcPr>
            <w:tcW w:type="dxa" w:w="6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HSLs in seed_hsls without a back-pointer. Cause: link-write failure or HSL pruned after creation.</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linked_minus_seed</w:t>
            </w:r>
          </w:p>
        </w:tc>
        <w:tc>
          <w:tcPr>
            <w:tcW w:type="dxa" w:w="69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HSLs that carry the back-pointer but aren't in seed_hsls. Cause: manual link, post-creation seed_hsls edit, or repair-induced reseed.</w:t>
            </w:r>
          </w:p>
        </w:tc>
      </w:tr>
      <w:tr>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Linked HSL table</w:t>
            </w:r>
          </w:p>
        </w:tc>
        <w:tc>
          <w:tcPr>
            <w:tcW w:type="dxa" w:w="6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Live HSL table — name, member_count, updated_at</w:t>
            </w:r>
          </w:p>
        </w:tc>
      </w:tr>
    </w:tbl>
    <w:p>
      <w:pPr>
        <w:pStyle w:val="Heading1"/>
        <w:pBdr>
          <w:bottom w:val="single" w:color="1F3864" w:sz="8" w:space="4"/>
        </w:pBdr>
        <w:spacing w:after="160" w:before="360" w:line="320"/>
      </w:pPr>
      <w:r>
        <w:rPr>
          <w:rFonts w:ascii="Calibri" w:cs="Calibri" w:eastAsia="Calibri" w:hAnsi="Calibri"/>
          <w:b/>
          <w:bCs/>
          <w:color w:val="C09853"/>
          <w:sz w:val="32"/>
          <w:szCs w:val="32"/>
        </w:rPr>
        <w:t xml:space="preserve">§8.  </w:t>
      </w:r>
      <w:r>
        <w:rPr>
          <w:rFonts w:ascii="Calibri" w:cs="Calibri" w:eastAsia="Calibri" w:hAnsi="Calibri"/>
          <w:b/>
          <w:bCs/>
          <w:color w:val="1F3864"/>
          <w:sz w:val="32"/>
          <w:szCs w:val="32"/>
        </w:rPr>
        <w:t xml:space="preserve">Failure Modes Resolved in V4.5</w:t>
      </w:r>
    </w:p>
    <w:p>
      <w:pPr>
        <w:pStyle w:val="Heading2"/>
        <w:spacing w:after="100" w:before="240" w:line="300"/>
      </w:pPr>
      <w:r>
        <w:rPr>
          <w:rFonts w:ascii="Calibri" w:cs="Calibri" w:eastAsia="Calibri" w:hAnsi="Calibri"/>
          <w:b/>
          <w:bCs/>
          <w:color w:val="2E5090"/>
          <w:sz w:val="26"/>
          <w:szCs w:val="26"/>
        </w:rPr>
        <w:t xml:space="preserve">8.1  Display-string in seed_hsls (commit d3b2116)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
            </w:r>
          </w:p>
        </w:tc>
        <w:tc>
          <w:tcPr>
            <w:tcW w:type="dxa" w:w="7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Description</w:t>
            </w:r>
          </w:p>
        </w:tc>
      </w:tr>
      <w:tr>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Symptom</w:t>
            </w:r>
          </w:p>
        </w:tc>
        <w:tc>
          <w:tcPr>
            <w:tcW w:type="dxa" w:w="79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Manual-saved MROs showed seed=1 / linked=0 with the seed entry rendered as a literal string "629 HSLs".</w:t>
            </w:r>
          </w:p>
        </w:tc>
      </w:tr>
      <w:tr>
        <w:tc>
          <w:tcPr>
            <w:tcW w:type="dxa" w:w="1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Root cause</w:t>
            </w:r>
          </w:p>
        </w:tc>
        <w:tc>
          <w:tcPr>
            <w:tcW w:type="dxa" w:w="7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Manual Save MRO button wrote `${matched_hsls} HSLs` into seed_hsls and skipped linkMroToHsl entirely.</w:t>
            </w:r>
          </w:p>
        </w:tc>
      </w:tr>
      <w:tr>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Fix</w:t>
            </w:r>
          </w:p>
        </w:tc>
        <w:tc>
          <w:tcPr>
            <w:tcW w:type="dxa" w:w="79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lastSearchMeta now carries matched_hsl_ids: string[] separately from seed_hsls_display. handleSaveMro joins UUIDs with `|` for the database write AND fires linkMroToHsl per id.</w:t>
            </w:r>
          </w:p>
        </w:tc>
      </w:tr>
    </w:tbl>
    <w:p>
      <w:pPr>
        <w:pStyle w:val="Heading2"/>
        <w:spacing w:after="100" w:before="240" w:line="300"/>
      </w:pPr>
      <w:r>
        <w:rPr>
          <w:rFonts w:ascii="Calibri" w:cs="Calibri" w:eastAsia="Calibri" w:hAnsi="Calibri"/>
          <w:b/>
          <w:bCs/>
          <w:color w:val="2E5090"/>
          <w:sz w:val="26"/>
          <w:szCs w:val="26"/>
        </w:rPr>
        <w:t xml:space="preserve">8.2  Next.js 16 params Promise (commit 1fbfdaf)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
            </w:r>
          </w:p>
        </w:tc>
        <w:tc>
          <w:tcPr>
            <w:tcW w:type="dxa" w:w="7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Description</w:t>
            </w:r>
          </w:p>
        </w:tc>
      </w:tr>
      <w:tr>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Symptom</w:t>
            </w:r>
          </w:p>
        </w:tc>
        <w:tc>
          <w:tcPr>
            <w:tcW w:type="dxa" w:w="79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Every Recall and Live Search since the Next.js 16 upgrade silently dropped its back-pointer writes.</w:t>
            </w:r>
          </w:p>
        </w:tc>
      </w:tr>
      <w:tr>
        <w:tc>
          <w:tcPr>
            <w:tcW w:type="dxa" w:w="1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Root cause</w:t>
            </w:r>
          </w:p>
        </w:tc>
        <w:tc>
          <w:tcPr>
            <w:tcW w:type="dxa" w:w="7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Proxy at app/api/hsl-data/[id]/link-mro/route.ts kept the Next.js 14 sync params signature. Next.js 16 made params Promise-typed; params.id evaluated to undefined at runtime.</w:t>
            </w:r>
          </w:p>
        </w:tc>
      </w:tr>
      <w:tr>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Fix</w:t>
            </w:r>
          </w:p>
        </w:tc>
        <w:tc>
          <w:tcPr>
            <w:tcW w:type="dxa" w:w="79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await params, reject empty/undefined ids with HTTP 400, URL-encode the id.</w:t>
            </w:r>
          </w:p>
        </w:tc>
      </w:tr>
    </w:tbl>
    <w:p>
      <w:pPr>
        <w:pStyle w:val="Heading2"/>
        <w:spacing w:after="100" w:before="240" w:line="300"/>
      </w:pPr>
      <w:r>
        <w:rPr>
          <w:rFonts w:ascii="Calibri" w:cs="Calibri" w:eastAsia="Calibri" w:hAnsi="Calibri"/>
          <w:b/>
          <w:bCs/>
          <w:color w:val="2E5090"/>
          <w:sz w:val="26"/>
          <w:szCs w:val="26"/>
        </w:rPr>
        <w:t xml:space="preserve">8.3  Fix Broken MROs button (commits ada4109 + 238b4fa)</w:t>
      </w:r>
    </w:p>
    <w:p>
      <w:pPr>
        <w:spacing w:after="60" w:before="60" w:line="280"/>
        <w:jc w:val="left"/>
      </w:pPr>
      <w:r>
        <w:rPr>
          <w:rFonts w:ascii="Calibri" w:cs="Calibri" w:eastAsia="Calibri" w:hAnsi="Calibri"/>
          <w:b w:val="false"/>
          <w:bCs w:val="false"/>
          <w:i w:val="false"/>
          <w:iCs w:val="false"/>
          <w:color w:val="1A1A1A"/>
          <w:sz w:val="21"/>
          <w:szCs w:val="21"/>
        </w:rPr>
        <w:t xml:space="preserve">Two-pass repair endpoint POST /v1/mro-objects/repair-seed-hsls and matching admin button (System Management → MRO Data, left of Refresh):</w:t>
      </w:r>
    </w:p>
    <w:p>
      <w:pPr>
        <w:spacing w:after="40" w:before="40" w:line="280"/>
        <w:ind w:left="720" w:hanging="360"/>
      </w:pPr>
      <w:r>
        <w:rPr>
          <w:rFonts w:ascii="Calibri" w:cs="Calibri" w:eastAsia="Calibri" w:hAnsi="Calibri"/>
          <w:color w:val="1A1A1A"/>
          <w:sz w:val="21"/>
          <w:szCs w:val="21"/>
        </w:rPr>
        <w:t xml:space="preserve">•   Pass A — Corrupted seed_hsls (display strings, non-UUIDs): if hsl_member back-pointers exist for the MRO, regenerate seed_hsls from those UUIDs. Else clear to "".</w:t>
      </w:r>
    </w:p>
    <w:p>
      <w:pPr>
        <w:spacing w:after="40" w:before="40" w:line="280"/>
        <w:ind w:left="720" w:hanging="360"/>
      </w:pPr>
      <w:r>
        <w:rPr>
          <w:rFonts w:ascii="Calibri" w:cs="Calibri" w:eastAsia="Calibri" w:hAnsi="Calibri"/>
          <w:color w:val="1A1A1A"/>
          <w:sz w:val="21"/>
          <w:szCs w:val="21"/>
        </w:rPr>
        <w:t xml:space="preserve">•   Pass B — Missing back-pointers (Next.js 16 victims with valid seed_hsls but linked_count=0): for each seed UUID not already in hsl_member, INSERT [MRO.&lt;uuid&gt;] with ON CONFLICT DO NOTHING. FK-safe — pre-flights with hsl_data lookup so a pruned-since-creation HSL is reported as `pruned_count` rather than failing the FK.</w:t>
      </w:r>
    </w:p>
    <w:p>
      <w:pPr>
        <w:spacing w:after="60" w:before="60" w:line="280"/>
        <w:jc w:val="left"/>
      </w:pPr>
      <w:r>
        <w:rPr>
          <w:rFonts w:ascii="Calibri" w:cs="Calibri" w:eastAsia="Calibri" w:hAnsi="Calibri"/>
          <w:b w:val="false"/>
          <w:bCs w:val="false"/>
          <w:i w:val="false"/>
          <w:iCs w:val="false"/>
          <w:color w:val="1A1A1A"/>
          <w:sz w:val="21"/>
          <w:szCs w:val="21"/>
        </w:rPr>
        <w:t xml:space="preserve">Idempotent in both directions. Toast reports counts.</w:t>
      </w:r>
    </w:p>
    <w:p>
      <w:pPr>
        <w:pStyle w:val="Heading1"/>
        <w:pBdr>
          <w:bottom w:val="single" w:color="1F3864" w:sz="8" w:space="4"/>
        </w:pBdr>
        <w:spacing w:after="160" w:before="360" w:line="320"/>
      </w:pPr>
      <w:r>
        <w:rPr>
          <w:rFonts w:ascii="Calibri" w:cs="Calibri" w:eastAsia="Calibri" w:hAnsi="Calibri"/>
          <w:b/>
          <w:bCs/>
          <w:color w:val="C09853"/>
          <w:sz w:val="32"/>
          <w:szCs w:val="32"/>
        </w:rPr>
        <w:t xml:space="preserve">§9.  </w:t>
      </w:r>
      <w:r>
        <w:rPr>
          <w:rFonts w:ascii="Calibri" w:cs="Calibri" w:eastAsia="Calibri" w:hAnsi="Calibri"/>
          <w:b/>
          <w:bCs/>
          <w:color w:val="1F3864"/>
          <w:sz w:val="32"/>
          <w:szCs w:val="32"/>
        </w:rPr>
        <w:t xml:space="preserve">Operational Contract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Property</w:t>
            </w:r>
          </w:p>
        </w:tc>
        <w:tc>
          <w:tcPr>
            <w:tcW w:type="dxa" w:w="6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Guarantee</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Idempotent saves</w:t>
            </w:r>
          </w:p>
        </w:tc>
        <w:tc>
          <w:tcPr>
            <w:tcW w:type="dxa" w:w="69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createMroObject + linkMroToHsl are both ON CONFLICT DO NOTHING; re-running on the same input is a no-op</w:t>
            </w:r>
          </w:p>
        </w:tc>
      </w:tr>
      <w:tr>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Symmetric in healthy state</w:t>
            </w:r>
          </w:p>
        </w:tc>
        <w:tc>
          <w:tcPr>
            <w:tcW w:type="dxa" w:w="6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seed_hsls and hsl_member back-pointers should match. The Linkage view is the canonical audit</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Best-effort link writes</w:t>
            </w:r>
          </w:p>
        </w:tc>
        <w:tc>
          <w:tcPr>
            <w:tcW w:type="dxa" w:w="69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linkMroToHsl is fire-and-forget. Failures log to console but never fail the user-facing reply</w:t>
            </w:r>
          </w:p>
        </w:tc>
      </w:tr>
      <w:tr>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No orphaned MROs in steady state</w:t>
            </w:r>
          </w:p>
        </w:tc>
        <w:tc>
          <w:tcPr>
            <w:tcW w:type="dxa" w:w="6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Fix Broken MROs button reconciles any drift; with the Next.js 16 fix, drift should not accumulate</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Cascade on HSL delete</w:t>
            </w:r>
          </w:p>
        </w:tc>
        <w:tc>
          <w:tcPr>
            <w:tcW w:type="dxa" w:w="69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ON DELETE CASCADE on hsl_member.hsl_id ensures deleting an HSL also drops its MRO back-pointers</w:t>
            </w:r>
          </w:p>
        </w:tc>
      </w:tr>
    </w:tbl>
    <w:p>
      <w:pPr>
        <w:pStyle w:val="Heading1"/>
        <w:pBdr>
          <w:bottom w:val="single" w:color="1F3864" w:sz="8" w:space="4"/>
        </w:pBdr>
        <w:spacing w:after="160" w:before="360" w:line="320"/>
      </w:pPr>
      <w:r>
        <w:rPr>
          <w:rFonts w:ascii="Calibri" w:cs="Calibri" w:eastAsia="Calibri" w:hAnsi="Calibri"/>
          <w:b/>
          <w:bCs/>
          <w:color w:val="C09853"/>
          <w:sz w:val="32"/>
          <w:szCs w:val="32"/>
        </w:rPr>
        <w:t xml:space="preserve">§10.  </w:t>
      </w:r>
      <w:r>
        <w:rPr>
          <w:rFonts w:ascii="Calibri" w:cs="Calibri" w:eastAsia="Calibri" w:hAnsi="Calibri"/>
          <w:b/>
          <w:bCs/>
          <w:color w:val="1F3864"/>
          <w:sz w:val="32"/>
          <w:szCs w:val="32"/>
        </w:rPr>
        <w:t xml:space="preserve">Open Roadmap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Item</w:t>
            </w:r>
          </w:p>
        </w:tc>
        <w:tc>
          <w:tcPr>
            <w:tcW w:type="dxa" w:w="6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Description</w:t>
            </w:r>
          </w:p>
        </w:tc>
      </w:tr>
      <w:tr>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TTL on MROs</w:t>
            </w:r>
          </w:p>
        </w:tc>
        <w:tc>
          <w:tcPr>
            <w:tcW w:type="dxa" w:w="65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Auto-expire MROs older than N days. Current cleanup is manual via the Delete action.</w:t>
            </w:r>
          </w:p>
        </w:tc>
      </w:tr>
      <w:tr>
        <w:tc>
          <w:tcPr>
            <w:tcW w:type="dxa" w:w="2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Pipeline-version tag</w:t>
            </w:r>
          </w:p>
        </w:tc>
        <w:tc>
          <w:tcPr>
            <w:tcW w:type="dxa" w:w="6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Stamp every MRO with the retrieval-pipeline git SHA at creation. Avoids stale-cache poisoning during retrieval-quality improvements.</w:t>
            </w:r>
          </w:p>
        </w:tc>
      </w:tr>
      <w:tr>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Recompute button per query</w:t>
            </w:r>
          </w:p>
        </w:tc>
        <w:tc>
          <w:tcPr>
            <w:tcW w:type="dxa" w:w="65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One-click 'force fresh retrieval' on any chat reply, bypassing MRO cache for that single query. Already shipped as the 'Force fresh' checkbox in V4.5.</w:t>
            </w:r>
          </w:p>
        </w:tc>
      </w:tr>
      <w:tr>
        <w:tc>
          <w:tcPr>
            <w:tcW w:type="dxa" w:w="2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Cascade MRO delete to hsl_member</w:t>
            </w:r>
          </w:p>
        </w:tc>
        <w:tc>
          <w:tcPr>
            <w:tcW w:type="dxa" w:w="6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Add ON DELETE trigger on mro_objects that DELETEs the matching hsl_member entries. Currently a manual sweep job.</w:t>
            </w:r>
          </w:p>
        </w:tc>
      </w:tr>
    </w:tbl>
    <w:p>
      <w:pPr>
        <w:pStyle w:val="Heading1"/>
        <w:pBdr>
          <w:bottom w:val="single" w:color="1F3864" w:sz="8" w:space="4"/>
        </w:pBdr>
        <w:spacing w:after="160" w:before="360" w:line="320"/>
      </w:pPr>
      <w:r>
        <w:rPr>
          <w:rFonts w:ascii="Calibri" w:cs="Calibri" w:eastAsia="Calibri" w:hAnsi="Calibri"/>
          <w:b/>
          <w:bCs/>
          <w:color w:val="C09853"/>
          <w:sz w:val="32"/>
          <w:szCs w:val="32"/>
        </w:rPr>
        <w:t xml:space="preserve">§11.  </w:t>
      </w:r>
      <w:r>
        <w:rPr>
          <w:rFonts w:ascii="Calibri" w:cs="Calibri" w:eastAsia="Calibri" w:hAnsi="Calibri"/>
          <w:b/>
          <w:bCs/>
          <w:color w:val="1F3864"/>
          <w:sz w:val="32"/>
          <w:szCs w:val="32"/>
        </w:rPr>
        <w:t xml:space="preserve">Provenance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File</w:t>
            </w:r>
          </w:p>
        </w:tc>
        <w:tc>
          <w:tcPr>
            <w:tcW w:type="dxa" w:w="5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Contribution</w:t>
            </w:r>
          </w:p>
        </w:tc>
      </w:tr>
      <w:tr>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lib/aio-chat-pipeline.ts</w:t>
            </w:r>
          </w:p>
        </w:tc>
        <w:tc>
          <w:tcPr>
            <w:tcW w:type="dxa" w:w="59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runChatPipeline orchestration, MRO short-circuit, prior-hydration, post-reply linkMroToHsl</w:t>
            </w:r>
          </w:p>
        </w:tc>
      </w:tr>
      <w:tr>
        <w:tc>
          <w:tcPr>
            <w:tcW w:type="dxa" w:w="3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lib/api-client.ts</w:t>
            </w:r>
          </w:p>
        </w:tc>
        <w:tc>
          <w:tcPr>
            <w:tcW w:type="dxa" w:w="5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createMroObject, getMroObject, mroSearch, linkMroToHsl, getMroLinkage, repairMroSeedHsls</w:t>
            </w:r>
          </w:p>
        </w:tc>
      </w:tr>
      <w:tr>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components/chat-aio-dialog.tsx</w:t>
            </w:r>
          </w:p>
        </w:tc>
        <w:tc>
          <w:tcPr>
            <w:tcW w:type="dxa" w:w="59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Auto-save and manual Save MRO handlers; Force fresh toggle</w:t>
            </w:r>
          </w:p>
        </w:tc>
      </w:tr>
      <w:tr>
        <w:tc>
          <w:tcPr>
            <w:tcW w:type="dxa" w:w="3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components/system-management.tsx</w:t>
            </w:r>
          </w:p>
        </w:tc>
        <w:tc>
          <w:tcPr>
            <w:tcW w:type="dxa" w:w="5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MroDataPane Linkage dialog; Fix Broken MROs button</w:t>
            </w:r>
          </w:p>
        </w:tc>
      </w:tr>
      <w:tr>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api/routes/mro.py</w:t>
            </w:r>
          </w:p>
        </w:tc>
        <w:tc>
          <w:tcPr>
            <w:tcW w:type="dxa" w:w="59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MRO CRUD; /repair-seed-hsls (Pass A + Pass B); /{mro_id}/hsls; /op/mro-search</w:t>
            </w:r>
          </w:p>
        </w:tc>
      </w:tr>
      <w:tr>
        <w:tc>
          <w:tcPr>
            <w:tcW w:type="dxa" w:w="3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api/routes/hsl.py</w:t>
            </w:r>
          </w:p>
        </w:tc>
        <w:tc>
          <w:tcPr>
            <w:tcW w:type="dxa" w:w="5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/v1/hsl-data/{hsl_id}/link-mro endpoint</w:t>
            </w:r>
          </w:p>
        </w:tc>
      </w:tr>
      <w:tr>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app/api/hsl-data/[id]/link-mro/route.ts</w:t>
            </w:r>
          </w:p>
        </w:tc>
        <w:tc>
          <w:tcPr>
            <w:tcW w:type="dxa" w:w="59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Next.js 16 Promise-aware proxy (post-1fbfdaf fix)</w:t>
            </w:r>
          </w:p>
        </w:tc>
      </w:tr>
      <w:tr>
        <w:tc>
          <w:tcPr>
            <w:tcW w:type="dxa" w:w="3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migrations/023_hsl_member_and_uniqueness.sql</w:t>
            </w:r>
          </w:p>
        </w:tc>
        <w:tc>
          <w:tcPr>
            <w:tcW w:type="dxa" w:w="5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hsl_member side table; UNIQUE (tenant_id, hsl_name)</w:t>
            </w:r>
          </w:p>
        </w:tc>
      </w:tr>
    </w:tbl>
    <w:p>
      <w:pPr>
        <w:spacing w:after="60" w:before="60" w:line="280"/>
        <w:jc w:val="left"/>
      </w:pPr>
      <w:r>
        <w:rPr>
          <w:rFonts w:ascii="Calibri" w:cs="Calibri" w:eastAsia="Calibri" w:hAnsi="Calibri"/>
          <w:b w:val="false"/>
          <w:bCs w:val="false"/>
          <w:i w:val="false"/>
          <w:iCs w:val="false"/>
          <w:color w:val="1A1A1A"/>
          <w:sz w:val="21"/>
          <w:szCs w:val="21"/>
        </w:rPr>
        <w:t xml:space="preserve"/>
      </w:r>
    </w:p>
    <w:p>
      <w:pPr>
        <w:pBdr>
          <w:top w:val="single" w:color="C09853" w:sz="8" w:space="1"/>
        </w:pBdr>
        <w:spacing w:after="80" w:before="320"/>
      </w:pPr>
      <w:r>
        <w:t xml:space="preserve"/>
      </w:r>
    </w:p>
    <w:p>
      <w:pPr>
        <w:spacing w:after="60" w:before="60" w:line="280"/>
        <w:jc w:val="center"/>
      </w:pPr>
      <w:r>
        <w:rPr>
          <w:rFonts w:ascii="Calibri" w:cs="Calibri" w:eastAsia="Calibri" w:hAnsi="Calibri"/>
          <w:b w:val="false"/>
          <w:bCs w:val="false"/>
          <w:i/>
          <w:iCs/>
          <w:color w:val="2E5090"/>
          <w:sz w:val="20"/>
          <w:szCs w:val="20"/>
        </w:rPr>
        <w:t xml:space="preserve">End of document.</w:t>
      </w:r>
    </w:p>
    <w:p>
      <w:pPr>
        <w:spacing w:after="0" w:before="60" w:line="280"/>
        <w:jc w:val="center"/>
      </w:pPr>
      <w:r>
        <w:rPr>
          <w:rFonts w:ascii="Calibri" w:cs="Calibri" w:eastAsia="Calibri" w:hAnsi="Calibri"/>
          <w:b w:val="false"/>
          <w:bCs w:val="false"/>
          <w:i/>
          <w:iCs/>
          <w:color w:val="808080"/>
          <w:sz w:val="16"/>
          <w:szCs w:val="16"/>
        </w:rPr>
        <w:t xml:space="preserve">InformationPhysics.ai, LLC  ·  V4.5  ·  April 2026</w:t>
      </w:r>
    </w:p>
    <w:sectPr>
      <w:headerReference w:type="default" r:id="rId7"/>
      <w:footerReference w:type="default" r:id="rId8"/>
      <w:pgSz w:w="12240" w:h="15840" w:orient="portrait"/>
      <w:pgMar w:top="1180" w:right="1320" w:bottom="1180" w:left="1320" w:header="720" w:footer="720" w:gutter="0"/>
      <w:pgNumType/>
      <w:titlePg w:val="fals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09853" w:sz="6" w:space="1"/>
      </w:pBdr>
      <w:tabs>
        <w:tab w:val="right" w:pos="9360"/>
      </w:tabs>
      <w:spacing w:after="0" w:before="0"/>
    </w:pPr>
    <w:r>
      <w:rPr>
        <w:rFonts w:ascii="Calibri" w:cs="Calibri" w:eastAsia="Calibri" w:hAnsi="Calibri"/>
        <w:color w:val="808080"/>
        <w:sz w:val="16"/>
        <w:szCs w:val="16"/>
      </w:rPr>
      <w:t xml:space="preserve">InformationPhysics.ai, LLC</w:t>
    </w:r>
    <w:r>
      <w:rPr>
        <w:sz w:val="16"/>
        <w:szCs w:val="16"/>
      </w:rPr>
      <w:t xml:space="preserve">	</w:t>
    </w:r>
    <w:r>
      <w:rPr>
        <w:rFonts w:ascii="Calibri" w:cs="Calibri" w:eastAsia="Calibri" w:hAnsi="Calibri"/>
        <w:color w:val="808080"/>
        <w:sz w:val="16"/>
        <w:szCs w:val="16"/>
      </w:rPr>
      <w:t xml:space="preserve">Page </w:t>
    </w:r>
    <w:r>
      <w:rPr>
        <w:rFonts w:ascii="Calibri" w:cs="Calibri" w:eastAsia="Calibri" w:hAnsi="Calibri"/>
        <w:color w:val="808080"/>
        <w:sz w:val="16"/>
        <w:szCs w:val="16"/>
      </w:rPr>
      <w:fldChar w:fldCharType="begin"/>
      <w:instrText xml:space="preserve">PAGE</w:instrText>
      <w:fldChar w:fldCharType="separate"/>
      <w:fldChar w:fldCharType="end"/>
    </w:r>
    <w:r>
      <w:rPr>
        <w:rFonts w:ascii="Calibri" w:cs="Calibri" w:eastAsia="Calibri" w:hAnsi="Calibri"/>
        <w:color w:val="808080"/>
        <w:sz w:val="16"/>
        <w:szCs w:val="16"/>
      </w:rPr>
      <w:t xml:space="preserve"> of </w:t>
    </w:r>
    <w:r>
      <w:rPr>
        <w:rFonts w:ascii="Calibri" w:cs="Calibri" w:eastAsia="Calibri" w:hAnsi="Calibri"/>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09853" w:sz="6" w:space="1"/>
      </w:pBdr>
      <w:tabs>
        <w:tab w:val="right" w:pos="9360"/>
      </w:tabs>
      <w:spacing w:after="0" w:before="0"/>
    </w:pPr>
    <w:r>
      <w:rPr>
        <w:rFonts w:ascii="Calibri" w:cs="Calibri" w:eastAsia="Calibri" w:hAnsi="Calibri"/>
        <w:b/>
        <w:bCs/>
        <w:color w:val="1F3864"/>
        <w:sz w:val="17"/>
        <w:szCs w:val="17"/>
      </w:rPr>
      <w:t xml:space="preserve">InformationPhysics.ai</w:t>
    </w:r>
    <w:r>
      <w:rPr>
        <w:color w:val="808080"/>
        <w:sz w:val="17"/>
        <w:szCs w:val="17"/>
      </w:rPr>
      <w:t xml:space="preserve">  ·  </w:t>
    </w:r>
    <w:r>
      <w:rPr>
        <w:rFonts w:ascii="Calibri" w:cs="Calibri" w:eastAsia="Calibri" w:hAnsi="Calibri"/>
        <w:i/>
        <w:iCs/>
        <w:color w:val="2E5090"/>
        <w:sz w:val="17"/>
        <w:szCs w:val="17"/>
      </w:rPr>
      <w:t xml:space="preserve">MRO Lifecycle &amp; Linkage</w:t>
    </w:r>
    <w:r>
      <w:rPr>
        <w:sz w:val="17"/>
        <w:szCs w:val="17"/>
      </w:rPr>
      <w:t xml:space="preserve">	</w:t>
    </w:r>
    <w:r>
      <w:rPr>
        <w:rFonts w:ascii="Calibri" w:cs="Calibri" w:eastAsia="Calibri" w:hAnsi="Calibri"/>
        <w:b/>
        <w:bCs/>
        <w:color w:val="C09853"/>
        <w:sz w:val="17"/>
        <w:szCs w:val="17"/>
      </w:rPr>
      <w:t xml:space="preserve">V4.5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line="32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00" w:before="240" w:line="300"/>
      <w:outlineLvl w:val="1"/>
    </w:pPr>
    <w:rPr>
      <w:rFonts w:ascii="Calibri" w:cs="Calibri" w:eastAsia="Calibri" w:hAnsi="Calibri"/>
      <w:b/>
      <w:bCs/>
      <w:color w:val="2E5090"/>
      <w:sz w:val="26"/>
      <w:szCs w:val="26"/>
    </w:rPr>
  </w:style>
  <w:style w:type="paragraph" w:styleId="Heading3">
    <w:name w:val="Heading 3"/>
    <w:basedOn w:val="Normal"/>
    <w:next w:val="Normal"/>
    <w:qFormat/>
    <w:pPr>
      <w:spacing w:after="80" w:before="180" w:line="280"/>
      <w:outlineLvl w:val="2"/>
    </w:pPr>
    <w:rPr>
      <w:rFonts w:ascii="Calibri" w:cs="Calibri" w:eastAsia="Calibri" w:hAnsi="Calibri"/>
      <w:b/>
      <w:bCs/>
      <w:i/>
      <w:iCs/>
      <w:color w:val="2E509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MRO Lifecycle &amp; Linkage</dc:title>
  <dc:creator>Information Physics — ChatAIO Engineering</dc:creator>
  <dc:description>MRO Lifecycle &amp; Linkage — V4.5</dc:description>
  <cp:lastModifiedBy>Un-named</cp:lastModifiedBy>
  <cp:revision>1</cp:revision>
  <dcterms:created xsi:type="dcterms:W3CDTF">2026-04-29T17:03:18.883Z</dcterms:created>
  <dcterms:modified xsi:type="dcterms:W3CDTF">2026-04-29T17:03:18.883Z</dcterms:modified>
</cp:coreProperties>
</file>

<file path=docProps/custom.xml><?xml version="1.0" encoding="utf-8"?>
<Properties xmlns="http://schemas.openxmlformats.org/officeDocument/2006/custom-properties" xmlns:vt="http://schemas.openxmlformats.org/officeDocument/2006/docPropsVTypes"/>
</file>