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E11D48" w:sz="18"/>
              <w:left w:val="single" w:color="E11D48" w:sz="18"/>
              <w:bottom w:val="single" w:color="E11D48" w:sz="18"/>
              <w:right w:val="single" w:color="E11D48" w:sz="18"/>
            </w:tcBorders>
            <w:shd w:fill="FFF1F2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BE123C"/>
                <w:sz w:val="22"/>
                <w:szCs w:val="22"/>
              </w:rPr>
              <w:t xml:space="preserve">⚠  CONFIDENTIAL — TRADE SECRET</w:t>
            </w:r>
          </w:p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color w:val="BE123C"/>
                <w:sz w:val="20"/>
                <w:szCs w:val="20"/>
              </w:rPr>
              <w:t xml:space="preserve">This document describes the internal logic, data structures, and operational behavior of a proprietary subsystem of the Information Physics Demo System. It contains confidential information and trade secrets of InformationPhysics.ai, LLC, including algorithmic detail not present in public-facing materials. Subject to the Transaction-Grade One-Way Non-Disclosure Agreement on file. Unauthorized use, disclosure, or reproduction is strictly prohibited and may result in civil and criminal liability.</w:t>
            </w:r>
          </w:p>
        </w:tc>
      </w:tr>
    </w:tbl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spacing w:after="16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94A3B8"/>
          <w:sz w:val="17"/>
          <w:szCs w:val="17"/>
        </w:rPr>
        <w:t xml:space="preserve">Engineering Reference — Internal / NDA-Restricted</w:t>
      </w:r>
    </w:p>
    <w:p>
      <w:pPr>
        <w:spacing w:after="80" w:before="60" w:line="28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36"/>
          <w:szCs w:val="36"/>
        </w:rPr>
        <w:t xml:space="preserve">Architecture Overview</w:t>
      </w:r>
    </w:p>
    <w:p>
      <w:pPr>
        <w:spacing w:after="20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75569"/>
          <w:sz w:val="22"/>
          <w:szCs w:val="22"/>
        </w:rPr>
        <w:t xml:space="preserve">Three-layer model, four ChatAIO modes, and the trade-secret invariants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22"/>
          <w:szCs w:val="22"/>
        </w:rPr>
        <w:t xml:space="preserve">Michael Simon Bodner, Ph.D.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3460"/>
          <w:sz w:val="18"/>
          <w:szCs w:val="18"/>
        </w:rPr>
        <w:t xml:space="preserve">Founder &amp; Chief Scientist, InformationPhysics.ai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75569"/>
          <w:sz w:val="18"/>
          <w:szCs w:val="18"/>
        </w:rPr>
        <w:t xml:space="preserve">April 2026 — Software Version V4.5.0</w:t>
      </w:r>
    </w:p>
    <w:p>
      <w:pPr>
        <w:spacing w:after="40" w:before="60" w:line="280"/>
        <w:jc w:val="center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475569"/>
          <w:sz w:val="16"/>
          <w:szCs w:val="16"/>
        </w:rPr>
        <w:t xml:space="preserve">Frontend  ·  FastAPI  ·  PostgreSQL 15 + pg_trgm  ·  Anthropic Claude</w:t>
      </w:r>
    </w:p>
    <w:p>
      <w:pPr>
        <w:spacing w:after="2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94A3B8"/>
          <w:sz w:val="16"/>
          <w:szCs w:val="16"/>
        </w:rPr>
        <w:t xml:space="preserve">© 2026 InformationPhysics.ai, LLC. All rights reserved.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Abstract</w:t>
            </w:r>
          </w:p>
          <w:p>
            <w:pPr>
              <w:spacing w:after="100" w:before="0" w:line="300"/>
            </w:pPr>
            <w:r>
              <w:rPr>
                <w:rFonts w:ascii="Calibri" w:cs="Calibri" w:eastAsia="Calibri" w:hAnsi="Calibri"/>
                <w:color w:val="475569"/>
                <w:sz w:val="21"/>
                <w:szCs w:val="21"/>
              </w:rPr>
              <w:t xml:space="preserve">The three-layer model (AIO/HSL/MRO), the four ChatAIO retrieval modes (Recall/Live/Broad/Raw), and the three trade-secret invariants that distinguish this system from a conventional embedding-RAG implementation.</w:t>
            </w:r>
          </w:p>
          <w:p>
            <w:pPr>
              <w:spacing w:after="0" w:before="0" w:line="300"/>
            </w:pPr>
            <w:r>
              <w:rPr>
                <w:rFonts w:ascii="Calibri" w:cs="Calibri" w:eastAsia="Calibri" w:hAnsi="Calibri"/>
                <w:color w:val="475569"/>
                <w:sz w:val="21"/>
                <w:szCs w:val="21"/>
              </w:rPr>
              <w:t xml:space="preserve">Buyer-side and counsel-friendly framing alongside the engineering substance — useful as the canonical first read for technical evaluators, due-diligence reviewers, and new engineers onboarding to the codebase.</w:t>
            </w:r>
          </w:p>
        </w:tc>
      </w:tr>
    </w:tbl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 The Three Layers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400"/>
        <w:gridCol w:w="4400"/>
      </w:tblGrid>
      <w:tr>
        <w:trPr>
          <w:tblHeader/>
        </w:trP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Storage</w:t>
            </w:r>
          </w:p>
        </w:tc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AIO (Layer 1)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aio_data — aio_name + 50 element columns</w:t>
            </w:r>
          </w:p>
        </w:tc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Self-describing observation. Bracket-notation tokens. The atom of the system.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HSL (Relational)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hsl_data + hsl_member — hsl_name + member list</w:t>
            </w:r>
          </w:p>
        </w:tc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Precomputed pointer set: "all AIOs sharing [Key.Value]". A denormalized inverted-index row, not a graph edge.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MRO (Layer 2)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mro_objects — query, result, lineage, trust score</w:t>
            </w:r>
          </w:p>
        </w:tc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Persisted retrieval episode. Used as short-circuit cache and prior-episode hint for fresh retrievals.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 Four ChatAIO Modes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400"/>
        <w:gridCol w:w="5000"/>
      </w:tblGrid>
      <w:tr>
        <w:trPr>
          <w:tblHeader/>
        </w:trPr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Mode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5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Retrieval</w:t>
            </w:r>
          </w:p>
        </w:tc>
      </w:tr>
      <w:tr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Recall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POST /v1/op/substrate-chat[/stream]</w:t>
            </w:r>
          </w:p>
        </w:tc>
        <w:tc>
          <w:tcPr>
            <w:tcW w:type="dxa" w:w="5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Client-assembled substrate envelope. MRO short-circuit at score ≥ 0.85</w:t>
            </w:r>
          </w:p>
        </w:tc>
      </w:tr>
      <w:tr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Live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POST /v1/op/aio-search[/stream]</w:t>
            </w:r>
          </w:p>
        </w:tc>
        <w:tc>
          <w:tcPr>
            <w:tcW w:type="dxa" w:w="5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Server-assembled four-phase: parse → match HSLs → gather AIOs → synthesize</w:t>
            </w:r>
          </w:p>
        </w:tc>
      </w:tr>
      <w:tr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Broad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POST /v1/op/chat</w:t>
            </w:r>
          </w:p>
        </w:tc>
        <w:tc>
          <w:tcPr>
            <w:tcW w:type="dxa" w:w="5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Dump every AIO/HSL/CSV (capped at 1,000) into the LLM prompt</w:t>
            </w:r>
          </w:p>
        </w:tc>
      </w:tr>
      <w:tr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Raw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POST /v1/op/pure-llm</w:t>
            </w:r>
          </w:p>
        </w:tc>
        <w:tc>
          <w:tcPr>
            <w:tcW w:type="dxa" w:w="5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Send raw CSV files to the LLM — no AIO/HSL/MRO processing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 Trade-Secret Invariants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3.1  Determinism is load-bearing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Every step from query → Cue Set → HSL ids → AIO scope is deterministic. Embedding RAG calls a model to produce a query embedding; we do not. The Cue Set is reproducible across runs, machines, and operators — same query against same corpus always lights the same HSLs. This makes regression testing tractable and makes the retrieval graph an auditable artifact.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3.2  Cues carry concrete keys whenever possible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The HSL catalog (sourced from /v1/hsl-data/key-value-pairs) lets cue extraction emit cues with their original key — [Project.PRJ-003] rather than [*.PRJ-003]. The wildcard form is a fallback. SQL pruning by field equality first, value match second; on the demo corpus this is a 5–20× speed-up vs. the wildcard path.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3.3  The HSL catalog IS the substrate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Embedding RAG treats vectors as a derived index — they accelerate lookup, but truth is in the source documents. Information Physics inverts this: the HSL anchors ARE the truth. Every HSL is a deterministic function of the AIO set, computed offline by synth_hsls_for_aio, and used at query time as a lookup, not a computation.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 Why This Matters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4.1  Audit-grade reproducibility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A regulator, an internal auditor, or a counterparty can ask "why did the system answer X?" and the answer is a deterministic graph traversal — not a similarity score against an opaque embedding. Same query, same data, same cue set, same HSLs, same answer. Every time.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4.2  Cost discipline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MRO short-circuit means repeated queries cost zero LLM tokens after first run. Cap-by-CSV diversity ensures we never pay for redundant context just because one CSV is larger. Element-set Jaccard dedup collapses cross-CSV duplicates. On the demo corpus, multi-CSV joins use 60–70% fewer tokens than the equivalent embedding-RAG implementation.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4.3  Data does not leave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In CLOUD_MODE=false (the local DMG), the only outbound network call is to the Anthropic API for the LLM synthesis step. Every retrieval decision happens on the local Mac. Customers with data-residency or air-gap constraints can use the system without exposing the underlying corpus to a cloud service.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5.  Implementation Stack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900"/>
        <w:gridCol w:w="5200"/>
      </w:tblGrid>
      <w:tr>
        <w:trPr>
          <w:tblHeader/>
        </w:trP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Frontend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Next.js 16 + React 19 + TypeScript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SPA, ChatAIO dialog, System Management, R&amp;D, References, Benchmark runner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API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FastAPI + Python 3.11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AIO/HSL/MRO CRUD, four-phase aio-search, substrate-chat, mro-search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Database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PostgreSQL 15 + pg_trgm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Source-of-truth storage; inverted index (IER); GIN trigram for fuzzy match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LLM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Anthropic Claude (model selectable at runtime)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Synthesis only — every retrieval decision is upstream of the LLM</w:t>
            </w:r>
          </w:p>
        </w:tc>
      </w:tr>
      <w:tr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Hosting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Railway (cloud) + Electron DMG (local)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Same code, three deployment shapes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6.  Demo Dataset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000"/>
        <w:gridCol w:w="5600"/>
      </w:tblGrid>
      <w:tr>
        <w:trPr>
          <w:tblHeader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CSV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Count</w:t>
            </w:r>
          </w:p>
        </w:tc>
        <w:tc>
          <w:tcPr>
            <w:tcW w:type="dxa" w:w="5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AIA305 Sample.csv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474</w:t>
            </w:r>
          </w:p>
        </w:tc>
        <w:tc>
          <w:tcPr>
            <w:tcW w:type="dxa" w:w="5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Project portfolio with detailed financials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acc_cost_codes.csv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38</w:t>
            </w:r>
          </w:p>
        </w:tc>
        <w:tc>
          <w:tcPr>
            <w:tcW w:type="dxa" w:w="5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Cost code catalog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acc_vendors.csv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15</w:t>
            </w:r>
          </w:p>
        </w:tc>
        <w:tc>
          <w:tcPr>
            <w:tcW w:type="dxa" w:w="5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Vendor records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acc_submittals.csv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14</w:t>
            </w:r>
          </w:p>
        </w:tc>
        <w:tc>
          <w:tcPr>
            <w:tcW w:type="dxa" w:w="5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Document submittals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acc_employees.csv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13</w:t>
            </w:r>
          </w:p>
        </w:tc>
        <w:tc>
          <w:tcPr>
            <w:tcW w:type="dxa" w:w="5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Employee directory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acc_rfis.csv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10</w:t>
            </w:r>
          </w:p>
        </w:tc>
        <w:tc>
          <w:tcPr>
            <w:tcW w:type="dxa" w:w="5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Requests for information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acc_issues.csv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10</w:t>
            </w:r>
          </w:p>
        </w:tc>
        <w:tc>
          <w:tcPr>
            <w:tcW w:type="dxa" w:w="5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Field-issue records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acc_customers.csv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8</w:t>
            </w:r>
          </w:p>
        </w:tc>
        <w:tc>
          <w:tcPr>
            <w:tcW w:type="dxa" w:w="5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Customer directory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acc_projects.csv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7</w:t>
            </w:r>
          </w:p>
        </w:tc>
        <w:tc>
          <w:tcPr>
            <w:tcW w:type="dxa" w:w="5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Project metadata</w:t>
            </w:r>
          </w:p>
        </w:tc>
      </w:tr>
    </w:tbl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>Total: 589 AIO rows, ≈ 1,200 HSL key-value pairs, 9 source CSVs.</w:t>
      </w:r>
    </w:p>
    <w:p>
      <w:pPr>
        <w:pBdr>
          <w:top w:val="single" w:color="CBD5E1" w:sz="6" w:space="4"/>
        </w:pBdr>
        <w:spacing w:after="80" w:before="320"/>
      </w:pPr>
      <w:r>
        <w:t xml:space="preserve"/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94A3B8"/>
          <w:sz w:val="16"/>
          <w:szCs w:val="16"/>
        </w:rPr>
        <w:t xml:space="preserve">Prepared by InformationPhysics.ai, LLC.  Confidential — subject to the Transaction-Grade One-Way NDA on file.</w:t>
      </w:r>
    </w:p>
    <w:p>
      <w:pPr>
        <w:spacing w:after="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94A3B8"/>
          <w:sz w:val="16"/>
          <w:szCs w:val="16"/>
        </w:rPr>
        <w:t xml:space="preserve">© 2026 InformationPhysics.ai, LLC. All rights reserved.</w:t>
      </w:r>
    </w:p>
    <w:sectPr>
      <w:headerReference w:type="default" r:id="rId7"/>
      <w:footerReference w:type="default" r:id="rId8"/>
      <w:pgSz w:w="12240" w:h="15840" w:orient="portrait"/>
      <w:pgMar w:top="1180" w:right="1320" w:bottom="1180" w:left="1320" w:header="720" w:footer="720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color w:val="94A3B8"/>
        <w:sz w:val="16"/>
        <w:szCs w:val="16"/>
      </w:rPr>
      <w:t xml:space="preserve">InformationPhysics.ai, LLC  ·  V4.5</w:t>
    </w:r>
    <w:r>
      <w:rPr>
        <w:sz w:val="16"/>
        <w:szCs w:val="16"/>
      </w:rPr>
      <w:t xml:space="preserve">	</w:t>
    </w:r>
    <w:r>
      <w:rPr>
        <w:rFonts w:ascii="Calibri" w:cs="Calibri" w:eastAsia="Calibri" w:hAnsi="Calibri"/>
        <w:color w:val="94A3B8"/>
        <w:sz w:val="16"/>
        <w:szCs w:val="16"/>
      </w:rPr>
      <w:t xml:space="preserve">Page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4A3B8"/>
        <w:sz w:val="16"/>
        <w:szCs w:val="16"/>
      </w:rPr>
      <w:t xml:space="preserve"> of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b/>
        <w:bCs/>
        <w:color w:val="1F3864"/>
        <w:sz w:val="17"/>
        <w:szCs w:val="17"/>
      </w:rPr>
      <w:t xml:space="preserve">InformationPhysics.ai</w:t>
    </w:r>
    <w:r>
      <w:rPr>
        <w:color w:val="94A3B8"/>
        <w:sz w:val="17"/>
        <w:szCs w:val="17"/>
      </w:rPr>
      <w:t xml:space="preserve">  ·  </w:t>
    </w:r>
    <w:r>
      <w:rPr>
        <w:rFonts w:ascii="Calibri" w:cs="Calibri" w:eastAsia="Calibri" w:hAnsi="Calibri"/>
        <w:i/>
        <w:iCs/>
        <w:color w:val="475569"/>
        <w:sz w:val="17"/>
        <w:szCs w:val="17"/>
      </w:rPr>
      <w:t xml:space="preserve">Architecture Overview</w:t>
    </w:r>
    <w:r>
      <w:rPr>
        <w:sz w:val="17"/>
        <w:szCs w:val="17"/>
      </w:rPr>
      <w:t xml:space="preserve">	</w:t>
    </w:r>
    <w:r>
      <w:rPr>
        <w:rFonts w:ascii="Calibri" w:cs="Calibri" w:eastAsia="Calibri" w:hAnsi="Calibri"/>
        <w:b/>
        <w:bCs/>
        <w:color w:val="BE123C"/>
        <w:sz w:val="17"/>
        <w:szCs w:val="17"/>
      </w:rPr>
      <w:t xml:space="preserve">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 w:line="320"/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 w:line="300"/>
      <w:outlineLvl w:val="1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Architecture Overview</dc:title>
  <dc:creator>Information Physics — ChatAIO Engineering</dc:creator>
  <dc:description>Architecture Overview — V4.5</dc:description>
  <cp:lastModifiedBy>Un-named</cp:lastModifiedBy>
  <cp:revision>1</cp:revision>
  <dcterms:created xsi:type="dcterms:W3CDTF">2026-05-01T14:53:41.115Z</dcterms:created>
  <dcterms:modified xsi:type="dcterms:W3CDTF">2026-05-01T14:53:41.115Z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