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Cue Extraction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Deterministic query → element-cue translation, HSL gating, and trigram-tolerant retrieval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lib/aio-math.ts (extractCues)  ·  api/routes/hsl.py (find-by-needles-full)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10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Authoritative engineering description of the cue-extraction stage of the ChatAIO retrieval pipeline as shipped in V4.5. Specifies the four-pass algorithm by which a natural-language query is translated into a deterministic Element Cue Set; the canonical-field aliasing layer that resolves cross-CSV header fragmentation; the HSL inverted-index probe with both exact and trigram-tolerant paths; and the substrate trim and assembly that produces the LLM input.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Documents the four V4.5 retrieval-correctness fixes — migrations 029 and 031, cap-by-CSV diversity, and HSL field-name aliasing — as a coherent thread, with the failure modes each one resolved.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Scope and Audience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This document is the authoritative engineering description of the cue-extraction stage of the ChatAIO retrieval pipeline as shipped in V4.5. It declares the algorithm by which a natural-language query is translated into a deterministic set of bracket-notation Element Cues, and the downstream gating steps those cues drive: HSL pointer-index resolution, AIO neighborhood scoping, ranking, dedup, and substrate assembly. It supersedes any earlier description of the cue path.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Engineering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Authoritative algorithm spec — anything that contradicts this file should be reconciled here first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Operations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Diagnostic vocabulary for explaining why a given query produces a given retrieval set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Reviewers / Counsel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Identifies the trade-secret invariants that distinguish the substrate from a conventional embedding-RAG implementation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Definitions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Associated Information Object — bracket-notation record [Key.Value][Key.Value]… representing a single observation. Stored row-per-AIO in aio_data with up to 50 element columns.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Hyper-Semantic Layer record — relational pointer table whose name encodes a [Key.Value] anchor and whose member list points to AIOs sharing that anchor.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Memory Result Object — persisted retrieval episode. Used both as a short-circuit cache and as a prior-episode hint for fresh retrievals.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Element Cue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3-tuple (Key, Value, raw) where raw = [Key.Value] or [Key.*]. Drives every downstream lookup. Pure data — no LLM call required to produce.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Cue Set K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Unordered, deduplicated collection of Element Cues extracted from one query. Sized typically 10–200 for natural-language queries against a 500–1,000 AIO corpus.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Canonical Field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Output of canonicalField(key) — folds equivalent header spellings (Project_ID, Project ID, Projects Assigned, Applicable Projects) onto a single key.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</w:t>
            </w:r>
          </w:p>
        </w:tc>
        <w:tc>
          <w:tcPr>
            <w:tcW w:type="dxa" w:w="7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Information Element Refs — Postgres inverted index keyed on (tenant_id, field_name, value_lower) → (hsl_id|aio_id). Backs find-by-needles-full.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Position in the Pipeline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Cue extraction sits between query parse and retrieval. It is purely deterministic: given the same corpus, vocabulary, and query string, it produces the same Cue Set on every invocation. No LLM is consulted. This is a load-bearing property — every test, every benchmark, and every reproducibility audit relies on 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query (string)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│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▼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┌──────────────────────────────────────────────────────────┐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│ §1.  Cue Extraction        (lib/aio-math.ts)             │ ← THIS DOCUMENT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│        extractCues(query, fields, vocab, hslKVPairs)     │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└──────────────────────────────────────────────────────────┘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│ Cue Set K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▼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HSL Resolution     (find-by-needles-full)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AIO Scope Union    (HSL pointers ∪ needle scan)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Rank + Cap         (HSL boost + diversifyByCSV)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Jaccard Dedup      (substrate trim)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Substrate Assembly (priors + scope + cues)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  LLM call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The Cue Extraction Algorithm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extractCues runs four passes in fixed order over a normalized query. Earlier passes shadow later ones via a deduplication set keyed on the canonical raw form [Key.Value]. Output is a List&lt;ElementCue&gt; in pass-emission order, which becomes the input order for downstream ranking.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4.1  Inputs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Four inputs feed extractCues; only the first is per-query.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7200"/>
            </w:tblGrid>
            <w:tr>
              <w:trPr>
                <w:tblHeader/>
              </w:trP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Input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Source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query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User's natural-language string. Lower-cased and trimmed before processing.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fieldNames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Distinct field names observed across the AIO corpus. Used by Pass 1b for key-anchored matches.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valueVocabulary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Set of every distinct value observed across the corpus. Used by Pass 1c as fallback substring source.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hslKeyValuePairs</w:t>
                  </w:r>
                </w:p>
              </w:tc>
              <w:tc>
                <w:tcPr>
                  <w:tcW w:type="dxa" w:w="72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Catalog of (Key, Value) pairs from HSL topology — sourced via /v1/hsl-data/key-value-pairs.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4.2  Output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ElementCue carries: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interface ElementCue {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key:   string                  // canonical field name, or "*" wildcard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value: string | undefined      // observed value, or undefined for key-only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 raw:   string                  // canonical [Key.Value] or [Key.*]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/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4.3  Pass 1a — Bracket Phrase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Captures literal bracket-notation phrases the operator pasted into the query ("every record matching [Status.Open]"). Strict regex — single bracket pair, no nested brackets, key and value separated by a single dot.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/\[([^\].]+)\.([^\]]+)\]/g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Highest-priority pass: a literal bracket cue cannot be displaced or wildcarded by later passes.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4.4  Pass 1b — Field-Name Anchored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Walks the corpus field-name directory. For each known field that appears as a substring of the query, emits a cue. If the 80 chars after the field name in the query contain a colon or equals followed by a quoted or alphanumeric token, that token is captured as the value. Otherwise the cue is key-only [Key.*].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"Status: Open vendors in Texas"   →   emits [Status.Open]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"give me the assigned to field for PRJ-003"   →   emits [Assigned To.*]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4.5  Pass 1b' — HSL Catalog Forward / Reverse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The most precise pass. Iterates every (Key, Value) pair sourced from the HSL topology. A pair is emitted as a cue when: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Forward — the full value string appears in the query (case-insensitive substring).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Reverse — the full value contains any 3+-char query word as a substring.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Reverse exists because real queries reference entities by partial token ("Mitchell" → "Sarah Mitchell"). Both directions emit a cue with the catalog's concrete key, not a wildcard. Catalog values that are emitted here are recorded in a catalogValues set so Pass 1c does not duplicate them with wildcard variants.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4.6  Pass 1c — Vocabulary Fallback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Last-resort substring match against the corpus value-vocabulary. For every value v with |v| ≥ 3: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Forward — the full value v is a substring of the query → emits [*.v].</w:t>
            </w:r>
          </w:p>
          <w:p>
            <w:pPr>
              <w:spacing w:after="40" w:before="40" w:line="280"/>
              <w:ind w:left="720" w:hanging="360"/>
            </w:pPr>
            <w:r>
              <w:rPr>
                <w:rFonts w:ascii="Calibri" w:cs="Calibri" w:eastAsia="Calibri" w:hAnsi="Calibri"/>
                <w:color w:val="0F172A"/>
                <w:sz w:val="21"/>
                <w:szCs w:val="21"/>
              </w:rPr>
              <w:t xml:space="preserve">•   Reverse — any 3+-char query word is a substring of v → emits [*.v].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Values already captured by Pass 1b' (with concrete keys) are skipped to prevent the wildcard variant from polluting the cue set.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4.7  Canonical Field Folding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Every cue's key is run through canonicalField() (lib/hsl-aliases.ts) before raw-form construction. This is the V4.5 fix for the cross-CSV fragmentation bug.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1800"/>
              <w:gridCol w:w="5400"/>
            </w:tblGrid>
            <w:tr>
              <w:trPr>
                <w:tblHeader/>
              </w:trP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Source CSV header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Canonical key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0F3460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Origin CSVs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Project_ID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AIA305 Sample.csv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 ID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acc_rfis.csv, acc_issues.csv, acc_submittals.csv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Projects Assigned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acc_vendors.csv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Applicable Projects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acc_cost_codes.csv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Active Projects</w:t>
                  </w:r>
                </w:p>
              </w:tc>
              <w:tc>
                <w:tcPr>
                  <w:tcW w:type="dxa" w:w="18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Project</w:t>
                  </w:r>
                </w:p>
              </w:tc>
              <w:tc>
                <w:tcPr>
                  <w:tcW w:type="dxa" w:w="54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pPr>
                    <w:spacing w:after="0" w:before="0" w:line="26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0F172A"/>
                      <w:sz w:val="19"/>
                      <w:szCs w:val="19"/>
                    </w:rPr>
                    <w:t xml:space="preserve">acc_customers.csv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Without canonicalField, a cue extracted from one CSV's spelling cannot match an HSL anchored on another spelling — even when both refer to the same entity. The PRJ-003 multi-CSV join benchmark was built specifically to demonstrate this failure mode and confirm the fix.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HSL Resolution and Trigram Fallback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Each cue probes /v1/hsl-data/find-by-needles-full. The endpoint runs two staged lookups against the IER (Information Element Refs) inverted index installed by migration 017: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5.1  Stage A — Exact Match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WHERE field_name = key AND value_lower = lower(value). O(log N) on the IER btree index. Returns immediately if any rows match.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5.2  Stage B — Trigram Fallback (V4.5 / migration 031)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If Stage A returned zero hits, fall through to a pg_trgm % similarity match against the same column, with set_limit(0.30) configured per-session. The GIN trigram index installed in migration 031 keeps this O(log N) at the demo corpus scale.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Catches paraphrases the exact path doesn't handle: "PRJ 003" vs "PRJ-003", "Sarah M" vs "Sarah Mitchell", "Brake pad" vs "Brake Pads".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-- Stage A: O(log N) exact lookup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SELECT hsl_id FROM information_element_refs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WHERE field_name = :key AND value_lower = lower(:value);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 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-- Stage B (only if A → 0): trigram-fuzzy fallback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SELECT hsl_id FROM information_element_refs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WHERE field_name = :key AND value_lower % lower(:value)</w:t>
                  </w:r>
                </w:p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ORDER BY similarity(value_lower, lower(:value)) DESC LIMIT 50;</w:t>
                  </w:r>
                </w:p>
              </w:tc>
            </w:tr>
          </w:tbl>
          <w:p/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Substrate Cap and Jaccard Dedup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After HSL resolution and AIO gather, two trims run before the LLM sees anything: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6.1  Diversify by CSV (V4.5)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Replaces a flat top-N cap that let a numerically dominant CSV (AIA305 in the demo) crowd out the operational CSVs and break multi-CSV joins. The new pass takes a fair per-CSV share first, then back-fills from the highest-ranked leftovers. Mirrored on the frontend (lib/aio-math.ts diversifyByCSV) and backend (api/search_helpers.py diversify_by_csv).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6.2  Element-Set Jaccard Dedup at 0.85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Each AIO is hashed as a multiset of [Key.Value] tokens. Pairs with Jaccard ≥ 0.85 are collapsed to the higher-ranked member, with the provenance key (OriginalCSV, RowNumber) excluded from the comparison so identical content from two CSVs still survives once.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V4.5 Retrieval-Correctness Fixes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0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was broken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Mechanism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Mig 029 — HSL inverted index population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ier_refresh_hsl() only parsed element columns (which carry AIO row refs, not [Key.Value] tokens)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Now parses both elements AND hsl_data.hsl_name (where the bracket token actually lives). Backfilled every existing HSL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Cap-by-CSV diversity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Flat top-N cap let AIA305 (80% of demo) crowd out operational CSVs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Per-CSV fair share with back-fill (lib/aio-math.ts + api/search_helpers.py mirror)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field-name aliasing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Project_ID and Project ID could not match the same HSL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lib/hsl-aliases.ts canonicalField() folds equivalent spellings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Mig 031 — IER trigram index</w:t>
            </w:r>
          </w:p>
        </w:tc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Paraphrase queries returned 0 hits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GIN trigram index + Stage B fallback in find-by-needles-full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 Provenance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extractCues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canonicalField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lib/hsl-aliases.ts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find-by-needles-full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infophysics_impl_grade/api/routes/hsl.py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 index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infophysics_impl_grade/migrations/017_information_element_refs.sql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IER backfill fix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infophysics_impl_grade/migrations/029_fix_hsl_ier_index.sql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Trigram index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infophysics_impl_grade/migrations/031_information_element_refs_trigram.sql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Cap-by-CSV diversity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(diversifyByCSV) + api/search_helpers.py (diversify_by_csv)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Jaccard dedup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lib/aio-math.ts (jaccardDedupe)</w:t>
            </w:r>
          </w:p>
        </w:tc>
      </w:tr>
    </w:tbl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Cue Extraction Technote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 Extraction Technote</dc:title>
  <dc:creator>Information Physics — ChatAIO Engineering</dc:creator>
  <dc:description>Cue Extraction Technote — V4.5</dc:description>
  <cp:lastModifiedBy>Un-named</cp:lastModifiedBy>
  <cp:revision>1</cp:revision>
  <dcterms:created xsi:type="dcterms:W3CDTF">2026-05-01T14:53:41.001Z</dcterms:created>
  <dcterms:modified xsi:type="dcterms:W3CDTF">2026-05-01T14:53:41.002Z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