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E11D48" w:sz="18"/>
              <w:left w:val="single" w:color="E11D48" w:sz="18"/>
              <w:bottom w:val="single" w:color="E11D48" w:sz="18"/>
              <w:right w:val="single" w:color="E11D48" w:sz="18"/>
            </w:tcBorders>
            <w:shd w:fill="FFF1F2" w:val="clear"/>
            <w:tcMar>
              <w:top w:type="dxa" w:w="160"/>
              <w:left w:type="dxa" w:w="240"/>
              <w:bottom w:type="dxa" w:w="160"/>
              <w:right w:type="dxa" w:w="240"/>
            </w:tcMar>
          </w:tcPr>
          <w:p>
            <w:pPr>
              <w:spacing w:after="80" w:before="0"/>
            </w:pPr>
            <w:r>
              <w:rPr>
                <w:rFonts w:ascii="Calibri" w:cs="Calibri" w:eastAsia="Calibri" w:hAnsi="Calibri"/>
                <w:b/>
                <w:bCs/>
                <w:color w:val="BE123C"/>
                <w:sz w:val="22"/>
                <w:szCs w:val="22"/>
              </w:rPr>
              <w:t xml:space="preserve">⚠  CONFIDENTIAL — TRADE SECRET</w:t>
            </w:r>
          </w:p>
          <w:p>
            <w:pPr>
              <w:spacing w:after="0" w:before="0" w:line="280"/>
            </w:pPr>
            <w:r>
              <w:rPr>
                <w:rFonts w:ascii="Calibri" w:cs="Calibri" w:eastAsia="Calibri" w:hAnsi="Calibri"/>
                <w:color w:val="BE123C"/>
                <w:sz w:val="20"/>
                <w:szCs w:val="20"/>
              </w:rPr>
              <w:t xml:space="preserve">This document describes the internal logic, data structures, and operational behavior of a proprietary subsystem of the Information Physics Demo System. It contains confidential information and trade secrets of InformationPhysics.ai, LLC, including algorithmic detail not present in public-facing materials. Subject to the Transaction-Grade One-Way Non-Disclosure Agreement on file. Unauthorized use, disclosure, or reproduction is strictly prohibited and may result in civil and criminal liability.</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spacing w:after="160" w:before="60" w:line="280"/>
        <w:jc w:val="center"/>
      </w:pPr>
      <w:r>
        <w:rPr>
          <w:rFonts w:ascii="Calibri" w:cs="Calibri" w:eastAsia="Calibri" w:hAnsi="Calibri"/>
          <w:b w:val="false"/>
          <w:bCs w:val="false"/>
          <w:i w:val="false"/>
          <w:iCs w:val="false"/>
          <w:caps/>
          <w:color w:val="94A3B8"/>
          <w:sz w:val="17"/>
          <w:szCs w:val="17"/>
        </w:rPr>
        <w:t xml:space="preserve">Engineering Reference — Internal / NDA-Restricted</w:t>
      </w:r>
    </w:p>
    <w:p>
      <w:pPr>
        <w:spacing w:after="80" w:before="60" w:line="280"/>
        <w:jc w:val="center"/>
      </w:pPr>
      <w:r>
        <w:rPr>
          <w:rFonts w:ascii="Calibri" w:cs="Calibri" w:eastAsia="Calibri" w:hAnsi="Calibri"/>
          <w:b/>
          <w:bCs/>
          <w:i w:val="false"/>
          <w:iCs w:val="false"/>
          <w:caps w:val="false"/>
          <w:color w:val="0F172A"/>
          <w:sz w:val="36"/>
          <w:szCs w:val="36"/>
        </w:rPr>
        <w:t xml:space="preserve">Four-Mode ChatAIO Comparison</w:t>
      </w:r>
    </w:p>
    <w:p>
      <w:pPr>
        <w:spacing w:after="200" w:before="60" w:line="280"/>
        <w:jc w:val="center"/>
      </w:pPr>
      <w:r>
        <w:rPr>
          <w:rFonts w:ascii="Calibri" w:cs="Calibri" w:eastAsia="Calibri" w:hAnsi="Calibri"/>
          <w:b w:val="false"/>
          <w:bCs w:val="false"/>
          <w:i/>
          <w:iCs/>
          <w:caps w:val="false"/>
          <w:color w:val="475569"/>
          <w:sz w:val="22"/>
          <w:szCs w:val="22"/>
        </w:rPr>
        <w:t xml:space="preserve">Recall · Live · Broad · Raw — measured pipeline-level efficiency across all retrieval modes</w:t>
      </w:r>
    </w:p>
    <w:p>
      <w:pPr>
        <w:spacing w:after="40" w:before="60" w:line="280"/>
        <w:jc w:val="center"/>
      </w:pPr>
      <w:r>
        <w:rPr>
          <w:rFonts w:ascii="Calibri" w:cs="Calibri" w:eastAsia="Calibri" w:hAnsi="Calibri"/>
          <w:b/>
          <w:bCs/>
          <w:i w:val="false"/>
          <w:iCs w:val="false"/>
          <w:caps w:val="false"/>
          <w:color w:val="0F172A"/>
          <w:sz w:val="22"/>
          <w:szCs w:val="22"/>
        </w:rPr>
        <w:t xml:space="preserve">Michael Simon Bodner, Ph.D.</w:t>
      </w:r>
    </w:p>
    <w:p>
      <w:pPr>
        <w:spacing w:after="40" w:before="60" w:line="280"/>
        <w:jc w:val="center"/>
      </w:pPr>
      <w:r>
        <w:rPr>
          <w:rFonts w:ascii="Calibri" w:cs="Calibri" w:eastAsia="Calibri" w:hAnsi="Calibri"/>
          <w:b w:val="false"/>
          <w:bCs w:val="false"/>
          <w:i w:val="false"/>
          <w:iCs w:val="false"/>
          <w:caps w:val="false"/>
          <w:color w:val="0F3460"/>
          <w:sz w:val="18"/>
          <w:szCs w:val="18"/>
        </w:rPr>
        <w:t xml:space="preserve">Founder &amp; Chief Scientist, InformationPhysics.ai</w:t>
      </w:r>
    </w:p>
    <w:p>
      <w:pPr>
        <w:spacing w:after="40" w:before="60" w:line="280"/>
        <w:jc w:val="center"/>
      </w:pPr>
      <w:r>
        <w:rPr>
          <w:rFonts w:ascii="Calibri" w:cs="Calibri" w:eastAsia="Calibri" w:hAnsi="Calibri"/>
          <w:b w:val="false"/>
          <w:bCs w:val="false"/>
          <w:i w:val="false"/>
          <w:iCs w:val="false"/>
          <w:caps w:val="false"/>
          <w:color w:val="475569"/>
          <w:sz w:val="18"/>
          <w:szCs w:val="18"/>
        </w:rPr>
        <w:t xml:space="preserve">Measurement: April 27, 2026 — Software Version V4.4.0</w:t>
      </w:r>
    </w:p>
    <w:p>
      <w:pPr>
        <w:spacing w:after="40" w:before="60" w:line="280"/>
        <w:jc w:val="center"/>
      </w:pPr>
      <w:r>
        <w:rPr>
          <w:rFonts w:ascii="Consolas" w:cs="Consolas" w:eastAsia="Consolas" w:hAnsi="Consolas"/>
          <w:b w:val="false"/>
          <w:bCs w:val="false"/>
          <w:i w:val="false"/>
          <w:iCs w:val="false"/>
          <w:caps w:val="false"/>
          <w:color w:val="475569"/>
          <w:sz w:val="16"/>
          <w:szCs w:val="16"/>
        </w:rPr>
        <w:t xml:space="preserve">https://infophysics-api-production-bc95.up.railway.app  ·  scripts/measure_modes.ts</w:t>
      </w:r>
    </w:p>
    <w:p>
      <w:pPr>
        <w:spacing w:after="240" w:before="60" w:line="280"/>
        <w:jc w:val="center"/>
      </w:pPr>
      <w:r>
        <w:rPr>
          <w:rFonts w:ascii="Calibri" w:cs="Calibri" w:eastAsia="Calibri" w:hAnsi="Calibri"/>
          <w:b w:val="false"/>
          <w:bCs w:val="false"/>
          <w:i w:val="false"/>
          <w:iCs w:val="false"/>
          <w:caps w:val="false"/>
          <w:color w:val="94A3B8"/>
          <w:sz w:val="16"/>
          <w:szCs w:val="16"/>
        </w:rPr>
        <w:t xml:space="preserve">© 2026 InformationPhysics.ai, LLC. All rights reserved.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BD5E1" w:sz="4"/>
              <w:left w:val="single" w:color="CBD5E1" w:sz="4"/>
              <w:bottom w:val="single" w:color="CBD5E1" w:sz="4"/>
              <w:right w:val="single" w:color="CBD5E1" w:sz="4"/>
            </w:tcBorders>
            <w:tcMar>
              <w:top w:type="dxa" w:w="200"/>
              <w:left w:type="dxa" w:w="240"/>
              <w:bottom w:type="dxa" w:w="200"/>
              <w:right w:type="dxa" w:w="240"/>
            </w:tcMar>
          </w:tcPr>
          <w:p>
            <w:pPr>
              <w:spacing w:after="120" w:before="0"/>
            </w:pPr>
            <w:r>
              <w:rPr>
                <w:rFonts w:ascii="Calibri" w:cs="Calibri" w:eastAsia="Calibri" w:hAnsi="Calibri"/>
                <w:b/>
                <w:bCs/>
                <w:color w:val="1F3864"/>
                <w:sz w:val="24"/>
                <w:szCs w:val="24"/>
              </w:rPr>
              <w:t xml:space="preserve">Abstract</w:t>
            </w:r>
          </w:p>
          <w:p>
            <w:pPr>
              <w:spacing w:after="0" w:before="0" w:line="300"/>
            </w:pPr>
            <w:r>
              <w:rPr>
                <w:rFonts w:ascii="Calibri" w:cs="Calibri" w:eastAsia="Calibri" w:hAnsi="Calibri"/>
                <w:color w:val="475569"/>
                <w:sz w:val="21"/>
                <w:szCs w:val="21"/>
              </w:rPr>
              <w:t xml:space="preserve">Extends the V1 Live-vs-Recall report to all four retrieval modes. Token consumption spans more than two orders of magnitude across the four modes (1,824 / 2,447 / 27,797 / 70,416 total tokens for Recall / Live / Raw / Broad). All four returned correct answers; the difference is entirely in cost, latency, and structural alignment.</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1.  Headline Result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00"/>
        <w:gridCol w:w="1900"/>
        <w:gridCol w:w="2000"/>
        <w:gridCol w:w="2000"/>
        <w:gridCol w:w="2200"/>
      </w:tblGrid>
      <w:tr>
        <w:trPr>
          <w:tblHeader/>
        </w:trPr>
        <w:tc>
          <w:tcPr>
            <w:tcW w:type="dxa" w:w="15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Mode</w:t>
            </w:r>
          </w:p>
        </w:tc>
        <w:tc>
          <w:tcPr>
            <w:tcW w:type="dxa" w:w="19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Latency</w:t>
            </w:r>
          </w:p>
        </w:tc>
        <w:tc>
          <w:tcPr>
            <w:tcW w:type="dxa" w:w="2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Input tokens</w:t>
            </w:r>
          </w:p>
        </w:tc>
        <w:tc>
          <w:tcPr>
            <w:tcW w:type="dxa" w:w="2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Output tokens</w:t>
            </w:r>
          </w:p>
        </w:tc>
        <w:tc>
          <w:tcPr>
            <w:tcW w:type="dxa" w:w="2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Total tokens</w:t>
            </w:r>
          </w:p>
        </w:tc>
      </w:tr>
      <w:tr>
        <w:tc>
          <w:tcPr>
            <w:tcW w:type="dxa" w:w="1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Recall</w:t>
            </w:r>
          </w:p>
        </w:tc>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25,205 ms</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29</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1,795</w:t>
            </w:r>
          </w:p>
        </w:tc>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1,824</w:t>
            </w:r>
          </w:p>
        </w:tc>
      </w:tr>
      <w:tr>
        <w:tc>
          <w:tcPr>
            <w:tcW w:type="dxa" w:w="1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Live</w:t>
            </w:r>
          </w:p>
        </w:tc>
        <w:tc>
          <w:tcPr>
            <w:tcW w:type="dxa" w:w="1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33,093 ms</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370</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2,077</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2,447</w:t>
            </w:r>
          </w:p>
        </w:tc>
      </w:tr>
      <w:tr>
        <w:tc>
          <w:tcPr>
            <w:tcW w:type="dxa" w:w="15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Raw</w:t>
            </w:r>
          </w:p>
        </w:tc>
        <w:tc>
          <w:tcPr>
            <w:tcW w:type="dxa" w:w="19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23,956 ms</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26,425</w:t>
            </w:r>
          </w:p>
        </w:tc>
        <w:tc>
          <w:tcPr>
            <w:tcW w:type="dxa" w:w="2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1,372</w:t>
            </w:r>
          </w:p>
        </w:tc>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27,797</w:t>
            </w:r>
          </w:p>
        </w:tc>
      </w:tr>
      <w:tr>
        <w:tc>
          <w:tcPr>
            <w:tcW w:type="dxa" w:w="15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Broad</w:t>
            </w:r>
          </w:p>
        </w:tc>
        <w:tc>
          <w:tcPr>
            <w:tcW w:type="dxa" w:w="19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37,533 ms</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68,368</w:t>
            </w:r>
          </w:p>
        </w:tc>
        <w:tc>
          <w:tcPr>
            <w:tcW w:type="dxa" w:w="2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2,048</w:t>
            </w:r>
          </w:p>
        </w:tc>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70,416</w:t>
            </w:r>
          </w:p>
        </w:tc>
      </w:tr>
    </w:tbl>
    <w:p>
      <w:pPr>
        <w:spacing w:after="60" w:before="60" w:line="280"/>
        <w:jc w:val="left"/>
      </w:pPr>
      <w:r>
        <w:rPr>
          <w:rFonts w:ascii="Calibri" w:cs="Calibri" w:eastAsia="Calibri" w:hAnsi="Calibri"/>
          <w:b w:val="false"/>
          <w:bCs w:val="false"/>
          <w:i w:val="false"/>
          <w:iCs w:val="false"/>
          <w:caps w:val="false"/>
          <w:color w:val="0F172A"/>
          <w:sz w:val="21"/>
          <w:szCs w:val="21"/>
        </w:rPr>
        <w:t xml:space="preserve">Recall consumes 1,824 total tokens — about 1/15th of Raw and 1/38th of Broad — to produce a structurally equivalent answer.</w:t>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2.  Per-Mode Pipeline Traces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2.1  Recall</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Pre-fetched the AIO set + HSL key/value catalog at dialog open (≈ 531 ms one-time, ≈ 40 KB payload). At query time: extract cues locally, resolve scoped HSLs via the IER, build a JSON substrate envelope (40 AIOs + HSL refs + top-3 MRO priors at the time of measurement; 200 in V4.5), single LLM synthesis call. MRO short-circuit was disabled to force a real LLM round-trip.</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2.2  Live</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Four-phase: LLM parse → SQL HSL match (4–5 passes) → SQL AIO gather (3–4 passes, optional embedding rerank) → LLM synthesis. Adaptive AIO context cap. bypass_cache=true was set.</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2.3  Broad</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Dumps every AIO, HSL, and CSV record (capped at 1,000) into the system prompt and asks the LLM to synthesize. No retrieval logic; the model itself does the entire selection from a maximal context.</w:t>
            </w:r>
          </w:p>
        </w:tc>
      </w:tr>
    </w:tbl>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nil" w:color="FFFFFF" w:sz="1"/>
              <w:left w:val="single" w:color="FB7185" w:sz="18"/>
              <w:bottom w:val="nil" w:color="FFFFFF" w:sz="1"/>
              <w:right w:val="nil" w:color="FFFFFF" w:sz="1"/>
            </w:tcBorders>
            <w:tcMar>
              <w:top w:type="dxa" w:w="80"/>
              <w:left w:type="dxa" w:w="240"/>
              <w:bottom w:type="dxa" w:w="120"/>
              <w:right w:type="dxa" w:w="100"/>
            </w:tcMar>
          </w:tcPr>
          <w:p>
            <w:pPr>
              <w:spacing w:after="80" w:before="0" w:line="280"/>
            </w:pPr>
            <w:r>
              <w:rPr>
                <w:rFonts w:ascii="Calibri" w:cs="Calibri" w:eastAsia="Calibri" w:hAnsi="Calibri"/>
                <w:b/>
                <w:bCs/>
                <w:color w:val="0F172A"/>
                <w:sz w:val="22"/>
                <w:szCs w:val="22"/>
              </w:rPr>
              <w:t xml:space="preserve">2.4  Raw</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Reference baseline. Sends the original source CSV files (raw text) to the LLM with no AIO bracketing, no HSL gating, no MRO substrate. This is what "ChatGPT plus your CSVs" would deliver.</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3.  Master Side-by-Side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850"/>
        <w:gridCol w:w="1850"/>
        <w:gridCol w:w="1850"/>
        <w:gridCol w:w="1850"/>
      </w:tblGrid>
      <w:tr>
        <w:trPr>
          <w:tblHeader/>
        </w:trPr>
        <w:tc>
          <w:tcPr>
            <w:tcW w:type="dxa" w:w="22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Metric</w:t>
            </w:r>
          </w:p>
        </w:tc>
        <w:tc>
          <w:tcPr>
            <w:tcW w:type="dxa" w:w="185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Recall</w:t>
            </w:r>
          </w:p>
        </w:tc>
        <w:tc>
          <w:tcPr>
            <w:tcW w:type="dxa" w:w="185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Live</w:t>
            </w:r>
          </w:p>
        </w:tc>
        <w:tc>
          <w:tcPr>
            <w:tcW w:type="dxa" w:w="185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Broad</w:t>
            </w:r>
          </w:p>
        </w:tc>
        <w:tc>
          <w:tcPr>
            <w:tcW w:type="dxa" w:w="185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Raw</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LLM calls</w:t>
            </w:r>
          </w:p>
        </w:tc>
        <w:tc>
          <w:tcPr>
            <w:tcW w:type="dxa" w:w="18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w:t>
            </w:r>
          </w:p>
        </w:tc>
        <w:tc>
          <w:tcPr>
            <w:tcW w:type="dxa" w:w="18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w:t>
            </w:r>
          </w:p>
        </w:tc>
        <w:tc>
          <w:tcPr>
            <w:tcW w:type="dxa" w:w="18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w:t>
            </w:r>
          </w:p>
        </w:tc>
        <w:tc>
          <w:tcPr>
            <w:tcW w:type="dxa" w:w="18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Wall-clock latency</w:t>
            </w:r>
          </w:p>
        </w:tc>
        <w:tc>
          <w:tcPr>
            <w:tcW w:type="dxa" w:w="18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25,205 ms</w:t>
            </w:r>
          </w:p>
        </w:tc>
        <w:tc>
          <w:tcPr>
            <w:tcW w:type="dxa" w:w="18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33,093 ms</w:t>
            </w:r>
          </w:p>
        </w:tc>
        <w:tc>
          <w:tcPr>
            <w:tcW w:type="dxa" w:w="18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37,533 ms</w:t>
            </w:r>
          </w:p>
        </w:tc>
        <w:tc>
          <w:tcPr>
            <w:tcW w:type="dxa" w:w="18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23,956 ms</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Fresh input tokens</w:t>
            </w:r>
          </w:p>
        </w:tc>
        <w:tc>
          <w:tcPr>
            <w:tcW w:type="dxa" w:w="18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29</w:t>
            </w:r>
          </w:p>
        </w:tc>
        <w:tc>
          <w:tcPr>
            <w:tcW w:type="dxa" w:w="18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370</w:t>
            </w:r>
          </w:p>
        </w:tc>
        <w:tc>
          <w:tcPr>
            <w:tcW w:type="dxa" w:w="18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68,368</w:t>
            </w:r>
          </w:p>
        </w:tc>
        <w:tc>
          <w:tcPr>
            <w:tcW w:type="dxa" w:w="18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26,425</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Output tokens</w:t>
            </w:r>
          </w:p>
        </w:tc>
        <w:tc>
          <w:tcPr>
            <w:tcW w:type="dxa" w:w="18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1,795</w:t>
            </w:r>
          </w:p>
        </w:tc>
        <w:tc>
          <w:tcPr>
            <w:tcW w:type="dxa" w:w="18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2,077</w:t>
            </w:r>
          </w:p>
        </w:tc>
        <w:tc>
          <w:tcPr>
            <w:tcW w:type="dxa" w:w="18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2,048</w:t>
            </w:r>
          </w:p>
        </w:tc>
        <w:tc>
          <w:tcPr>
            <w:tcW w:type="dxa" w:w="18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1,372</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Total billable tokens</w:t>
            </w:r>
          </w:p>
        </w:tc>
        <w:tc>
          <w:tcPr>
            <w:tcW w:type="dxa" w:w="18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1,824</w:t>
            </w:r>
          </w:p>
        </w:tc>
        <w:tc>
          <w:tcPr>
            <w:tcW w:type="dxa" w:w="18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2,447</w:t>
            </w:r>
          </w:p>
        </w:tc>
        <w:tc>
          <w:tcPr>
            <w:tcW w:type="dxa" w:w="18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70,416</w:t>
            </w:r>
          </w:p>
        </w:tc>
        <w:tc>
          <w:tcPr>
            <w:tcW w:type="dxa" w:w="18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27,797</w:t>
            </w:r>
          </w:p>
        </w:tc>
      </w:tr>
      <w:tr>
        <w:tc>
          <w:tcPr>
            <w:tcW w:type="dxa" w:w="22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Tokens vs. Recall</w:t>
            </w:r>
          </w:p>
        </w:tc>
        <w:tc>
          <w:tcPr>
            <w:tcW w:type="dxa" w:w="18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1.0×</w:t>
            </w:r>
          </w:p>
        </w:tc>
        <w:tc>
          <w:tcPr>
            <w:tcW w:type="dxa" w:w="18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1.3×</w:t>
            </w:r>
          </w:p>
        </w:tc>
        <w:tc>
          <w:tcPr>
            <w:tcW w:type="dxa" w:w="18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38.6×</w:t>
            </w:r>
          </w:p>
        </w:tc>
        <w:tc>
          <w:tcPr>
            <w:tcW w:type="dxa" w:w="18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15.2×</w:t>
            </w:r>
          </w:p>
        </w:tc>
      </w:tr>
      <w:tr>
        <w:tc>
          <w:tcPr>
            <w:tcW w:type="dxa" w:w="22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Server-side scope</w:t>
            </w:r>
          </w:p>
        </w:tc>
        <w:tc>
          <w:tcPr>
            <w:tcW w:type="dxa" w:w="18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355 AIOs</w:t>
            </w:r>
          </w:p>
        </w:tc>
        <w:tc>
          <w:tcPr>
            <w:tcW w:type="dxa" w:w="18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38 HSLs / 382 AIOs</w:t>
            </w:r>
          </w:p>
        </w:tc>
        <w:tc>
          <w:tcPr>
            <w:tcW w:type="dxa" w:w="18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664 records</w:t>
            </w:r>
          </w:p>
        </w:tc>
        <w:tc>
          <w:tcPr>
            <w:tcW w:type="dxa" w:w="18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9 CSVs</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4.  Cost Modeling at Anthropic List Prices</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Anthropic Claude Sonnet 4.6 list prices at the time of writing (input $3/Mtok, output $15/Mtok), worst-case no-cache: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1750"/>
        <w:gridCol w:w="1750"/>
        <w:gridCol w:w="1750"/>
        <w:gridCol w:w="1750"/>
      </w:tblGrid>
      <w:tr>
        <w:trPr>
          <w:tblHeader/>
        </w:trPr>
        <w:tc>
          <w:tcPr>
            <w:tcW w:type="dxa" w:w="24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Metric</w:t>
            </w:r>
          </w:p>
        </w:tc>
        <w:tc>
          <w:tcPr>
            <w:tcW w:type="dxa" w:w="175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Recall</w:t>
            </w:r>
          </w:p>
        </w:tc>
        <w:tc>
          <w:tcPr>
            <w:tcW w:type="dxa" w:w="175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Live</w:t>
            </w:r>
          </w:p>
        </w:tc>
        <w:tc>
          <w:tcPr>
            <w:tcW w:type="dxa" w:w="175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Broad</w:t>
            </w:r>
          </w:p>
        </w:tc>
        <w:tc>
          <w:tcPr>
            <w:tcW w:type="dxa" w:w="175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Raw</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Input cost (USD)</w:t>
            </w:r>
          </w:p>
        </w:tc>
        <w:tc>
          <w:tcPr>
            <w:tcW w:type="dxa" w:w="17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$0.000087</w:t>
            </w:r>
          </w:p>
        </w:tc>
        <w:tc>
          <w:tcPr>
            <w:tcW w:type="dxa" w:w="17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$0.001110</w:t>
            </w:r>
          </w:p>
        </w:tc>
        <w:tc>
          <w:tcPr>
            <w:tcW w:type="dxa" w:w="17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$0.205104</w:t>
            </w:r>
          </w:p>
        </w:tc>
        <w:tc>
          <w:tcPr>
            <w:tcW w:type="dxa" w:w="17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$0.079275</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Output cost (USD)</w:t>
            </w:r>
          </w:p>
        </w:tc>
        <w:tc>
          <w:tcPr>
            <w:tcW w:type="dxa" w:w="17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$0.026925</w:t>
            </w:r>
          </w:p>
        </w:tc>
        <w:tc>
          <w:tcPr>
            <w:tcW w:type="dxa" w:w="17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$0.031155</w:t>
            </w:r>
          </w:p>
        </w:tc>
        <w:tc>
          <w:tcPr>
            <w:tcW w:type="dxa" w:w="17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$0.030720</w:t>
            </w:r>
          </w:p>
        </w:tc>
        <w:tc>
          <w:tcPr>
            <w:tcW w:type="dxa" w:w="17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$0.020580</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Total per query (USD)</w:t>
            </w:r>
          </w:p>
        </w:tc>
        <w:tc>
          <w:tcPr>
            <w:tcW w:type="dxa" w:w="17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$0.027012</w:t>
            </w:r>
          </w:p>
        </w:tc>
        <w:tc>
          <w:tcPr>
            <w:tcW w:type="dxa" w:w="17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$0.032265</w:t>
            </w:r>
          </w:p>
        </w:tc>
        <w:tc>
          <w:tcPr>
            <w:tcW w:type="dxa" w:w="17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$0.235824</w:t>
            </w:r>
          </w:p>
        </w:tc>
        <w:tc>
          <w:tcPr>
            <w:tcW w:type="dxa" w:w="17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$0.099855</w:t>
            </w:r>
          </w:p>
        </w:tc>
      </w:tr>
      <w:tr>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Cost per 1,000 queries</w:t>
            </w:r>
          </w:p>
        </w:tc>
        <w:tc>
          <w:tcPr>
            <w:tcW w:type="dxa" w:w="17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$27</w:t>
            </w:r>
          </w:p>
        </w:tc>
        <w:tc>
          <w:tcPr>
            <w:tcW w:type="dxa" w:w="17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$32</w:t>
            </w:r>
          </w:p>
        </w:tc>
        <w:tc>
          <w:tcPr>
            <w:tcW w:type="dxa" w:w="17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$236</w:t>
            </w:r>
          </w:p>
        </w:tc>
        <w:tc>
          <w:tcPr>
            <w:tcW w:type="dxa" w:w="175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onsolas" w:cs="Consolas" w:eastAsia="Consolas" w:hAnsi="Consolas"/>
                <w:b w:val="false"/>
                <w:bCs w:val="false"/>
                <w:color w:val="0F172A"/>
                <w:sz w:val="19"/>
                <w:szCs w:val="19"/>
              </w:rPr>
              <w:t xml:space="preserve">$100</w:t>
            </w:r>
          </w:p>
        </w:tc>
      </w:tr>
      <w:tr>
        <w:tc>
          <w:tcPr>
            <w:tcW w:type="dxa" w:w="24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Cost ratio vs. Recall</w:t>
            </w:r>
          </w:p>
        </w:tc>
        <w:tc>
          <w:tcPr>
            <w:tcW w:type="dxa" w:w="17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1.0×</w:t>
            </w:r>
          </w:p>
        </w:tc>
        <w:tc>
          <w:tcPr>
            <w:tcW w:type="dxa" w:w="17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1.2×</w:t>
            </w:r>
          </w:p>
        </w:tc>
        <w:tc>
          <w:tcPr>
            <w:tcW w:type="dxa" w:w="17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8.7×</w:t>
            </w:r>
          </w:p>
        </w:tc>
        <w:tc>
          <w:tcPr>
            <w:tcW w:type="dxa" w:w="175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3.7×</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5.  Why The Spread Is So Wide</w:t>
      </w:r>
    </w:p>
    <w:p>
      <w:pPr>
        <w:spacing w:after="40" w:before="40" w:line="280"/>
        <w:ind w:left="720" w:hanging="360"/>
      </w:pPr>
      <w:r>
        <w:rPr>
          <w:rFonts w:ascii="Calibri" w:cs="Calibri" w:eastAsia="Calibri" w:hAnsi="Calibri"/>
          <w:color w:val="0F172A"/>
          <w:sz w:val="21"/>
          <w:szCs w:val="21"/>
        </w:rPr>
        <w:t xml:space="preserve">•   RECALL — retrieval happens deterministically against the precomputed substrate. Token count scales with cue cardinality, not corpus size.</w:t>
      </w:r>
    </w:p>
    <w:p>
      <w:pPr>
        <w:spacing w:after="40" w:before="40" w:line="280"/>
        <w:ind w:left="720" w:hanging="360"/>
      </w:pPr>
      <w:r>
        <w:rPr>
          <w:rFonts w:ascii="Calibri" w:cs="Calibri" w:eastAsia="Calibri" w:hAnsi="Calibri"/>
          <w:color w:val="0F172A"/>
          <w:sz w:val="21"/>
          <w:szCs w:val="21"/>
        </w:rPr>
        <w:t xml:space="preserve">•   LIVE — retrieval is split: an LLM-parsed plan produces SQL needles, then a second LLM call synthesizes from a bounded AIO set.</w:t>
      </w:r>
    </w:p>
    <w:p>
      <w:pPr>
        <w:spacing w:after="40" w:before="40" w:line="280"/>
        <w:ind w:left="720" w:hanging="360"/>
      </w:pPr>
      <w:r>
        <w:rPr>
          <w:rFonts w:ascii="Calibri" w:cs="Calibri" w:eastAsia="Calibri" w:hAnsi="Calibri"/>
          <w:color w:val="0F172A"/>
          <w:sz w:val="21"/>
          <w:szCs w:val="21"/>
        </w:rPr>
        <w:t xml:space="preserve">•   BROAD — retrieval is delegated entirely to the LLM. Token count scales with corpus size.</w:t>
      </w:r>
    </w:p>
    <w:p>
      <w:pPr>
        <w:spacing w:after="40" w:before="40" w:line="280"/>
        <w:ind w:left="720" w:hanging="360"/>
      </w:pPr>
      <w:r>
        <w:rPr>
          <w:rFonts w:ascii="Calibri" w:cs="Calibri" w:eastAsia="Calibri" w:hAnsi="Calibri"/>
          <w:color w:val="0F172A"/>
          <w:sz w:val="21"/>
          <w:szCs w:val="21"/>
        </w:rPr>
        <w:t xml:space="preserve">•   RAW — retrieval is delegated to the LLM and the data is unstructured (raw CSV).</w:t>
      </w:r>
    </w:p>
    <w:p>
      <w:pPr>
        <w:pStyle w:val="Heading1"/>
        <w:pBdr>
          <w:bottom w:val="single" w:color="1F3864" w:sz="6" w:space="4"/>
        </w:pBdr>
        <w:spacing w:after="160" w:before="360" w:line="320"/>
      </w:pPr>
      <w:r>
        <w:rPr>
          <w:rFonts w:ascii="Calibri" w:cs="Calibri" w:eastAsia="Calibri" w:hAnsi="Calibri"/>
          <w:b/>
          <w:bCs/>
          <w:color w:val="1F3864"/>
          <w:sz w:val="28"/>
          <w:szCs w:val="28"/>
        </w:rPr>
        <w:t xml:space="preserve">6.  Mode Selection — Decision Matrix</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0"/>
        <w:gridCol w:w="3600"/>
      </w:tblGrid>
      <w:tr>
        <w:trPr>
          <w:tblHeader/>
        </w:trPr>
        <w:tc>
          <w:tcPr>
            <w:tcW w:type="dxa" w:w="60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Use case</w:t>
            </w:r>
          </w:p>
        </w:tc>
        <w:tc>
          <w:tcPr>
            <w:tcW w:type="dxa" w:w="3600"/>
            <w:tcBorders>
              <w:top w:val="single" w:color="CBD5E1" w:sz="4"/>
              <w:left w:val="single" w:color="CBD5E1" w:sz="4"/>
              <w:bottom w:val="single" w:color="CBD5E1" w:sz="4"/>
              <w:right w:val="single" w:color="CBD5E1" w:sz="4"/>
            </w:tcBorders>
            <w:shd w:fill="0F3460" w:val="clear"/>
            <w:tcMar>
              <w:top w:type="dxa" w:w="80"/>
              <w:left w:type="dxa" w:w="120"/>
              <w:bottom w:type="dxa" w:w="80"/>
              <w:right w:type="dxa" w:w="120"/>
            </w:tcMar>
          </w:tcPr>
          <w:p>
            <w:pPr>
              <w:spacing w:after="0" w:before="0" w:line="260"/>
            </w:pPr>
            <w:r>
              <w:rPr>
                <w:rFonts w:ascii="Calibri" w:cs="Calibri" w:eastAsia="Calibri" w:hAnsi="Calibri"/>
                <w:b/>
                <w:bCs/>
                <w:color w:val="FFFFFF"/>
                <w:sz w:val="19"/>
                <w:szCs w:val="19"/>
              </w:rPr>
              <w:t xml:space="preserve">Mode</w:t>
            </w:r>
          </w:p>
        </w:tc>
      </w:tr>
      <w:tr>
        <w:tc>
          <w:tcPr>
            <w:tcW w:type="dxa" w:w="6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Named-entity query with structured category requests</w:t>
            </w:r>
          </w:p>
        </w:tc>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Recall</w:t>
            </w:r>
          </w:p>
        </w:tc>
      </w:tr>
      <w:tr>
        <w:tc>
          <w:tcPr>
            <w:tcW w:type="dxa" w:w="6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Cold-start tenant with no HSL coverage</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Live</w:t>
            </w:r>
          </w:p>
        </w:tc>
      </w:tr>
      <w:tr>
        <w:tc>
          <w:tcPr>
            <w:tcW w:type="dxa" w:w="6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Free-text exploratory queries</w:t>
            </w:r>
          </w:p>
        </w:tc>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Live</w:t>
            </w:r>
          </w:p>
        </w:tc>
      </w:tr>
      <w:tr>
        <w:tc>
          <w:tcPr>
            <w:tcW w:type="dxa" w:w="6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Schema discovery ("what fields exist?")</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Broad</w:t>
            </w:r>
          </w:p>
        </w:tc>
      </w:tr>
      <w:tr>
        <w:tc>
          <w:tcPr>
            <w:tcW w:type="dxa" w:w="60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RAG-without-Information-Physics baseline</w:t>
            </w:r>
          </w:p>
        </w:tc>
        <w:tc>
          <w:tcPr>
            <w:tcW w:type="dxa" w:w="3600"/>
            <w:tcBorders>
              <w:top w:val="single" w:color="CBD5E1" w:sz="4"/>
              <w:left w:val="single" w:color="CBD5E1" w:sz="4"/>
              <w:bottom w:val="single" w:color="CBD5E1" w:sz="4"/>
              <w:right w:val="single" w:color="CBD5E1" w:sz="4"/>
            </w:tcBorders>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Raw</w:t>
            </w:r>
          </w:p>
        </w:tc>
      </w:tr>
      <w:tr>
        <w:tc>
          <w:tcPr>
            <w:tcW w:type="dxa" w:w="60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Production at scale (1M+ AIOs)</w:t>
            </w:r>
          </w:p>
        </w:tc>
        <w:tc>
          <w:tcPr>
            <w:tcW w:type="dxa" w:w="3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spacing w:after="0" w:before="0" w:line="260"/>
            </w:pPr>
            <w:r>
              <w:rPr>
                <w:rFonts w:ascii="Calibri" w:cs="Calibri" w:eastAsia="Calibri" w:hAnsi="Calibri"/>
                <w:b w:val="false"/>
                <w:bCs w:val="false"/>
                <w:color w:val="0F172A"/>
                <w:sz w:val="19"/>
                <w:szCs w:val="19"/>
              </w:rPr>
              <w:t xml:space="preserve">Recall</w:t>
            </w:r>
          </w:p>
        </w:tc>
      </w:tr>
    </w:tbl>
    <w:p>
      <w:pPr>
        <w:pStyle w:val="Heading1"/>
        <w:pBdr>
          <w:bottom w:val="single" w:color="1F3864" w:sz="6" w:space="4"/>
        </w:pBdr>
        <w:spacing w:after="160" w:before="360" w:line="320"/>
      </w:pPr>
      <w:r>
        <w:rPr>
          <w:rFonts w:ascii="Calibri" w:cs="Calibri" w:eastAsia="Calibri" w:hAnsi="Calibri"/>
          <w:b/>
          <w:bCs/>
          <w:color w:val="1F3864"/>
          <w:sz w:val="28"/>
          <w:szCs w:val="28"/>
        </w:rPr>
        <w:t xml:space="preserve">7.  Conclusion</w:t>
      </w:r>
    </w:p>
    <w:p>
      <w:pPr>
        <w:spacing w:after="60" w:before="60" w:line="280"/>
        <w:jc w:val="left"/>
      </w:pPr>
      <w:r>
        <w:rPr>
          <w:rFonts w:ascii="Calibri" w:cs="Calibri" w:eastAsia="Calibri" w:hAnsi="Calibri"/>
          <w:b w:val="false"/>
          <w:bCs w:val="false"/>
          <w:i w:val="false"/>
          <w:iCs w:val="false"/>
          <w:caps w:val="false"/>
          <w:color w:val="0F172A"/>
          <w:sz w:val="21"/>
          <w:szCs w:val="21"/>
        </w:rPr>
        <w:t xml:space="preserve">Token spread between Recall and Broad on this query is 38.6×. Multiplied by 100,000 queries per month and Anthropic list prices, that's the difference between a $2,700 monthly bill and a $23,600 monthly bill for structurally equivalent answers — a quantitative justification for the Information Physics retrieval model.</w:t>
      </w:r>
    </w:p>
    <w:p>
      <w:pPr>
        <w:pBdr>
          <w:top w:val="single" w:color="CBD5E1" w:sz="6" w:space="4"/>
        </w:pBdr>
        <w:spacing w:after="80" w:before="320"/>
      </w:pPr>
      <w:r>
        <w:t xml:space="preserve"/>
      </w:r>
    </w:p>
    <w:p>
      <w:pPr>
        <w:spacing w:after="40" w:before="60" w:line="280"/>
        <w:jc w:val="center"/>
      </w:pPr>
      <w:r>
        <w:rPr>
          <w:rFonts w:ascii="Calibri" w:cs="Calibri" w:eastAsia="Calibri" w:hAnsi="Calibri"/>
          <w:b w:val="false"/>
          <w:bCs w:val="false"/>
          <w:i/>
          <w:iCs/>
          <w:caps w:val="false"/>
          <w:color w:val="94A3B8"/>
          <w:sz w:val="16"/>
          <w:szCs w:val="16"/>
        </w:rPr>
        <w:t xml:space="preserve">Prepared by InformationPhysics.ai, LLC.  Confidential — subject to the Transaction-Grade One-Way NDA on file.</w:t>
      </w:r>
    </w:p>
    <w:p>
      <w:pPr>
        <w:spacing w:after="0" w:before="60" w:line="280"/>
        <w:jc w:val="center"/>
      </w:pPr>
      <w:r>
        <w:rPr>
          <w:rFonts w:ascii="Calibri" w:cs="Calibri" w:eastAsia="Calibri" w:hAnsi="Calibri"/>
          <w:b w:val="false"/>
          <w:bCs w:val="false"/>
          <w:i/>
          <w:iCs/>
          <w:caps w:val="false"/>
          <w:color w:val="94A3B8"/>
          <w:sz w:val="16"/>
          <w:szCs w:val="16"/>
        </w:rPr>
        <w:t xml:space="preserve">© 2026 InformationPhysics.ai, LLC. All rights reserved.</w:t>
      </w:r>
    </w:p>
    <w:sectPr>
      <w:headerReference w:type="default" r:id="rId7"/>
      <w:footerReference w:type="default" r:id="rId8"/>
      <w:pgSz w:w="12240" w:h="15840" w:orient="portrait"/>
      <w:pgMar w:top="1180" w:right="1320" w:bottom="1180" w:left="1320" w:header="720" w:footer="72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1"/>
      </w:pBdr>
      <w:tabs>
        <w:tab w:val="right" w:pos="9600"/>
      </w:tabs>
      <w:spacing w:after="0" w:before="0"/>
    </w:pPr>
    <w:r>
      <w:rPr>
        <w:rFonts w:ascii="Calibri" w:cs="Calibri" w:eastAsia="Calibri" w:hAnsi="Calibri"/>
        <w:color w:val="94A3B8"/>
        <w:sz w:val="16"/>
        <w:szCs w:val="16"/>
      </w:rPr>
      <w:t xml:space="preserve">InformationPhysics.ai, LLC  ·  V4.5</w:t>
    </w:r>
    <w:r>
      <w:rPr>
        <w:sz w:val="16"/>
        <w:szCs w:val="16"/>
      </w:rPr>
      <w:t xml:space="preserve">	</w:t>
    </w:r>
    <w:r>
      <w:rPr>
        <w:rFonts w:ascii="Calibri" w:cs="Calibri" w:eastAsia="Calibri" w:hAnsi="Calibri"/>
        <w:color w:val="94A3B8"/>
        <w:sz w:val="16"/>
        <w:szCs w:val="16"/>
      </w:rPr>
      <w:t xml:space="preserve">Page </w:t>
    </w:r>
    <w:r>
      <w:rPr>
        <w:rFonts w:ascii="Calibri" w:cs="Calibri" w:eastAsia="Calibri" w:hAnsi="Calibri"/>
        <w:color w:val="94A3B8"/>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of </w:t>
    </w:r>
    <w:r>
      <w:rPr>
        <w:rFonts w:ascii="Calibri" w:cs="Calibri" w:eastAsia="Calibri" w:hAnsi="Calibri"/>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1"/>
      </w:pBdr>
      <w:tabs>
        <w:tab w:val="right" w:pos="9600"/>
      </w:tabs>
      <w:spacing w:after="0" w:before="0"/>
    </w:pPr>
    <w:r>
      <w:rPr>
        <w:rFonts w:ascii="Calibri" w:cs="Calibri" w:eastAsia="Calibri" w:hAnsi="Calibri"/>
        <w:b/>
        <w:bCs/>
        <w:color w:val="1F3864"/>
        <w:sz w:val="17"/>
        <w:szCs w:val="17"/>
      </w:rPr>
      <w:t xml:space="preserve">InformationPhysics.ai</w:t>
    </w:r>
    <w:r>
      <w:rPr>
        <w:color w:val="94A3B8"/>
        <w:sz w:val="17"/>
        <w:szCs w:val="17"/>
      </w:rPr>
      <w:t xml:space="preserve">  ·  </w:t>
    </w:r>
    <w:r>
      <w:rPr>
        <w:rFonts w:ascii="Calibri" w:cs="Calibri" w:eastAsia="Calibri" w:hAnsi="Calibri"/>
        <w:i/>
        <w:iCs/>
        <w:color w:val="475569"/>
        <w:sz w:val="17"/>
        <w:szCs w:val="17"/>
      </w:rPr>
      <w:t xml:space="preserve">Four-Mode Comparison — Measured Report</w:t>
    </w:r>
    <w:r>
      <w:rPr>
        <w:sz w:val="17"/>
        <w:szCs w:val="17"/>
      </w:rPr>
      <w:t xml:space="preserve">	</w:t>
    </w:r>
    <w:r>
      <w:rPr>
        <w:rFonts w:ascii="Calibri" w:cs="Calibri" w:eastAsia="Calibri" w:hAnsi="Calibri"/>
        <w:b/>
        <w:bCs/>
        <w:color w:val="BE123C"/>
        <w:sz w:val="17"/>
        <w:szCs w:val="17"/>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line="3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40" w:line="300"/>
      <w:outlineLvl w:val="1"/>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Four-Mode Comparison — Measured Report</dc:title>
  <dc:creator>Information Physics — ChatAIO Engineering</dc:creator>
  <dc:description>Four-Mode Comparison — Measured Report — V4.5</dc:description>
  <cp:lastModifiedBy>Un-named</cp:lastModifiedBy>
  <cp:revision>1</cp:revision>
  <dcterms:created xsi:type="dcterms:W3CDTF">2026-05-01T14:53:41.153Z</dcterms:created>
  <dcterms:modified xsi:type="dcterms:W3CDTF">2026-05-01T14:53:41.153Z</dcterms:modified>
</cp:coreProperties>
</file>

<file path=docProps/custom.xml><?xml version="1.0" encoding="utf-8"?>
<Properties xmlns="http://schemas.openxmlformats.org/officeDocument/2006/custom-properties" xmlns:vt="http://schemas.openxmlformats.org/officeDocument/2006/docPropsVTypes"/>
</file>