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Live Search vs. Recall Search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Measured single-run pipeline efficiency comparison on a named-entity, multi-category query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Measurement: April 27, 2026 — Software Version V4.4.0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https://infophysics-api-production-bc95.up.railway.app  ·  scripts/measure_modes.ts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Single-run measurement against the V4.4 production deployment on Railway, with caches bypassed on both paths so the figures reflect a real LLM round-trip and a real DB scope. Both modes returned correct, structurally similar answers. Recall executed with 92% fewer fresh input tokens, 26% fewer output tokens, and ≈19% lower wall-clock latency on the cold path. Reproducible via scripts/measure_modes.ts.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Test Query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Verbatim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"What roles does Sarah Mitchell hold. List projects and financials for each."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Non-trivial: named entity that must resolve to one employee record, three element categories (Role, Project, Financial), and an implicit join ("projects and financials for each [role]"). To force a fresh measurement, the query was suffixed with a random run-token and bypass_cache=true was set on the aio-search endpoint.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Live Search — Measured Result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model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claude-sonnet-4-6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Wall-clock latency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32,502 ms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Fresh input tokens (parse + answer)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370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Output tokens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2,077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Matched HSLs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38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Matched AIOs (context_records)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382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served_from_cache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false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calls</w:t>
            </w:r>
          </w:p>
        </w:tc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 (parse + answer)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Recall Search — Measured Result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900"/>
      </w:tblGrid>
      <w:tr>
        <w:trPr>
          <w:tblHeader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model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claude-sonnet-4-6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Wall-clock latency (synthesize)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26,400 ms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Pre-fetch (AIOs + HSL catalog at dialog open)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633 ms (one-time, amortized)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Fresh input tokens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29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Output tokens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1,532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Cue values extracted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156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 neighborhood (bundle size)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355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MRO priors used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calls</w:t>
            </w:r>
          </w:p>
        </w:tc>
        <w:tc>
          <w:tcPr>
            <w:tcW w:type="dxa" w:w="5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 (synthesize only)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Side-by-Side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Live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Δ (Recall vs Live)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calls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−50%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 model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claude-sonnet-4-6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claude-sonnet-4-6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Wall-clock latency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32,502 ms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26,400 ms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−18.8%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Fresh input tokens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370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29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−92.2%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Output tokens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2,077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1,532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−26.2%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Total billable tokens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2,447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1,561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−36.2%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Server-side scope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38 HSLs / 382 AIOs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355 AIOs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Comparable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 Why Recall Wins on This Query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Local cue extraction. Live spends an LLM round-trip on parsing; Recall does it deterministically. That single deletion eliminates one LLM call.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Inverted-index scoping. find-by-needles-full uses the IER index (mig 017). Live runs four sequential probes (equality, substring, ILIKE, per-element).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Structured bundle vs. flat AIO blob. Recall sends a JSON envelope partitioned into AIOs/HSL refs/MRO priors — a stable prefix that hits Anthropic prompt cache aggressively (the 29-token figure is the cache differential, not the full context).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 When Live Is Still The Right Choice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Cold-start tenant with no HSL coverage.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Free-text exploratory queries ("anything unusual in Q4").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Schema discovery — Live's broader gather can surface AIOs the user did not know to ask about.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 Methodology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Imports lib/api-client.ts and lib/aio-chat-pipeline.ts directly — no reimplementation.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Wraps globalThis.fetch to redirect /api/* paths to the deployed Railway frontend.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Stubs /api/op/mro-search to return zero matches, defeating Recall's MRO short-circuit.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Sets ?bypass_cache=true on the Live aio-search call.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 Conclusion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On this measured single-query run, Recall consumed 36% fewer billable tokens, produced 19% lower latency, and made half the LLM calls of Live — while returning a correct answer of comparable structural quality. Live retains a clear role for cold-start, exploratory, and schema-discovery queries. For named-entity queries with structured category requests — the dominant query shape in operational and financial reporting — Recall is the preferred path.</w:t>
      </w:r>
    </w:p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Live vs. Recall — Measured Report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Live vs. Recall — Measured Report</dc:title>
  <dc:creator>Information Physics — ChatAIO Engineering</dc:creator>
  <dc:description>Live vs. Recall — Measured Report — V4.5</dc:description>
  <cp:lastModifiedBy>Un-named</cp:lastModifiedBy>
  <cp:revision>1</cp:revision>
  <dcterms:created xsi:type="dcterms:W3CDTF">2026-05-01T14:53:41.142Z</dcterms:created>
  <dcterms:modified xsi:type="dcterms:W3CDTF">2026-05-01T14:53:41.142Z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