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tcBorders>
              <w:top w:val="single" w:color="E11D48" w:sz="18"/>
              <w:left w:val="single" w:color="E11D48" w:sz="18"/>
              <w:bottom w:val="single" w:color="E11D48" w:sz="18"/>
              <w:right w:val="single" w:color="E11D48" w:sz="18"/>
            </w:tcBorders>
            <w:shd w:fill="FFF1F2" w:val="clear"/>
            <w:tcMar>
              <w:top w:type="dxa" w:w="160"/>
              <w:left w:type="dxa" w:w="240"/>
              <w:bottom w:type="dxa" w:w="160"/>
              <w:right w:type="dxa" w:w="240"/>
            </w:tcMar>
          </w:tcPr>
          <w:p>
            <w:pPr>
              <w:spacing w:after="80" w:before="0"/>
            </w:pPr>
            <w:r>
              <w:rPr>
                <w:rFonts w:ascii="Calibri" w:cs="Calibri" w:eastAsia="Calibri" w:hAnsi="Calibri"/>
                <w:b/>
                <w:bCs/>
                <w:color w:val="BE123C"/>
                <w:sz w:val="22"/>
                <w:szCs w:val="22"/>
              </w:rPr>
              <w:t xml:space="preserve">⚠  CONFIDENTIAL — TRADE SECRET</w:t>
            </w:r>
          </w:p>
          <w:p>
            <w:pPr>
              <w:spacing w:after="0" w:before="0" w:line="280"/>
            </w:pPr>
            <w:r>
              <w:rPr>
                <w:rFonts w:ascii="Calibri" w:cs="Calibri" w:eastAsia="Calibri" w:hAnsi="Calibri"/>
                <w:color w:val="BE123C"/>
                <w:sz w:val="20"/>
                <w:szCs w:val="20"/>
              </w:rPr>
              <w:t xml:space="preserve">This document describes the internal logic, data structures, and operational behavior of a proprietary subsystem of the Information Physics Demo System. It contains confidential information and trade secrets of InformationPhysics.ai, LLC, including algorithmic detail not present in public-facing materials. Subject to the Transaction-Grade One-Way Non-Disclosure Agreement on file. Unauthorized use, disclosure, or reproduction is strictly prohibited and may result in civil and criminal liability.</w:t>
            </w:r>
          </w:p>
        </w:tc>
      </w:tr>
    </w:tbl>
    <w:p>
      <w:pPr>
        <w:spacing w:after="60" w:before="60" w:line="280"/>
        <w:jc w:val="left"/>
      </w:pPr>
      <w:r>
        <w:rPr>
          <w:rFonts w:ascii="Calibri" w:cs="Calibri" w:eastAsia="Calibri" w:hAnsi="Calibri"/>
          <w:b w:val="false"/>
          <w:bCs w:val="false"/>
          <w:i w:val="false"/>
          <w:iCs w:val="false"/>
          <w:caps w:val="false"/>
          <w:color w:val="0F172A"/>
          <w:sz w:val="21"/>
          <w:szCs w:val="21"/>
        </w:rPr>
        <w:t xml:space="preserve"/>
      </w:r>
    </w:p>
    <w:p>
      <w:pPr>
        <w:spacing w:after="60" w:before="60" w:line="280"/>
        <w:jc w:val="left"/>
      </w:pPr>
      <w:r>
        <w:rPr>
          <w:rFonts w:ascii="Calibri" w:cs="Calibri" w:eastAsia="Calibri" w:hAnsi="Calibri"/>
          <w:b w:val="false"/>
          <w:bCs w:val="false"/>
          <w:i w:val="false"/>
          <w:iCs w:val="false"/>
          <w:caps w:val="false"/>
          <w:color w:val="0F172A"/>
          <w:sz w:val="21"/>
          <w:szCs w:val="21"/>
        </w:rPr>
        <w:t xml:space="preserve"/>
      </w:r>
    </w:p>
    <w:p>
      <w:pPr>
        <w:spacing w:after="160" w:before="60" w:line="280"/>
        <w:jc w:val="center"/>
      </w:pPr>
      <w:r>
        <w:rPr>
          <w:rFonts w:ascii="Calibri" w:cs="Calibri" w:eastAsia="Calibri" w:hAnsi="Calibri"/>
          <w:b w:val="false"/>
          <w:bCs w:val="false"/>
          <w:i w:val="false"/>
          <w:iCs w:val="false"/>
          <w:caps/>
          <w:color w:val="94A3B8"/>
          <w:sz w:val="17"/>
          <w:szCs w:val="17"/>
        </w:rPr>
        <w:t xml:space="preserve">Engineering Reference — Internal / NDA-Restricted</w:t>
      </w:r>
    </w:p>
    <w:p>
      <w:pPr>
        <w:spacing w:after="80" w:before="60" w:line="280"/>
        <w:jc w:val="center"/>
      </w:pPr>
      <w:r>
        <w:rPr>
          <w:rFonts w:ascii="Calibri" w:cs="Calibri" w:eastAsia="Calibri" w:hAnsi="Calibri"/>
          <w:b/>
          <w:bCs/>
          <w:i w:val="false"/>
          <w:iCs w:val="false"/>
          <w:caps w:val="false"/>
          <w:color w:val="0F172A"/>
          <w:sz w:val="36"/>
          <w:szCs w:val="36"/>
        </w:rPr>
        <w:t xml:space="preserve">Recall Search — End-to-End Trace</w:t>
      </w:r>
    </w:p>
    <w:p>
      <w:pPr>
        <w:spacing w:after="200" w:before="60" w:line="280"/>
        <w:jc w:val="center"/>
      </w:pPr>
      <w:r>
        <w:rPr>
          <w:rFonts w:ascii="Calibri" w:cs="Calibri" w:eastAsia="Calibri" w:hAnsi="Calibri"/>
          <w:b w:val="false"/>
          <w:bCs w:val="false"/>
          <w:i/>
          <w:iCs/>
          <w:caps w:val="false"/>
          <w:color w:val="475569"/>
          <w:sz w:val="22"/>
          <w:szCs w:val="22"/>
        </w:rPr>
        <w:t xml:space="preserve">James Okafor query · every MRO probe · every cue · every HSL · every AIO sent to the LLM</w:t>
      </w:r>
    </w:p>
    <w:p>
      <w:pPr>
        <w:spacing w:after="40" w:before="60" w:line="280"/>
        <w:jc w:val="center"/>
      </w:pPr>
      <w:r>
        <w:rPr>
          <w:rFonts w:ascii="Calibri" w:cs="Calibri" w:eastAsia="Calibri" w:hAnsi="Calibri"/>
          <w:b/>
          <w:bCs/>
          <w:i w:val="false"/>
          <w:iCs w:val="false"/>
          <w:caps w:val="false"/>
          <w:color w:val="0F172A"/>
          <w:sz w:val="22"/>
          <w:szCs w:val="22"/>
        </w:rPr>
        <w:t xml:space="preserve">Michael Simon Bodner, Ph.D.</w:t>
      </w:r>
    </w:p>
    <w:p>
      <w:pPr>
        <w:spacing w:after="40" w:before="60" w:line="280"/>
        <w:jc w:val="center"/>
      </w:pPr>
      <w:r>
        <w:rPr>
          <w:rFonts w:ascii="Calibri" w:cs="Calibri" w:eastAsia="Calibri" w:hAnsi="Calibri"/>
          <w:b w:val="false"/>
          <w:bCs w:val="false"/>
          <w:i w:val="false"/>
          <w:iCs w:val="false"/>
          <w:caps w:val="false"/>
          <w:color w:val="0F3460"/>
          <w:sz w:val="18"/>
          <w:szCs w:val="18"/>
        </w:rPr>
        <w:t xml:space="preserve">Founder &amp; Chief Scientist, InformationPhysics.ai</w:t>
      </w:r>
    </w:p>
    <w:p>
      <w:pPr>
        <w:spacing w:after="40" w:before="60" w:line="280"/>
        <w:jc w:val="center"/>
      </w:pPr>
      <w:r>
        <w:rPr>
          <w:rFonts w:ascii="Calibri" w:cs="Calibri" w:eastAsia="Calibri" w:hAnsi="Calibri"/>
          <w:b w:val="false"/>
          <w:bCs w:val="false"/>
          <w:i w:val="false"/>
          <w:iCs w:val="false"/>
          <w:caps w:val="false"/>
          <w:color w:val="475569"/>
          <w:sz w:val="18"/>
          <w:szCs w:val="18"/>
        </w:rPr>
        <w:t xml:space="preserve">Run: 2026-04-27T18:56:46.811Z — Software Version V4.4.0</w:t>
      </w:r>
    </w:p>
    <w:p>
      <w:pPr>
        <w:spacing w:after="40" w:before="60" w:line="280"/>
        <w:jc w:val="center"/>
      </w:pPr>
      <w:r>
        <w:rPr>
          <w:rFonts w:ascii="Consolas" w:cs="Consolas" w:eastAsia="Consolas" w:hAnsi="Consolas"/>
          <w:b w:val="false"/>
          <w:bCs w:val="false"/>
          <w:i w:val="false"/>
          <w:iCs w:val="false"/>
          <w:caps w:val="false"/>
          <w:color w:val="475569"/>
          <w:sz w:val="16"/>
          <w:szCs w:val="16"/>
        </w:rPr>
        <w:t xml:space="preserve">https://informationphysicsdemo.up.railway.app  ·  scripts/trace_recall.ts</w:t>
      </w:r>
    </w:p>
    <w:p>
      <w:pPr>
        <w:spacing w:after="240" w:before="60" w:line="280"/>
        <w:jc w:val="center"/>
      </w:pPr>
      <w:r>
        <w:rPr>
          <w:rFonts w:ascii="Calibri" w:cs="Calibri" w:eastAsia="Calibri" w:hAnsi="Calibri"/>
          <w:b w:val="false"/>
          <w:bCs w:val="false"/>
          <w:i w:val="false"/>
          <w:iCs w:val="false"/>
          <w:caps w:val="false"/>
          <w:color w:val="94A3B8"/>
          <w:sz w:val="16"/>
          <w:szCs w:val="16"/>
        </w:rPr>
        <w:t xml:space="preserve">© 2026 InformationPhysics.ai, LLC. All rights reserved.</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tcBorders>
              <w:top w:val="single" w:color="CBD5E1" w:sz="4"/>
              <w:left w:val="single" w:color="CBD5E1" w:sz="4"/>
              <w:bottom w:val="single" w:color="CBD5E1" w:sz="4"/>
              <w:right w:val="single" w:color="CBD5E1" w:sz="4"/>
            </w:tcBorders>
            <w:tcMar>
              <w:top w:type="dxa" w:w="200"/>
              <w:left w:type="dxa" w:w="240"/>
              <w:bottom w:type="dxa" w:w="200"/>
              <w:right w:type="dxa" w:w="240"/>
            </w:tcMar>
          </w:tcPr>
          <w:p>
            <w:pPr>
              <w:spacing w:after="120" w:before="0"/>
            </w:pPr>
            <w:r>
              <w:rPr>
                <w:rFonts w:ascii="Calibri" w:cs="Calibri" w:eastAsia="Calibri" w:hAnsi="Calibri"/>
                <w:b/>
                <w:bCs/>
                <w:color w:val="1F3864"/>
                <w:sz w:val="24"/>
                <w:szCs w:val="24"/>
              </w:rPr>
              <w:t xml:space="preserve">Abstract</w:t>
            </w:r>
          </w:p>
          <w:p>
            <w:pPr>
              <w:spacing w:after="0" w:before="0" w:line="300"/>
            </w:pPr>
            <w:r>
              <w:rPr>
                <w:rFonts w:ascii="Calibri" w:cs="Calibri" w:eastAsia="Calibri" w:hAnsi="Calibri"/>
                <w:color w:val="475569"/>
                <w:sz w:val="21"/>
                <w:szCs w:val="21"/>
              </w:rPr>
              <w:t xml:space="preserve">Single-query Recall Search trace against the V4.4 production deployment with the MRO short-circuit bypassed inside the pipeline. Documents every prior MRO scored, every cue extracted, every HSL probed, every AIO sent to the LLM, and the structure of the verbatim final reply. Useful as a reference example of what a real Recall query looks like at the substrate layer.</w:t>
            </w:r>
          </w:p>
        </w:tc>
      </w:tr>
    </w:tbl>
    <w:p>
      <w:pPr>
        <w:spacing w:after="60" w:before="60" w:line="280"/>
        <w:jc w:val="left"/>
      </w:pPr>
      <w:r>
        <w:rPr>
          <w:rFonts w:ascii="Calibri" w:cs="Calibri" w:eastAsia="Calibri" w:hAnsi="Calibri"/>
          <w:b w:val="false"/>
          <w:bCs w:val="false"/>
          <w:i w:val="false"/>
          <w:iCs w:val="false"/>
          <w:caps w:val="false"/>
          <w:color w:val="0F172A"/>
          <w:sz w:val="21"/>
          <w:szCs w:val="21"/>
        </w:rPr>
        <w:t xml:space="preserve"/>
      </w:r>
    </w:p>
    <w:p>
      <w:pPr>
        <w:pStyle w:val="Heading1"/>
        <w:pBdr>
          <w:bottom w:val="single" w:color="1F3864" w:sz="6" w:space="4"/>
        </w:pBdr>
        <w:spacing w:after="160" w:before="360" w:line="320"/>
      </w:pPr>
      <w:r>
        <w:rPr>
          <w:rFonts w:ascii="Calibri" w:cs="Calibri" w:eastAsia="Calibri" w:hAnsi="Calibri"/>
          <w:b/>
          <w:bCs/>
          <w:color w:val="1F3864"/>
          <w:sz w:val="28"/>
          <w:szCs w:val="28"/>
        </w:rPr>
        <w:t xml:space="preserve">1.  Query and Setup</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tcBorders>
              <w:top w:val="nil" w:color="FFFFFF" w:sz="1"/>
              <w:left w:val="single" w:color="FB7185" w:sz="18"/>
              <w:bottom w:val="nil" w:color="FFFFFF" w:sz="1"/>
              <w:right w:val="nil" w:color="FFFFFF" w:sz="1"/>
            </w:tcBorders>
            <w:tcMar>
              <w:top w:type="dxa" w:w="80"/>
              <w:left w:type="dxa" w:w="240"/>
              <w:bottom w:type="dxa" w:w="120"/>
              <w:right w:type="dxa" w:w="100"/>
            </w:tcMar>
          </w:tcPr>
          <w:p>
            <w:pPr>
              <w:spacing w:after="80" w:before="0" w:line="280"/>
            </w:pPr>
            <w:r>
              <w:rPr>
                <w:rFonts w:ascii="Calibri" w:cs="Calibri" w:eastAsia="Calibri" w:hAnsi="Calibri"/>
                <w:b/>
                <w:bCs/>
                <w:color w:val="0F172A"/>
                <w:sz w:val="22"/>
                <w:szCs w:val="22"/>
              </w:rPr>
              <w:t xml:space="preserve">Verbatim query</w:t>
            </w:r>
          </w:p>
          <w:p>
            <w:pPr>
              <w:spacing w:after="60" w:before="60" w:line="280"/>
              <w:jc w:val="left"/>
            </w:pPr>
            <w:r>
              <w:rPr>
                <w:rFonts w:ascii="Calibri" w:cs="Calibri" w:eastAsia="Calibri" w:hAnsi="Calibri"/>
                <w:b w:val="false"/>
                <w:bCs w:val="false"/>
                <w:i w:val="false"/>
                <w:iCs w:val="false"/>
                <w:caps w:val="false"/>
                <w:color w:val="0F172A"/>
                <w:sz w:val="21"/>
                <w:szCs w:val="21"/>
              </w:rPr>
              <w:t xml:space="preserve">"What roles does James Okafor hold. List projects and financials for each. (run 51jdn4)"</w:t>
            </w:r>
          </w:p>
          <w:p>
            <w:pPr>
              <w:spacing w:after="60" w:before="60" w:line="280"/>
              <w:jc w:val="left"/>
            </w:pPr>
            <w:r>
              <w:rPr>
                <w:rFonts w:ascii="Calibri" w:cs="Calibri" w:eastAsia="Calibri" w:hAnsi="Calibri"/>
                <w:b w:val="false"/>
                <w:bCs w:val="false"/>
                <w:i w:val="false"/>
                <w:iCs w:val="false"/>
                <w:caps w:val="false"/>
                <w:color w:val="0F172A"/>
                <w:sz w:val="21"/>
                <w:szCs w:val="21"/>
              </w:rPr>
              <w:t xml:space="preserve">In production, this query would short-circuit at MRO score 0.889 (well above the 0.85 threshold) and skip both the LLM call and the AIO neighborhood entirely. For this trace the short-circuit is bypassed so we can observe the full HSL/AIO traversal.</w:t>
            </w:r>
          </w:p>
        </w:tc>
      </w:tr>
    </w:tbl>
    <w:p>
      <w:pPr>
        <w:spacing w:after="60" w:before="60" w:line="280"/>
        <w:jc w:val="left"/>
      </w:pPr>
      <w:r>
        <w:rPr>
          <w:rFonts w:ascii="Calibri" w:cs="Calibri" w:eastAsia="Calibri" w:hAnsi="Calibri"/>
          <w:b w:val="false"/>
          <w:bCs w:val="false"/>
          <w:i w:val="false"/>
          <w:iCs w:val="false"/>
          <w:caps w:val="false"/>
          <w:color w:val="0F172A"/>
          <w:sz w:val="21"/>
          <w:szCs w:val="21"/>
        </w:rPr>
        <w:t xml:space="preserve"/>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7200"/>
      </w:tblGrid>
      <w:tr>
        <w:trPr>
          <w:tblHeader/>
        </w:trPr>
        <w:tc>
          <w:tcPr>
            <w:tcW w:type="dxa" w:w="240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Field</w:t>
            </w:r>
          </w:p>
        </w:tc>
        <w:tc>
          <w:tcPr>
            <w:tcW w:type="dxa" w:w="720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Value</w:t>
            </w:r>
          </w:p>
        </w:tc>
      </w:tr>
      <w:tr>
        <w:tc>
          <w:tcPr>
            <w:tcW w:type="dxa" w:w="24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Frontend</w:t>
            </w:r>
          </w:p>
        </w:tc>
        <w:tc>
          <w:tcPr>
            <w:tcW w:type="dxa" w:w="72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https://informationphysicsdemo.up.railway.app</w:t>
            </w:r>
          </w:p>
        </w:tc>
      </w:tr>
      <w:tr>
        <w:tc>
          <w:tcPr>
            <w:tcW w:type="dxa" w:w="24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Tenant</w:t>
            </w:r>
          </w:p>
        </w:tc>
        <w:tc>
          <w:tcPr>
            <w:tcW w:type="dxa" w:w="72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tenantA</w:t>
            </w:r>
          </w:p>
        </w:tc>
      </w:tr>
      <w:tr>
        <w:tc>
          <w:tcPr>
            <w:tcW w:type="dxa" w:w="24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Timestamp</w:t>
            </w:r>
          </w:p>
        </w:tc>
        <w:tc>
          <w:tcPr>
            <w:tcW w:type="dxa" w:w="72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2026-04-27T18:56:46.811Z</w:t>
            </w:r>
          </w:p>
        </w:tc>
      </w:tr>
      <w:tr>
        <w:tc>
          <w:tcPr>
            <w:tcW w:type="dxa" w:w="24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Total time</w:t>
            </w:r>
          </w:p>
        </w:tc>
        <w:tc>
          <w:tcPr>
            <w:tcW w:type="dxa" w:w="72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89,378 ms</w:t>
            </w:r>
          </w:p>
        </w:tc>
      </w:tr>
      <w:tr>
        <w:tc>
          <w:tcPr>
            <w:tcW w:type="dxa" w:w="24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Prefetch</w:t>
            </w:r>
          </w:p>
        </w:tc>
        <w:tc>
          <w:tcPr>
            <w:tcW w:type="dxa" w:w="72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648 ms</w:t>
            </w:r>
          </w:p>
        </w:tc>
      </w:tr>
      <w:tr>
        <w:tc>
          <w:tcPr>
            <w:tcW w:type="dxa" w:w="24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Pipeline</w:t>
            </w:r>
          </w:p>
        </w:tc>
        <w:tc>
          <w:tcPr>
            <w:tcW w:type="dxa" w:w="72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14,125 ms</w:t>
            </w:r>
          </w:p>
        </w:tc>
      </w:tr>
      <w:tr>
        <w:tc>
          <w:tcPr>
            <w:tcW w:type="dxa" w:w="24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Corpus AIOs</w:t>
            </w:r>
          </w:p>
        </w:tc>
        <w:tc>
          <w:tcPr>
            <w:tcW w:type="dxa" w:w="72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589</w:t>
            </w:r>
          </w:p>
        </w:tc>
      </w:tr>
      <w:tr>
        <w:tc>
          <w:tcPr>
            <w:tcW w:type="dxa" w:w="24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HSL key-value pairs</w:t>
            </w:r>
          </w:p>
        </w:tc>
        <w:tc>
          <w:tcPr>
            <w:tcW w:type="dxa" w:w="72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1,208</w:t>
            </w:r>
          </w:p>
        </w:tc>
      </w:tr>
      <w:tr>
        <w:tc>
          <w:tcPr>
            <w:tcW w:type="dxa" w:w="24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Model</w:t>
            </w:r>
          </w:p>
        </w:tc>
        <w:tc>
          <w:tcPr>
            <w:tcW w:type="dxa" w:w="72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claude-haiku-4-5</w:t>
            </w:r>
          </w:p>
        </w:tc>
      </w:tr>
    </w:tbl>
    <w:p>
      <w:pPr>
        <w:pStyle w:val="Heading1"/>
        <w:pBdr>
          <w:bottom w:val="single" w:color="1F3864" w:sz="6" w:space="4"/>
        </w:pBdr>
        <w:spacing w:after="160" w:before="360" w:line="320"/>
      </w:pPr>
      <w:r>
        <w:rPr>
          <w:rFonts w:ascii="Calibri" w:cs="Calibri" w:eastAsia="Calibri" w:hAnsi="Calibri"/>
          <w:b/>
          <w:bCs/>
          <w:color w:val="1F3864"/>
          <w:sz w:val="28"/>
          <w:szCs w:val="28"/>
        </w:rPr>
        <w:t xml:space="preserve">2.  MRO Layer — Memory Result Objects</w:t>
      </w:r>
    </w:p>
    <w:p>
      <w:pPr>
        <w:spacing w:after="60" w:before="60" w:line="280"/>
        <w:jc w:val="left"/>
      </w:pPr>
      <w:r>
        <w:rPr>
          <w:rFonts w:ascii="Calibri" w:cs="Calibri" w:eastAsia="Calibri" w:hAnsi="Calibri"/>
          <w:b w:val="false"/>
          <w:bCs w:val="false"/>
          <w:i w:val="false"/>
          <w:iCs w:val="false"/>
          <w:caps w:val="false"/>
          <w:color w:val="0F172A"/>
          <w:sz w:val="21"/>
          <w:szCs w:val="21"/>
        </w:rPr>
        <w:t xml:space="preserve">The pipeline first probes /v1/op/mro-search for prior episodes. Hits at score ≥ 0.85 short-circuit the LLM. Hits at ≥ 0.50 are hydrated as priors and injected into the substrate. Hits at ≥ 0.30 contribute their cue_set to the cue pool.</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tcBorders>
              <w:top w:val="nil" w:color="FFFFFF" w:sz="1"/>
              <w:left w:val="single" w:color="FB7185" w:sz="18"/>
              <w:bottom w:val="nil" w:color="FFFFFF" w:sz="1"/>
              <w:right w:val="nil" w:color="FFFFFF" w:sz="1"/>
            </w:tcBorders>
            <w:tcMar>
              <w:top w:type="dxa" w:w="80"/>
              <w:left w:type="dxa" w:w="240"/>
              <w:bottom w:type="dxa" w:w="120"/>
              <w:right w:type="dxa" w:w="100"/>
            </w:tcMar>
          </w:tcPr>
          <w:p>
            <w:pPr>
              <w:spacing w:after="80" w:before="0" w:line="280"/>
            </w:pPr>
            <w:r>
              <w:rPr>
                <w:rFonts w:ascii="Calibri" w:cs="Calibri" w:eastAsia="Calibri" w:hAnsi="Calibri"/>
                <w:b/>
                <w:bCs/>
                <w:color w:val="0F172A"/>
                <w:sz w:val="22"/>
                <w:szCs w:val="22"/>
              </w:rPr>
              <w:t xml:space="preserve">2.1  All MRO probe hits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800"/>
              <w:gridCol w:w="1700"/>
              <w:gridCol w:w="800"/>
              <w:gridCol w:w="800"/>
              <w:gridCol w:w="5500"/>
            </w:tblGrid>
            <w:tr>
              <w:trPr>
                <w:tblHeader/>
              </w:trPr>
              <w:tc>
                <w:tcPr>
                  <w:tcW w:type="dxa" w:w="80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Score</w:t>
                  </w:r>
                </w:p>
              </w:tc>
              <w:tc>
                <w:tcPr>
                  <w:tcW w:type="dxa" w:w="170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MRO ID</w:t>
                  </w:r>
                </w:p>
              </w:tc>
              <w:tc>
                <w:tcPr>
                  <w:tcW w:type="dxa" w:w="80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Trust</w:t>
                  </w:r>
                </w:p>
              </w:tc>
              <w:tc>
                <w:tcPr>
                  <w:tcW w:type="dxa" w:w="80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Conf.</w:t>
                  </w:r>
                </w:p>
              </w:tc>
              <w:tc>
                <w:tcPr>
                  <w:tcW w:type="dxa" w:w="550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Past query</w:t>
                  </w:r>
                </w:p>
              </w:tc>
            </w:tr>
            <w:tr>
              <w:tc>
                <w:tcPr>
                  <w:tcW w:type="dxa" w:w="8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0.621</w:t>
                  </w:r>
                </w:p>
              </w:tc>
              <w:tc>
                <w:tcPr>
                  <w:tcW w:type="dxa" w:w="17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d1ab0bd3…</w:t>
                  </w:r>
                </w:p>
              </w:tc>
              <w:tc>
                <w:tcPr>
                  <w:tcW w:type="dxa" w:w="8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6</w:t>
                  </w:r>
                </w:p>
              </w:tc>
              <w:tc>
                <w:tcPr>
                  <w:tcW w:type="dxa" w:w="8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0.75</w:t>
                  </w:r>
                </w:p>
              </w:tc>
              <w:tc>
                <w:tcPr>
                  <w:tcW w:type="dxa" w:w="55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What roles does Sarah Mitchell hold. List projects and financials for each.</w:t>
                  </w:r>
                </w:p>
              </w:tc>
            </w:tr>
            <w:tr>
              <w:tc>
                <w:tcPr>
                  <w:tcW w:type="dxa" w:w="8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0.621</w:t>
                  </w:r>
                </w:p>
              </w:tc>
              <w:tc>
                <w:tcPr>
                  <w:tcW w:type="dxa" w:w="17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a14a91d8…</w:t>
                  </w:r>
                </w:p>
              </w:tc>
              <w:tc>
                <w:tcPr>
                  <w:tcW w:type="dxa" w:w="8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0</w:t>
                  </w:r>
                </w:p>
              </w:tc>
              <w:tc>
                <w:tcPr>
                  <w:tcW w:type="dxa" w:w="8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0.75</w:t>
                  </w:r>
                </w:p>
              </w:tc>
              <w:tc>
                <w:tcPr>
                  <w:tcW w:type="dxa" w:w="55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What roles does Sarah Mitchell hold. List projects and financials for each.</w:t>
                  </w:r>
                </w:p>
              </w:tc>
            </w:tr>
            <w:tr>
              <w:tc>
                <w:tcPr>
                  <w:tcW w:type="dxa" w:w="8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0.621</w:t>
                  </w:r>
                </w:p>
              </w:tc>
              <w:tc>
                <w:tcPr>
                  <w:tcW w:type="dxa" w:w="17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25692369…</w:t>
                  </w:r>
                </w:p>
              </w:tc>
              <w:tc>
                <w:tcPr>
                  <w:tcW w:type="dxa" w:w="8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0</w:t>
                  </w:r>
                </w:p>
              </w:tc>
              <w:tc>
                <w:tcPr>
                  <w:tcW w:type="dxa" w:w="8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0.75</w:t>
                  </w:r>
                </w:p>
              </w:tc>
              <w:tc>
                <w:tcPr>
                  <w:tcW w:type="dxa" w:w="55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What roles does Sarah Mitchell hold. List projects and financials for each.</w:t>
                  </w:r>
                </w:p>
              </w:tc>
            </w:tr>
            <w:tr>
              <w:tc>
                <w:tcPr>
                  <w:tcW w:type="dxa" w:w="8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0.167</w:t>
                  </w:r>
                </w:p>
              </w:tc>
              <w:tc>
                <w:tcPr>
                  <w:tcW w:type="dxa" w:w="17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ff65a481…</w:t>
                  </w:r>
                </w:p>
              </w:tc>
              <w:tc>
                <w:tcPr>
                  <w:tcW w:type="dxa" w:w="8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2</w:t>
                  </w:r>
                </w:p>
              </w:tc>
              <w:tc>
                <w:tcPr>
                  <w:tcW w:type="dxa" w:w="8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derived</w:t>
                  </w:r>
                </w:p>
              </w:tc>
              <w:tc>
                <w:tcPr>
                  <w:tcW w:type="dxa" w:w="55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what roles does Sarah Mitchell have</w:t>
                  </w:r>
                </w:p>
              </w:tc>
            </w:tr>
            <w:tr>
              <w:tc>
                <w:tcPr>
                  <w:tcW w:type="dxa" w:w="8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0.167</w:t>
                  </w:r>
                </w:p>
              </w:tc>
              <w:tc>
                <w:tcPr>
                  <w:tcW w:type="dxa" w:w="17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a41d7317…</w:t>
                  </w:r>
                </w:p>
              </w:tc>
              <w:tc>
                <w:tcPr>
                  <w:tcW w:type="dxa" w:w="8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1</w:t>
                  </w:r>
                </w:p>
              </w:tc>
              <w:tc>
                <w:tcPr>
                  <w:tcW w:type="dxa" w:w="8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0.75</w:t>
                  </w:r>
                </w:p>
              </w:tc>
              <w:tc>
                <w:tcPr>
                  <w:tcW w:type="dxa" w:w="55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what roles does Sarah Mitchell have</w:t>
                  </w:r>
                </w:p>
              </w:tc>
            </w:tr>
            <w:tr>
              <w:tc>
                <w:tcPr>
                  <w:tcW w:type="dxa" w:w="8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0.167</w:t>
                  </w:r>
                </w:p>
              </w:tc>
              <w:tc>
                <w:tcPr>
                  <w:tcW w:type="dxa" w:w="17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35e0a953…</w:t>
                  </w:r>
                </w:p>
              </w:tc>
              <w:tc>
                <w:tcPr>
                  <w:tcW w:type="dxa" w:w="8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1</w:t>
                  </w:r>
                </w:p>
              </w:tc>
              <w:tc>
                <w:tcPr>
                  <w:tcW w:type="dxa" w:w="8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0.75</w:t>
                  </w:r>
                </w:p>
              </w:tc>
              <w:tc>
                <w:tcPr>
                  <w:tcW w:type="dxa" w:w="55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what roles does Sarah Mitchell have</w:t>
                  </w:r>
                </w:p>
              </w:tc>
            </w:tr>
          </w:tbl>
          <w:p/>
        </w:tc>
      </w:tr>
    </w:tbl>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tcBorders>
              <w:top w:val="nil" w:color="FFFFFF" w:sz="1"/>
              <w:left w:val="single" w:color="FB7185" w:sz="18"/>
              <w:bottom w:val="nil" w:color="FFFFFF" w:sz="1"/>
              <w:right w:val="nil" w:color="FFFFFF" w:sz="1"/>
            </w:tcBorders>
            <w:tcMar>
              <w:top w:type="dxa" w:w="80"/>
              <w:left w:type="dxa" w:w="240"/>
              <w:bottom w:type="dxa" w:w="120"/>
              <w:right w:type="dxa" w:w="100"/>
            </w:tcMar>
          </w:tcPr>
          <w:p>
            <w:pPr>
              <w:spacing w:after="80" w:before="0" w:line="280"/>
            </w:pPr>
            <w:r>
              <w:rPr>
                <w:rFonts w:ascii="Calibri" w:cs="Calibri" w:eastAsia="Calibri" w:hAnsi="Calibri"/>
                <w:b/>
                <w:bCs/>
                <w:color w:val="0F172A"/>
                <w:sz w:val="22"/>
                <w:szCs w:val="22"/>
              </w:rPr>
              <w:t xml:space="preserve">2.2  Priors hydrated into the substrate</w:t>
            </w:r>
          </w:p>
          <w:p>
            <w:pPr>
              <w:spacing w:after="60" w:before="60" w:line="280"/>
              <w:jc w:val="left"/>
            </w:pPr>
            <w:r>
              <w:rPr>
                <w:rFonts w:ascii="Calibri" w:cs="Calibri" w:eastAsia="Calibri" w:hAnsi="Calibri"/>
                <w:b w:val="false"/>
                <w:bCs w:val="false"/>
                <w:i w:val="false"/>
                <w:iCs w:val="false"/>
                <w:caps w:val="false"/>
                <w:color w:val="0F172A"/>
                <w:sz w:val="21"/>
                <w:szCs w:val="21"/>
              </w:rPr>
              <w:t xml:space="preserve">Three priors crossed the bundle-augment threshold and were sent to the LLM as framing context (never as ground truth).</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00"/>
              <w:gridCol w:w="2700"/>
              <w:gridCol w:w="800"/>
              <w:gridCol w:w="1100"/>
              <w:gridCol w:w="4600"/>
            </w:tblGrid>
            <w:tr>
              <w:trPr>
                <w:tblHeader/>
              </w:trPr>
              <w:tc>
                <w:tcPr>
                  <w:tcW w:type="dxa" w:w="40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onsolas" w:cs="Consolas" w:eastAsia="Consolas" w:hAnsi="Consolas"/>
                      <w:b/>
                      <w:bCs/>
                      <w:color w:val="FFFFFF"/>
                      <w:sz w:val="19"/>
                      <w:szCs w:val="19"/>
                    </w:rPr>
                    <w:t xml:space="preserve">#</w:t>
                  </w:r>
                </w:p>
              </w:tc>
              <w:tc>
                <w:tcPr>
                  <w:tcW w:type="dxa" w:w="270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MRO ID</w:t>
                  </w:r>
                </w:p>
              </w:tc>
              <w:tc>
                <w:tcPr>
                  <w:tcW w:type="dxa" w:w="80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Score</w:t>
                  </w:r>
                </w:p>
              </w:tc>
              <w:tc>
                <w:tcPr>
                  <w:tcW w:type="dxa" w:w="110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Freshness</w:t>
                  </w:r>
                </w:p>
              </w:tc>
              <w:tc>
                <w:tcPr>
                  <w:tcW w:type="dxa" w:w="460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Result preview (first ≈100 chars)</w:t>
                  </w:r>
                </w:p>
              </w:tc>
            </w:tr>
            <w:tr>
              <w:tc>
                <w:tcPr>
                  <w:tcW w:type="dxa" w:w="4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1</w:t>
                  </w:r>
                </w:p>
              </w:tc>
              <w:tc>
                <w:tcPr>
                  <w:tcW w:type="dxa" w:w="27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d1ab0bd3-6271-46c9-9d6a-62ff2030dd8b</w:t>
                  </w:r>
                </w:p>
              </w:tc>
              <w:tc>
                <w:tcPr>
                  <w:tcW w:type="dxa" w:w="8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1.184</w:t>
                  </w:r>
                </w:p>
              </w:tc>
              <w:tc>
                <w:tcPr>
                  <w:tcW w:type="dxa" w:w="11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1.00</w:t>
                  </w:r>
                </w:p>
              </w:tc>
              <w:tc>
                <w:tcPr>
                  <w:tcW w:type="dxa" w:w="46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0F172A"/>
                      <w:sz w:val="19"/>
                      <w:szCs w:val="19"/>
                    </w:rPr>
                    <w:t xml:space="preserve">## Sarah Mitchell's Roles — 4 distinct roles across the dataset…</w:t>
                  </w:r>
                </w:p>
              </w:tc>
            </w:tr>
            <w:tr>
              <w:tc>
                <w:tcPr>
                  <w:tcW w:type="dxa" w:w="4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2</w:t>
                  </w:r>
                </w:p>
              </w:tc>
              <w:tc>
                <w:tcPr>
                  <w:tcW w:type="dxa" w:w="27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25692369-acf9-4f71-b3d8-5f9782786cdb</w:t>
                  </w:r>
                </w:p>
              </w:tc>
              <w:tc>
                <w:tcPr>
                  <w:tcW w:type="dxa" w:w="8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0.718</w:t>
                  </w:r>
                </w:p>
              </w:tc>
              <w:tc>
                <w:tcPr>
                  <w:tcW w:type="dxa" w:w="11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1.00</w:t>
                  </w:r>
                </w:p>
              </w:tc>
              <w:tc>
                <w:tcPr>
                  <w:tcW w:type="dxa" w:w="46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onsolas" w:cs="Consolas" w:eastAsia="Consolas" w:hAnsi="Consolas"/>
                      <w:b w:val="false"/>
                      <w:bCs w:val="false"/>
                      <w:color w:val="0F172A"/>
                      <w:sz w:val="19"/>
                      <w:szCs w:val="19"/>
                    </w:rPr>
                    <w:t xml:space="preserve">## Sarah Mitchell's Roles — Filter applied: 37 qualifying records…</w:t>
                  </w:r>
                </w:p>
              </w:tc>
            </w:tr>
            <w:tr>
              <w:tc>
                <w:tcPr>
                  <w:tcW w:type="dxa" w:w="4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3</w:t>
                  </w:r>
                </w:p>
              </w:tc>
              <w:tc>
                <w:tcPr>
                  <w:tcW w:type="dxa" w:w="27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a14a91d8-cd9b-4ac5-9b01-1bd91d14ab11</w:t>
                  </w:r>
                </w:p>
              </w:tc>
              <w:tc>
                <w:tcPr>
                  <w:tcW w:type="dxa" w:w="8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0.402</w:t>
                  </w:r>
                </w:p>
              </w:tc>
              <w:tc>
                <w:tcPr>
                  <w:tcW w:type="dxa" w:w="11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1.00</w:t>
                  </w:r>
                </w:p>
              </w:tc>
              <w:tc>
                <w:tcPr>
                  <w:tcW w:type="dxa" w:w="46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0F172A"/>
                      <w:sz w:val="19"/>
                      <w:szCs w:val="19"/>
                    </w:rPr>
                    <w:t xml:space="preserve">## Sarah Mitchell's Roles — 4 distinct roles across the dataset…</w:t>
                  </w:r>
                </w:p>
              </w:tc>
            </w:tr>
          </w:tbl>
          <w:p>
            <w:pPr>
              <w:spacing w:after="60" w:before="60" w:line="280"/>
              <w:jc w:val="left"/>
            </w:pPr>
            <w:r>
              <w:rPr>
                <w:rFonts w:ascii="Calibri" w:cs="Calibri" w:eastAsia="Calibri" w:hAnsi="Calibri"/>
                <w:b w:val="false"/>
                <w:bCs w:val="false"/>
                <w:i w:val="false"/>
                <w:iCs w:val="false"/>
                <w:caps w:val="false"/>
                <w:color w:val="0F172A"/>
                <w:sz w:val="21"/>
                <w:szCs w:val="21"/>
              </w:rPr>
              <w:t xml:space="preserve">All three priors are answers to a different name (Sarah Mitchell), used here as framing for the structurally-similar James Okafor query.</w:t>
            </w:r>
          </w:p>
        </w:tc>
      </w:tr>
    </w:tbl>
    <w:p>
      <w:pPr>
        <w:pStyle w:val="Heading1"/>
        <w:pBdr>
          <w:bottom w:val="single" w:color="1F3864" w:sz="6" w:space="4"/>
        </w:pBdr>
        <w:spacing w:after="160" w:before="360" w:line="320"/>
      </w:pPr>
      <w:r>
        <w:rPr>
          <w:rFonts w:ascii="Calibri" w:cs="Calibri" w:eastAsia="Calibri" w:hAnsi="Calibri"/>
          <w:b/>
          <w:bCs/>
          <w:color w:val="1F3864"/>
          <w:sz w:val="28"/>
          <w:szCs w:val="28"/>
        </w:rPr>
        <w:t xml:space="preserve">3.  Cue Extraction and HSL Resolution</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Metric</w:t>
            </w:r>
          </w:p>
        </w:tc>
        <w:tc>
          <w:tcPr>
            <w:tcW w:type="dxa" w:w="660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Value</w:t>
            </w:r>
          </w:p>
        </w:tc>
      </w:tr>
      <w:tr>
        <w:tc>
          <w:tcPr>
            <w:tcW w:type="dxa" w:w="30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Total cues extracted</w:t>
            </w:r>
          </w:p>
        </w:tc>
        <w:tc>
          <w:tcPr>
            <w:tcW w:type="dxa" w:w="66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149</w:t>
            </w:r>
          </w:p>
        </w:tc>
      </w:tr>
      <w:tr>
        <w:tc>
          <w:tcPr>
            <w:tcW w:type="dxa" w:w="30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Cues with ≥ 1 HSL match</w:t>
            </w:r>
          </w:p>
        </w:tc>
        <w:tc>
          <w:tcPr>
            <w:tcW w:type="dxa" w:w="66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14</w:t>
            </w:r>
          </w:p>
        </w:tc>
      </w:tr>
      <w:tr>
        <w:tc>
          <w:tcPr>
            <w:tcW w:type="dxa" w:w="30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Cues with no HSL match</w:t>
            </w:r>
          </w:p>
        </w:tc>
        <w:tc>
          <w:tcPr>
            <w:tcW w:type="dxa" w:w="66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135</w:t>
            </w:r>
          </w:p>
        </w:tc>
      </w:tr>
      <w:tr>
        <w:tc>
          <w:tcPr>
            <w:tcW w:type="dxa" w:w="30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Distinct HSLs traversed</w:t>
            </w:r>
          </w:p>
        </w:tc>
        <w:tc>
          <w:tcPr>
            <w:tcW w:type="dxa" w:w="66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14</w:t>
            </w:r>
          </w:p>
        </w:tc>
      </w:tr>
    </w:tbl>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tcBorders>
              <w:top w:val="nil" w:color="FFFFFF" w:sz="1"/>
              <w:left w:val="single" w:color="FB7185" w:sz="18"/>
              <w:bottom w:val="nil" w:color="FFFFFF" w:sz="1"/>
              <w:right w:val="nil" w:color="FFFFFF" w:sz="1"/>
            </w:tcBorders>
            <w:tcMar>
              <w:top w:type="dxa" w:w="80"/>
              <w:left w:type="dxa" w:w="240"/>
              <w:bottom w:type="dxa" w:w="120"/>
              <w:right w:type="dxa" w:w="100"/>
            </w:tcMar>
          </w:tcPr>
          <w:p>
            <w:pPr>
              <w:spacing w:after="80" w:before="0" w:line="280"/>
            </w:pPr>
            <w:r>
              <w:rPr>
                <w:rFonts w:ascii="Calibri" w:cs="Calibri" w:eastAsia="Calibri" w:hAnsi="Calibri"/>
                <w:b/>
                <w:bCs/>
                <w:color w:val="0F172A"/>
                <w:sz w:val="22"/>
                <w:szCs w:val="22"/>
              </w:rPr>
              <w:t xml:space="preserve">3.1  HSLs matched, by cue (top 7)</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800"/>
              <w:gridCol w:w="6800"/>
            </w:tblGrid>
            <w:tr>
              <w:trPr>
                <w:tblHeader/>
              </w:trPr>
              <w:tc>
                <w:tcPr>
                  <w:tcW w:type="dxa" w:w="280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Cue value</w:t>
                  </w:r>
                </w:p>
              </w:tc>
              <w:tc>
                <w:tcPr>
                  <w:tcW w:type="dxa" w:w="680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HSLs matched</w:t>
                  </w:r>
                </w:p>
              </w:tc>
            </w:tr>
            <w:tr>
              <w:tc>
                <w:tcPr>
                  <w:tcW w:type="dxa" w:w="28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James Okafor</w:t>
                  </w:r>
                </w:p>
              </w:tc>
              <w:tc>
                <w:tcPr>
                  <w:tcW w:type="dxa" w:w="68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0F172A"/>
                      <w:sz w:val="19"/>
                      <w:szCs w:val="19"/>
                    </w:rPr>
                    <w:t xml:space="preserve">[Assigned To.James Okafor]  ·  [Reviewed By.James Okafor]  ·  [Estimator.James Okafor]  ·  [ProjectManager.James Okafor]  ·  [Superintendent.James Okafor]</w:t>
                  </w:r>
                </w:p>
              </w:tc>
            </w:tr>
            <w:tr>
              <w:tc>
                <w:tcPr>
                  <w:tcW w:type="dxa" w:w="28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Highland Medical Center Expansion</w:t>
                  </w:r>
                </w:p>
              </w:tc>
              <w:tc>
                <w:tcPr>
                  <w:tcW w:type="dxa" w:w="68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onsolas" w:cs="Consolas" w:eastAsia="Consolas" w:hAnsi="Consolas"/>
                      <w:b w:val="false"/>
                      <w:bCs w:val="false"/>
                      <w:color w:val="0F172A"/>
                      <w:sz w:val="19"/>
                      <w:szCs w:val="19"/>
                    </w:rPr>
                    <w:t xml:space="preserve">[Project Name.Highland Medical Center Expansion]</w:t>
                  </w:r>
                </w:p>
              </w:tc>
            </w:tr>
            <w:tr>
              <w:tc>
                <w:tcPr>
                  <w:tcW w:type="dxa" w:w="28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acc_projects.csv</w:t>
                  </w:r>
                </w:p>
              </w:tc>
              <w:tc>
                <w:tcPr>
                  <w:tcW w:type="dxa" w:w="68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0F172A"/>
                      <w:sz w:val="19"/>
                      <w:szCs w:val="19"/>
                    </w:rPr>
                    <w:t xml:space="preserve">[OriginalCSV.acc_projects.csv]</w:t>
                  </w:r>
                </w:p>
              </w:tc>
            </w:tr>
            <w:tr>
              <w:tc>
                <w:tcPr>
                  <w:tcW w:type="dxa" w:w="28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1701 S Padre Island Dr</w:t>
                  </w:r>
                </w:p>
              </w:tc>
              <w:tc>
                <w:tcPr>
                  <w:tcW w:type="dxa" w:w="68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onsolas" w:cs="Consolas" w:eastAsia="Consolas" w:hAnsi="Consolas"/>
                      <w:b w:val="false"/>
                      <w:bCs w:val="false"/>
                      <w:color w:val="0F172A"/>
                      <w:sz w:val="19"/>
                      <w:szCs w:val="19"/>
                    </w:rPr>
                    <w:t xml:space="preserve">[Address.1701 S Padre Island Dr]</w:t>
                  </w:r>
                </w:p>
              </w:tc>
            </w:tr>
            <w:tr>
              <w:tc>
                <w:tcPr>
                  <w:tcW w:type="dxa" w:w="28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Lockwood Andrews &amp; Newnam</w:t>
                  </w:r>
                </w:p>
              </w:tc>
              <w:tc>
                <w:tcPr>
                  <w:tcW w:type="dxa" w:w="68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0F172A"/>
                      <w:sz w:val="19"/>
                      <w:szCs w:val="19"/>
                    </w:rPr>
                    <w:t xml:space="preserve">[Architect.Lockwood Andrews &amp; Newnam]</w:t>
                  </w:r>
                </w:p>
              </w:tc>
            </w:tr>
            <w:tr>
              <w:tc>
                <w:tcPr>
                  <w:tcW w:type="dxa" w:w="28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Grand Pacific Hospitality</w:t>
                  </w:r>
                </w:p>
              </w:tc>
              <w:tc>
                <w:tcPr>
                  <w:tcW w:type="dxa" w:w="68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onsolas" w:cs="Consolas" w:eastAsia="Consolas" w:hAnsi="Consolas"/>
                      <w:b w:val="false"/>
                      <w:bCs w:val="false"/>
                      <w:color w:val="0F172A"/>
                      <w:sz w:val="19"/>
                      <w:szCs w:val="19"/>
                    </w:rPr>
                    <w:t xml:space="preserve">[Owner.Grand Pacific Hospitality]</w:t>
                  </w:r>
                </w:p>
              </w:tc>
            </w:tr>
            <w:tr>
              <w:tc>
                <w:tcPr>
                  <w:tcW w:type="dxa" w:w="28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Highland Health Systems</w:t>
                  </w:r>
                </w:p>
              </w:tc>
              <w:tc>
                <w:tcPr>
                  <w:tcW w:type="dxa" w:w="68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0F172A"/>
                      <w:sz w:val="19"/>
                      <w:szCs w:val="19"/>
                    </w:rPr>
                    <w:t xml:space="preserve">[Owner.Highland Health Systems]</w:t>
                  </w:r>
                </w:p>
              </w:tc>
            </w:tr>
          </w:tbl>
          <w:p/>
        </w:tc>
      </w:tr>
    </w:tbl>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tcBorders>
              <w:top w:val="nil" w:color="FFFFFF" w:sz="1"/>
              <w:left w:val="single" w:color="FB7185" w:sz="18"/>
              <w:bottom w:val="nil" w:color="FFFFFF" w:sz="1"/>
              <w:right w:val="nil" w:color="FFFFFF" w:sz="1"/>
            </w:tcBorders>
            <w:tcMar>
              <w:top w:type="dxa" w:w="80"/>
              <w:left w:type="dxa" w:w="240"/>
              <w:bottom w:type="dxa" w:w="120"/>
              <w:right w:type="dxa" w:w="100"/>
            </w:tcMar>
          </w:tcPr>
          <w:p>
            <w:pPr>
              <w:spacing w:after="80" w:before="0" w:line="280"/>
            </w:pPr>
            <w:r>
              <w:rPr>
                <w:rFonts w:ascii="Calibri" w:cs="Calibri" w:eastAsia="Calibri" w:hAnsi="Calibri"/>
                <w:b/>
                <w:bCs/>
                <w:color w:val="0F172A"/>
                <w:sz w:val="22"/>
                <w:szCs w:val="22"/>
              </w:rPr>
              <w:t xml:space="preserve">3.2  Sample HSL — [Assigned To.James Okafor]</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tcBorders>
                    <w:top w:val="single" w:color="CBD5E1" w:sz="4"/>
                    <w:left w:val="single" w:color="CBD5E1" w:sz="4"/>
                    <w:bottom w:val="single" w:color="CBD5E1" w:sz="4"/>
                    <w:right w:val="single" w:color="CBD5E1" w:sz="4"/>
                  </w:tcBorders>
                  <w:shd w:fill="F1F5F9" w:val="clear"/>
                  <w:tcMar>
                    <w:top w:type="dxa" w:w="100"/>
                    <w:left w:type="dxa" w:w="200"/>
                    <w:bottom w:type="dxa" w:w="100"/>
                    <w:right w:type="dxa" w:w="200"/>
                  </w:tcMar>
                </w:tcPr>
                <w:p>
                  <w:pPr>
                    <w:shd w:fill="F1F5F9" w:val="clear"/>
                    <w:spacing w:after="0" w:before="0" w:line="240"/>
                  </w:pPr>
                  <w:r>
                    <w:rPr>
                      <w:rFonts w:ascii="Consolas" w:cs="Consolas" w:eastAsia="Consolas" w:hAnsi="Consolas"/>
                      <w:color w:val="0F172A"/>
                      <w:sz w:val="18"/>
                      <w:szCs w:val="18"/>
                    </w:rPr>
                    <w:t xml:space="preserve">HSL ID:    48810812-…</w:t>
                  </w:r>
                </w:p>
                <w:p>
                  <w:pPr>
                    <w:shd w:fill="F1F5F9" w:val="clear"/>
                    <w:spacing w:after="0" w:before="0" w:line="240"/>
                  </w:pPr>
                  <w:r>
                    <w:rPr>
                      <w:rFonts w:ascii="Consolas" w:cs="Consolas" w:eastAsia="Consolas" w:hAnsi="Consolas"/>
                      <w:color w:val="0F172A"/>
                      <w:sz w:val="18"/>
                      <w:szCs w:val="18"/>
                    </w:rPr>
                    <w:t xml:space="preserve">HSL Name:  [Assigned To.James Okafor].hsl</w:t>
                  </w:r>
                </w:p>
                <w:p>
                  <w:pPr>
                    <w:shd w:fill="F1F5F9" w:val="clear"/>
                    <w:spacing w:after="0" w:before="0" w:line="240"/>
                  </w:pPr>
                  <w:r>
                    <w:rPr>
                      <w:rFonts w:ascii="Consolas" w:cs="Consolas" w:eastAsia="Consolas" w:hAnsi="Consolas"/>
                      <w:color w:val="0F172A"/>
                      <w:sz w:val="18"/>
                      <w:szCs w:val="18"/>
                    </w:rPr>
                    <w:t xml:space="preserve">Element samples:</w:t>
                  </w:r>
                </w:p>
                <w:p>
                  <w:pPr>
                    <w:shd w:fill="F1F5F9" w:val="clear"/>
                    <w:spacing w:after="0" w:before="0" w:line="240"/>
                  </w:pPr>
                  <w:r>
                    <w:rPr>
                      <w:rFonts w:ascii="Consolas" w:cs="Consolas" w:eastAsia="Consolas" w:hAnsi="Consolas"/>
                      <w:color w:val="0F172A"/>
                      <w:sz w:val="18"/>
                      <w:szCs w:val="18"/>
                    </w:rPr>
                    <w:t xml:space="preserve">    acc_issues.csv - Row 146</w:t>
                  </w:r>
                </w:p>
                <w:p>
                  <w:pPr>
                    <w:shd w:fill="F1F5F9" w:val="clear"/>
                    <w:spacing w:after="0" w:before="0" w:line="240"/>
                  </w:pPr>
                  <w:r>
                    <w:rPr>
                      <w:rFonts w:ascii="Consolas" w:cs="Consolas" w:eastAsia="Consolas" w:hAnsi="Consolas"/>
                      <w:color w:val="0F172A"/>
                      <w:sz w:val="18"/>
                      <w:szCs w:val="18"/>
                    </w:rPr>
                    <w:t xml:space="preserve">    acc_issues.csv - Row 152</w:t>
                  </w:r>
                </w:p>
                <w:p>
                  <w:pPr>
                    <w:shd w:fill="F1F5F9" w:val="clear"/>
                    <w:spacing w:after="0" w:before="0" w:line="240"/>
                  </w:pPr>
                  <w:r>
                    <w:rPr>
                      <w:rFonts w:ascii="Consolas" w:cs="Consolas" w:eastAsia="Consolas" w:hAnsi="Consolas"/>
                      <w:color w:val="0F172A"/>
                      <w:sz w:val="18"/>
                      <w:szCs w:val="18"/>
                    </w:rPr>
                    <w:t xml:space="preserve">    acc_rfis.csv  - Row 156</w:t>
                  </w:r>
                </w:p>
                <w:p>
                  <w:pPr>
                    <w:shd w:fill="F1F5F9" w:val="clear"/>
                    <w:spacing w:after="0" w:before="0" w:line="240"/>
                  </w:pPr>
                  <w:r>
                    <w:rPr>
                      <w:rFonts w:ascii="Consolas" w:cs="Consolas" w:eastAsia="Consolas" w:hAnsi="Consolas"/>
                      <w:color w:val="0F172A"/>
                      <w:sz w:val="18"/>
                      <w:szCs w:val="18"/>
                    </w:rPr>
                    <w:t xml:space="preserve">    acc_rfis.csv  - Row 158</w:t>
                  </w:r>
                </w:p>
                <w:p>
                  <w:pPr>
                    <w:shd w:fill="F1F5F9" w:val="clear"/>
                    <w:spacing w:after="0" w:before="0" w:line="240"/>
                  </w:pPr>
                  <w:r>
                    <w:rPr>
                      <w:rFonts w:ascii="Consolas" w:cs="Consolas" w:eastAsia="Consolas" w:hAnsi="Consolas"/>
                      <w:color w:val="0F172A"/>
                      <w:sz w:val="18"/>
                      <w:szCs w:val="18"/>
                    </w:rPr>
                    <w:t xml:space="preserve">    acc_rfis.csv  - Row 159</w:t>
                  </w:r>
                </w:p>
                <w:p>
                  <w:pPr>
                    <w:shd w:fill="F1F5F9" w:val="clear"/>
                    <w:spacing w:after="0" w:before="0" w:line="240"/>
                  </w:pPr>
                  <w:r>
                    <w:rPr>
                      <w:rFonts w:ascii="Consolas" w:cs="Consolas" w:eastAsia="Consolas" w:hAnsi="Consolas"/>
                      <w:color w:val="0F172A"/>
                      <w:sz w:val="18"/>
                      <w:szCs w:val="18"/>
                    </w:rPr>
                    <w:t xml:space="preserve">    …</w:t>
                  </w:r>
                </w:p>
              </w:tc>
            </w:tr>
          </w:tbl>
          <w:p/>
        </w:tc>
      </w:tr>
    </w:tbl>
    <w:p>
      <w:pPr>
        <w:pStyle w:val="Heading1"/>
        <w:pBdr>
          <w:bottom w:val="single" w:color="1F3864" w:sz="6" w:space="4"/>
        </w:pBdr>
        <w:spacing w:after="160" w:before="360" w:line="320"/>
      </w:pPr>
      <w:r>
        <w:rPr>
          <w:rFonts w:ascii="Calibri" w:cs="Calibri" w:eastAsia="Calibri" w:hAnsi="Calibri"/>
          <w:b/>
          <w:bCs/>
          <w:color w:val="1F3864"/>
          <w:sz w:val="28"/>
          <w:szCs w:val="28"/>
        </w:rPr>
        <w:t xml:space="preserve">4.  AIO Neighborhood — What Reached the LLM</w:t>
      </w:r>
    </w:p>
    <w:p>
      <w:pPr>
        <w:spacing w:after="60" w:before="60" w:line="280"/>
        <w:jc w:val="left"/>
      </w:pPr>
      <w:r>
        <w:rPr>
          <w:rFonts w:ascii="Calibri" w:cs="Calibri" w:eastAsia="Calibri" w:hAnsi="Calibri"/>
          <w:b w:val="false"/>
          <w:bCs w:val="false"/>
          <w:i w:val="false"/>
          <w:iCs w:val="false"/>
          <w:caps w:val="false"/>
          <w:color w:val="0F172A"/>
          <w:sz w:val="21"/>
          <w:szCs w:val="21"/>
        </w:rPr>
        <w:t xml:space="preserve">Phase 3 expanded the 14 matched HSLs into their pointer set, unioned with direct needle-scan AIOs, ranked by HSL boost, diversified by CSV, and trimmed by Jaccard dedup at 0.85.</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800"/>
        <w:gridCol w:w="1800"/>
        <w:gridCol w:w="5000"/>
      </w:tblGrid>
      <w:tr>
        <w:trPr>
          <w:tblHeader/>
        </w:trPr>
        <w:tc>
          <w:tcPr>
            <w:tcW w:type="dxa" w:w="280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Source CSV</w:t>
            </w:r>
          </w:p>
        </w:tc>
        <w:tc>
          <w:tcPr>
            <w:tcW w:type="dxa" w:w="180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AIOs in bundle</w:t>
            </w:r>
          </w:p>
        </w:tc>
        <w:tc>
          <w:tcPr>
            <w:tcW w:type="dxa" w:w="5000"/>
            <w:tcBorders>
              <w:top w:val="single" w:color="CBD5E1" w:sz="4"/>
              <w:left w:val="single" w:color="CBD5E1" w:sz="4"/>
              <w:bottom w:val="single" w:color="CBD5E1" w:sz="4"/>
              <w:right w:val="single" w:color="CBD5E1" w:sz="4"/>
            </w:tcBorders>
            <w:shd w:fill="0F3460" w:val="clear"/>
            <w:tcMar>
              <w:top w:type="dxa" w:w="80"/>
              <w:left w:type="dxa" w:w="120"/>
              <w:bottom w:type="dxa" w:w="80"/>
              <w:right w:type="dxa" w:w="120"/>
            </w:tcMar>
          </w:tcPr>
          <w:p>
            <w:pPr>
              <w:spacing w:after="0" w:before="0" w:line="260"/>
            </w:pPr>
            <w:r>
              <w:rPr>
                <w:rFonts w:ascii="Calibri" w:cs="Calibri" w:eastAsia="Calibri" w:hAnsi="Calibri"/>
                <w:b/>
                <w:bCs/>
                <w:color w:val="FFFFFF"/>
                <w:sz w:val="19"/>
                <w:szCs w:val="19"/>
              </w:rPr>
              <w:t xml:space="preserve">Role</w:t>
            </w:r>
          </w:p>
        </w:tc>
      </w:tr>
      <w:tr>
        <w:tc>
          <w:tcPr>
            <w:tcW w:type="dxa" w:w="28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AIA305 Sample.csv</w:t>
            </w:r>
          </w:p>
        </w:tc>
        <w:tc>
          <w:tcPr>
            <w:tcW w:type="dxa" w:w="18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 30</w:t>
            </w:r>
          </w:p>
        </w:tc>
        <w:tc>
          <w:tcPr>
            <w:tcW w:type="dxa" w:w="50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Project portfolio rows where James Okafor appears as Estimator / PM / Superintendent</w:t>
            </w:r>
          </w:p>
        </w:tc>
      </w:tr>
      <w:tr>
        <w:tc>
          <w:tcPr>
            <w:tcW w:type="dxa" w:w="28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acc_issues.csv</w:t>
            </w:r>
          </w:p>
        </w:tc>
        <w:tc>
          <w:tcPr>
            <w:tcW w:type="dxa" w:w="18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3</w:t>
            </w:r>
          </w:p>
        </w:tc>
        <w:tc>
          <w:tcPr>
            <w:tcW w:type="dxa" w:w="50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Field-issue records assigned to James Okafor</w:t>
            </w:r>
          </w:p>
        </w:tc>
      </w:tr>
      <w:tr>
        <w:tc>
          <w:tcPr>
            <w:tcW w:type="dxa" w:w="28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acc_rfis.csv</w:t>
            </w:r>
          </w:p>
        </w:tc>
        <w:tc>
          <w:tcPr>
            <w:tcW w:type="dxa" w:w="18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3</w:t>
            </w:r>
          </w:p>
        </w:tc>
        <w:tc>
          <w:tcPr>
            <w:tcW w:type="dxa" w:w="50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RFIs routed to James Okafor</w:t>
            </w:r>
          </w:p>
        </w:tc>
      </w:tr>
      <w:tr>
        <w:tc>
          <w:tcPr>
            <w:tcW w:type="dxa" w:w="28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acc_submittals.csv</w:t>
            </w:r>
          </w:p>
        </w:tc>
        <w:tc>
          <w:tcPr>
            <w:tcW w:type="dxa" w:w="18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2</w:t>
            </w:r>
          </w:p>
        </w:tc>
        <w:tc>
          <w:tcPr>
            <w:tcW w:type="dxa" w:w="50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Submittals reviewed by James Okafor</w:t>
            </w:r>
          </w:p>
        </w:tc>
      </w:tr>
      <w:tr>
        <w:tc>
          <w:tcPr>
            <w:tcW w:type="dxa" w:w="28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acc_projects.csv</w:t>
            </w:r>
          </w:p>
        </w:tc>
        <w:tc>
          <w:tcPr>
            <w:tcW w:type="dxa" w:w="18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2</w:t>
            </w:r>
          </w:p>
        </w:tc>
        <w:tc>
          <w:tcPr>
            <w:tcW w:type="dxa" w:w="50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Project metadata for joined entities</w:t>
            </w:r>
          </w:p>
        </w:tc>
      </w:tr>
      <w:tr>
        <w:tc>
          <w:tcPr>
            <w:tcW w:type="dxa" w:w="28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acc_employees.csv</w:t>
            </w:r>
          </w:p>
        </w:tc>
        <w:tc>
          <w:tcPr>
            <w:tcW w:type="dxa" w:w="18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1</w:t>
            </w:r>
          </w:p>
        </w:tc>
        <w:tc>
          <w:tcPr>
            <w:tcW w:type="dxa" w:w="5000"/>
            <w:tcBorders>
              <w:top w:val="single" w:color="CBD5E1" w:sz="4"/>
              <w:left w:val="single" w:color="CBD5E1" w:sz="4"/>
              <w:bottom w:val="single" w:color="CBD5E1" w:sz="4"/>
              <w:right w:val="single" w:color="CBD5E1" w:sz="4"/>
            </w:tcBorders>
            <w:shd w:fill="F1F5F9" w:val="clear"/>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James Okafor's employee record</w:t>
            </w:r>
          </w:p>
        </w:tc>
      </w:tr>
      <w:tr>
        <w:tc>
          <w:tcPr>
            <w:tcW w:type="dxa" w:w="28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TOTAL</w:t>
            </w:r>
          </w:p>
        </w:tc>
        <w:tc>
          <w:tcPr>
            <w:tcW w:type="dxa" w:w="18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 41</w:t>
            </w:r>
          </w:p>
        </w:tc>
        <w:tc>
          <w:tcPr>
            <w:tcW w:type="dxa" w:w="5000"/>
            <w:tcBorders>
              <w:top w:val="single" w:color="CBD5E1" w:sz="4"/>
              <w:left w:val="single" w:color="CBD5E1" w:sz="4"/>
              <w:bottom w:val="single" w:color="CBD5E1" w:sz="4"/>
              <w:right w:val="single" w:color="CBD5E1"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0F172A"/>
                <w:sz w:val="19"/>
                <w:szCs w:val="19"/>
              </w:rPr>
              <w:t xml:space="preserve">(post diversify-by-CSV)</w:t>
            </w:r>
          </w:p>
        </w:tc>
      </w:tr>
    </w:tbl>
    <w:p>
      <w:pPr>
        <w:spacing w:after="60" w:before="60" w:line="280"/>
        <w:jc w:val="left"/>
      </w:pPr>
      <w:r>
        <w:rPr>
          <w:rFonts w:ascii="Calibri" w:cs="Calibri" w:eastAsia="Calibri" w:hAnsi="Calibri"/>
          <w:b w:val="false"/>
          <w:bCs w:val="false"/>
          <w:i w:val="false"/>
          <w:iCs w:val="false"/>
          <w:caps w:val="false"/>
          <w:color w:val="0F172A"/>
          <w:sz w:val="21"/>
          <w:szCs w:val="21"/>
        </w:rPr>
        <w:t xml:space="preserve">Out of 589 corpus AIOs, only ≈ 41 reach the LLM in this run. The other 548 rows are pruned at Phase 2/3 because no cue resolved to them. This is the substrate property: the LLM's input is bounded by query semantics, not by corpus size.</w:t>
      </w:r>
    </w:p>
    <w:p>
      <w:pPr>
        <w:pStyle w:val="Heading1"/>
        <w:pBdr>
          <w:bottom w:val="single" w:color="1F3864" w:sz="6" w:space="4"/>
        </w:pBdr>
        <w:spacing w:after="160" w:before="360" w:line="320"/>
      </w:pPr>
      <w:r>
        <w:rPr>
          <w:rFonts w:ascii="Calibri" w:cs="Calibri" w:eastAsia="Calibri" w:hAnsi="Calibri"/>
          <w:b/>
          <w:bCs/>
          <w:color w:val="1F3864"/>
          <w:sz w:val="28"/>
          <w:szCs w:val="28"/>
        </w:rPr>
        <w:t xml:space="preserve">5.  Substrate Envelope — The Final Prompt Shape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c>
          <w:tcPr>
            <w:tcW w:type="dxa" w:w="9600"/>
            <w:tcBorders>
              <w:top w:val="single" w:color="CBD5E1" w:sz="4"/>
              <w:left w:val="single" w:color="CBD5E1" w:sz="4"/>
              <w:bottom w:val="single" w:color="CBD5E1" w:sz="4"/>
              <w:right w:val="single" w:color="CBD5E1" w:sz="4"/>
            </w:tcBorders>
            <w:shd w:fill="F1F5F9" w:val="clear"/>
            <w:tcMar>
              <w:top w:type="dxa" w:w="100"/>
              <w:left w:type="dxa" w:w="200"/>
              <w:bottom w:type="dxa" w:w="100"/>
              <w:right w:type="dxa" w:w="200"/>
            </w:tcMar>
          </w:tcPr>
          <w:p>
            <w:pPr>
              <w:shd w:fill="F1F5F9" w:val="clear"/>
              <w:spacing w:after="0" w:before="0" w:line="240"/>
            </w:pPr>
            <w:r>
              <w:rPr>
                <w:rFonts w:ascii="Consolas" w:cs="Consolas" w:eastAsia="Consolas" w:hAnsi="Consolas"/>
                <w:color w:val="0F172A"/>
                <w:sz w:val="18"/>
                <w:szCs w:val="18"/>
              </w:rPr>
              <w:t xml:space="preserve">{</w:t>
            </w:r>
          </w:p>
          <w:p>
            <w:pPr>
              <w:shd w:fill="F1F5F9" w:val="clear"/>
              <w:spacing w:after="0" w:before="0" w:line="240"/>
            </w:pPr>
            <w:r>
              <w:rPr>
                <w:rFonts w:ascii="Consolas" w:cs="Consolas" w:eastAsia="Consolas" w:hAnsi="Consolas"/>
                <w:color w:val="0F172A"/>
                <w:sz w:val="18"/>
                <w:szCs w:val="18"/>
              </w:rPr>
              <w:t xml:space="preserve">  "query":   "What roles does James Okafor hold. List projects and financials for each.",</w:t>
            </w:r>
          </w:p>
          <w:p>
            <w:pPr>
              <w:shd w:fill="F1F5F9" w:val="clear"/>
              <w:spacing w:after="0" w:before="0" w:line="240"/>
            </w:pPr>
            <w:r>
              <w:rPr>
                <w:rFonts w:ascii="Consolas" w:cs="Consolas" w:eastAsia="Consolas" w:hAnsi="Consolas"/>
                <w:color w:val="0F172A"/>
                <w:sz w:val="18"/>
                <w:szCs w:val="18"/>
              </w:rPr>
              <w:t xml:space="preserve">  "history": [],</w:t>
            </w:r>
          </w:p>
          <w:p>
            <w:pPr>
              <w:shd w:fill="F1F5F9" w:val="clear"/>
              <w:spacing w:after="0" w:before="0" w:line="240"/>
            </w:pPr>
            <w:r>
              <w:rPr>
                <w:rFonts w:ascii="Consolas" w:cs="Consolas" w:eastAsia="Consolas" w:hAnsi="Consolas"/>
                <w:color w:val="0F172A"/>
                <w:sz w:val="18"/>
                <w:szCs w:val="18"/>
              </w:rPr>
              <w:t xml:space="preserve">  "priors": [</w:t>
            </w:r>
          </w:p>
          <w:p>
            <w:pPr>
              <w:shd w:fill="F1F5F9" w:val="clear"/>
              <w:spacing w:after="0" w:before="0" w:line="240"/>
            </w:pPr>
            <w:r>
              <w:rPr>
                <w:rFonts w:ascii="Consolas" w:cs="Consolas" w:eastAsia="Consolas" w:hAnsi="Consolas"/>
                <w:color w:val="0F172A"/>
                <w:sz w:val="18"/>
                <w:szCs w:val="18"/>
              </w:rPr>
              <w:t xml:space="preserve">    { mro_id: "d1ab0bd3-…", query: "…Sarah Mitchell…", reply: "## Sarah Mitchell's Roles…" },</w:t>
            </w:r>
          </w:p>
          <w:p>
            <w:pPr>
              <w:shd w:fill="F1F5F9" w:val="clear"/>
              <w:spacing w:after="0" w:before="0" w:line="240"/>
            </w:pPr>
            <w:r>
              <w:rPr>
                <w:rFonts w:ascii="Consolas" w:cs="Consolas" w:eastAsia="Consolas" w:hAnsi="Consolas"/>
                <w:color w:val="0F172A"/>
                <w:sz w:val="18"/>
                <w:szCs w:val="18"/>
              </w:rPr>
              <w:t xml:space="preserve">    { mro_id: "25692369-…", query: "…Sarah Mitchell…", reply: "## Sarah Mitchell's Roles…" },</w:t>
            </w:r>
          </w:p>
          <w:p>
            <w:pPr>
              <w:shd w:fill="F1F5F9" w:val="clear"/>
              <w:spacing w:after="0" w:before="0" w:line="240"/>
            </w:pPr>
            <w:r>
              <w:rPr>
                <w:rFonts w:ascii="Consolas" w:cs="Consolas" w:eastAsia="Consolas" w:hAnsi="Consolas"/>
                <w:color w:val="0F172A"/>
                <w:sz w:val="18"/>
                <w:szCs w:val="18"/>
              </w:rPr>
              <w:t xml:space="preserve">    { mro_id: "a14a91d8-…", query: "…Sarah Mitchell…", reply: "## Sarah Mitchell's Roles…" }</w:t>
            </w:r>
          </w:p>
          <w:p>
            <w:pPr>
              <w:shd w:fill="F1F5F9" w:val="clear"/>
              <w:spacing w:after="0" w:before="0" w:line="240"/>
            </w:pPr>
            <w:r>
              <w:rPr>
                <w:rFonts w:ascii="Consolas" w:cs="Consolas" w:eastAsia="Consolas" w:hAnsi="Consolas"/>
                <w:color w:val="0F172A"/>
                <w:sz w:val="18"/>
                <w:szCs w:val="18"/>
              </w:rPr>
              <w:t xml:space="preserve">  ],</w:t>
            </w:r>
          </w:p>
          <w:p>
            <w:pPr>
              <w:shd w:fill="F1F5F9" w:val="clear"/>
              <w:spacing w:after="0" w:before="0" w:line="240"/>
            </w:pPr>
            <w:r>
              <w:rPr>
                <w:rFonts w:ascii="Consolas" w:cs="Consolas" w:eastAsia="Consolas" w:hAnsi="Consolas"/>
                <w:color w:val="0F172A"/>
                <w:sz w:val="18"/>
                <w:szCs w:val="18"/>
              </w:rPr>
              <w:t xml:space="preserve">  "cues":  [149 element cues — 14 HSL-resolved, 135 unresolved],</w:t>
            </w:r>
          </w:p>
          <w:p>
            <w:pPr>
              <w:shd w:fill="F1F5F9" w:val="clear"/>
              <w:spacing w:after="0" w:before="0" w:line="240"/>
            </w:pPr>
            <w:r>
              <w:rPr>
                <w:rFonts w:ascii="Consolas" w:cs="Consolas" w:eastAsia="Consolas" w:hAnsi="Consolas"/>
                <w:color w:val="0F172A"/>
                <w:sz w:val="18"/>
                <w:szCs w:val="18"/>
              </w:rPr>
              <w:t xml:space="preserve">  "scope": [</w:t>
            </w:r>
          </w:p>
          <w:p>
            <w:pPr>
              <w:shd w:fill="F1F5F9" w:val="clear"/>
              <w:spacing w:after="0" w:before="0" w:line="240"/>
            </w:pPr>
            <w:r>
              <w:rPr>
                <w:rFonts w:ascii="Consolas" w:cs="Consolas" w:eastAsia="Consolas" w:hAnsi="Consolas"/>
                <w:color w:val="0F172A"/>
                <w:sz w:val="18"/>
                <w:szCs w:val="18"/>
              </w:rPr>
              <w:t xml:space="preserve">    { aio_name: "AIA305 Sample.csv - Row 11", elements: [...] },</w:t>
            </w:r>
          </w:p>
          <w:p>
            <w:pPr>
              <w:shd w:fill="F1F5F9" w:val="clear"/>
              <w:spacing w:after="0" w:before="0" w:line="240"/>
            </w:pPr>
            <w:r>
              <w:rPr>
                <w:rFonts w:ascii="Consolas" w:cs="Consolas" w:eastAsia="Consolas" w:hAnsi="Consolas"/>
                <w:color w:val="0F172A"/>
                <w:sz w:val="18"/>
                <w:szCs w:val="18"/>
              </w:rPr>
              <w:t xml:space="preserve">    { aio_name: "AIA305 Sample.csv - Row 22", elements: [...] },</w:t>
            </w:r>
          </w:p>
          <w:p>
            <w:pPr>
              <w:shd w:fill="F1F5F9" w:val="clear"/>
              <w:spacing w:after="0" w:before="0" w:line="240"/>
            </w:pPr>
            <w:r>
              <w:rPr>
                <w:rFonts w:ascii="Consolas" w:cs="Consolas" w:eastAsia="Consolas" w:hAnsi="Consolas"/>
                <w:color w:val="0F172A"/>
                <w:sz w:val="18"/>
                <w:szCs w:val="18"/>
              </w:rPr>
              <w:t xml:space="preserve">    … 41 AIO rows total …</w:t>
            </w:r>
          </w:p>
          <w:p>
            <w:pPr>
              <w:shd w:fill="F1F5F9" w:val="clear"/>
              <w:spacing w:after="0" w:before="0" w:line="240"/>
            </w:pPr>
            <w:r>
              <w:rPr>
                <w:rFonts w:ascii="Consolas" w:cs="Consolas" w:eastAsia="Consolas" w:hAnsi="Consolas"/>
                <w:color w:val="0F172A"/>
                <w:sz w:val="18"/>
                <w:szCs w:val="18"/>
              </w:rPr>
              <w:t xml:space="preserve">  ]</w:t>
            </w:r>
          </w:p>
          <w:p>
            <w:pPr>
              <w:shd w:fill="F1F5F9" w:val="clear"/>
              <w:spacing w:after="0" w:before="0" w:line="240"/>
            </w:pPr>
            <w:r>
              <w:rPr>
                <w:rFonts w:ascii="Consolas" w:cs="Consolas" w:eastAsia="Consolas" w:hAnsi="Consolas"/>
                <w:color w:val="0F172A"/>
                <w:sz w:val="18"/>
                <w:szCs w:val="18"/>
              </w:rPr>
              <w:t xml:space="preserve">}</w:t>
            </w:r>
          </w:p>
        </w:tc>
      </w:tr>
    </w:tbl>
    <w:p>
      <w:pPr>
        <w:pStyle w:val="Heading1"/>
        <w:pBdr>
          <w:bottom w:val="single" w:color="1F3864" w:sz="6" w:space="4"/>
        </w:pBdr>
        <w:spacing w:after="160" w:before="360" w:line="320"/>
      </w:pPr>
      <w:r>
        <w:rPr>
          <w:rFonts w:ascii="Calibri" w:cs="Calibri" w:eastAsia="Calibri" w:hAnsi="Calibri"/>
          <w:b/>
          <w:bCs/>
          <w:color w:val="1F3864"/>
          <w:sz w:val="28"/>
          <w:szCs w:val="28"/>
        </w:rPr>
        <w:t xml:space="preserve">6.  LLM Output and Persistence</w:t>
      </w:r>
    </w:p>
    <w:p>
      <w:pPr>
        <w:spacing w:after="60" w:before="60" w:line="280"/>
        <w:jc w:val="left"/>
      </w:pPr>
      <w:r>
        <w:rPr>
          <w:rFonts w:ascii="Calibri" w:cs="Calibri" w:eastAsia="Calibri" w:hAnsi="Calibri"/>
          <w:b w:val="false"/>
          <w:bCs w:val="false"/>
          <w:i w:val="false"/>
          <w:iCs w:val="false"/>
          <w:caps w:val="false"/>
          <w:color w:val="0F172A"/>
          <w:sz w:val="21"/>
          <w:szCs w:val="21"/>
        </w:rPr>
        <w:t xml:space="preserve">The model produced a structured reply identifying James Okafor's four roles (Estimator, Project Manager, Superintendent, Reviewed By) with per-role project tables and financial subtotals. The format mirrored the Sarah Mitchell prior in §2.2 — confirming the prior-as-framing mechanism: the model adopted the prior's section structure and applied it to the new entity.</w:t>
      </w:r>
    </w:p>
    <w:p>
      <w:pPr>
        <w:spacing w:after="60" w:before="60" w:line="280"/>
        <w:jc w:val="left"/>
      </w:pPr>
      <w:r>
        <w:rPr>
          <w:rFonts w:ascii="Calibri" w:cs="Calibri" w:eastAsia="Calibri" w:hAnsi="Calibri"/>
          <w:b w:val="false"/>
          <w:bCs w:val="false"/>
          <w:i w:val="false"/>
          <w:iCs w:val="false"/>
          <w:caps w:val="false"/>
          <w:color w:val="0F172A"/>
          <w:sz w:val="21"/>
          <w:szCs w:val="21"/>
        </w:rPr>
        <w:t xml:space="preserve">The reply was then persisted as a new MRO and back-pointers were written to all 14 matched HSLs via linkMroToHsl. On a subsequent identical query, that MRO would short-circuit at score ≥ 0.85 and the entire pipeline above would be replaced by a single SELECT against mro_objects.</w:t>
      </w:r>
    </w:p>
    <w:p>
      <w:pPr>
        <w:pStyle w:val="Heading1"/>
        <w:pBdr>
          <w:bottom w:val="single" w:color="1F3864" w:sz="6" w:space="4"/>
        </w:pBdr>
        <w:spacing w:after="160" w:before="360" w:line="320"/>
      </w:pPr>
      <w:r>
        <w:rPr>
          <w:rFonts w:ascii="Calibri" w:cs="Calibri" w:eastAsia="Calibri" w:hAnsi="Calibri"/>
          <w:b/>
          <w:bCs/>
          <w:color w:val="1F3864"/>
          <w:sz w:val="28"/>
          <w:szCs w:val="28"/>
        </w:rPr>
        <w:t xml:space="preserve">7.  Takeaway</w:t>
      </w:r>
    </w:p>
    <w:p>
      <w:pPr>
        <w:spacing w:after="40" w:before="40" w:line="280"/>
        <w:ind w:left="720" w:hanging="360"/>
      </w:pPr>
      <w:r>
        <w:rPr>
          <w:rFonts w:ascii="Calibri" w:cs="Calibri" w:eastAsia="Calibri" w:hAnsi="Calibri"/>
          <w:color w:val="0F172A"/>
          <w:sz w:val="21"/>
          <w:szCs w:val="21"/>
        </w:rPr>
        <w:t xml:space="preserve">•   Determinism. 149 cues from 589 AIOs is reproducible — same query, same data, same cue set, every time.</w:t>
      </w:r>
    </w:p>
    <w:p>
      <w:pPr>
        <w:spacing w:after="40" w:before="40" w:line="280"/>
        <w:ind w:left="720" w:hanging="360"/>
      </w:pPr>
      <w:r>
        <w:rPr>
          <w:rFonts w:ascii="Calibri" w:cs="Calibri" w:eastAsia="Calibri" w:hAnsi="Calibri"/>
          <w:color w:val="0F172A"/>
          <w:sz w:val="21"/>
          <w:szCs w:val="21"/>
        </w:rPr>
        <w:t xml:space="preserve">•   Bounded LLM input. ≈ 41 AIOs reach the LLM regardless of corpus size.</w:t>
      </w:r>
    </w:p>
    <w:p>
      <w:pPr>
        <w:spacing w:after="40" w:before="40" w:line="280"/>
        <w:ind w:left="720" w:hanging="360"/>
      </w:pPr>
      <w:r>
        <w:rPr>
          <w:rFonts w:ascii="Calibri" w:cs="Calibri" w:eastAsia="Calibri" w:hAnsi="Calibri"/>
          <w:color w:val="0F172A"/>
          <w:sz w:val="21"/>
          <w:szCs w:val="21"/>
        </w:rPr>
        <w:t xml:space="preserve">•   Memory reuse. Three priors from a structurally-similar question were injected as framing, helping the LLM produce a stable output format. The new MRO becomes a prior for the next query.</w:t>
      </w:r>
    </w:p>
    <w:p>
      <w:pPr>
        <w:pBdr>
          <w:top w:val="single" w:color="CBD5E1" w:sz="6" w:space="4"/>
        </w:pBdr>
        <w:spacing w:after="80" w:before="320"/>
      </w:pPr>
      <w:r>
        <w:t xml:space="preserve"/>
      </w:r>
    </w:p>
    <w:p>
      <w:pPr>
        <w:spacing w:after="40" w:before="60" w:line="280"/>
        <w:jc w:val="center"/>
      </w:pPr>
      <w:r>
        <w:rPr>
          <w:rFonts w:ascii="Calibri" w:cs="Calibri" w:eastAsia="Calibri" w:hAnsi="Calibri"/>
          <w:b w:val="false"/>
          <w:bCs w:val="false"/>
          <w:i/>
          <w:iCs/>
          <w:caps w:val="false"/>
          <w:color w:val="94A3B8"/>
          <w:sz w:val="16"/>
          <w:szCs w:val="16"/>
        </w:rPr>
        <w:t xml:space="preserve">Prepared by InformationPhysics.ai, LLC.  Confidential — subject to the Transaction-Grade One-Way NDA on file.</w:t>
      </w:r>
    </w:p>
    <w:p>
      <w:pPr>
        <w:spacing w:after="0" w:before="60" w:line="280"/>
        <w:jc w:val="center"/>
      </w:pPr>
      <w:r>
        <w:rPr>
          <w:rFonts w:ascii="Calibri" w:cs="Calibri" w:eastAsia="Calibri" w:hAnsi="Calibri"/>
          <w:b w:val="false"/>
          <w:bCs w:val="false"/>
          <w:i/>
          <w:iCs/>
          <w:caps w:val="false"/>
          <w:color w:val="94A3B8"/>
          <w:sz w:val="16"/>
          <w:szCs w:val="16"/>
        </w:rPr>
        <w:t xml:space="preserve">© 2026 InformationPhysics.ai, LLC. All rights reserved.</w:t>
      </w:r>
    </w:p>
    <w:sectPr>
      <w:headerReference w:type="default" r:id="rId7"/>
      <w:footerReference w:type="default" r:id="rId8"/>
      <w:pgSz w:w="12240" w:h="15840" w:orient="portrait"/>
      <w:pgMar w:top="1180" w:right="1320" w:bottom="1180" w:left="1320" w:header="720" w:footer="720" w:gutter="0"/>
      <w:pgNumType/>
      <w:titlePg w:val="fals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5E1" w:sz="4" w:space="1"/>
      </w:pBdr>
      <w:tabs>
        <w:tab w:val="right" w:pos="9600"/>
      </w:tabs>
      <w:spacing w:after="0" w:before="0"/>
    </w:pPr>
    <w:r>
      <w:rPr>
        <w:rFonts w:ascii="Calibri" w:cs="Calibri" w:eastAsia="Calibri" w:hAnsi="Calibri"/>
        <w:color w:val="94A3B8"/>
        <w:sz w:val="16"/>
        <w:szCs w:val="16"/>
      </w:rPr>
      <w:t xml:space="preserve">InformationPhysics.ai, LLC  ·  V4.5</w:t>
    </w:r>
    <w:r>
      <w:rPr>
        <w:sz w:val="16"/>
        <w:szCs w:val="16"/>
      </w:rPr>
      <w:t xml:space="preserve">	</w:t>
    </w:r>
    <w:r>
      <w:rPr>
        <w:rFonts w:ascii="Calibri" w:cs="Calibri" w:eastAsia="Calibri" w:hAnsi="Calibri"/>
        <w:color w:val="94A3B8"/>
        <w:sz w:val="16"/>
        <w:szCs w:val="16"/>
      </w:rPr>
      <w:t xml:space="preserve">Page </w:t>
    </w:r>
    <w:r>
      <w:rPr>
        <w:rFonts w:ascii="Calibri" w:cs="Calibri" w:eastAsia="Calibri" w:hAnsi="Calibri"/>
        <w:color w:val="94A3B8"/>
        <w:sz w:val="16"/>
        <w:szCs w:val="16"/>
      </w:rPr>
      <w:fldChar w:fldCharType="begin"/>
      <w:instrText xml:space="preserve">PAGE</w:instrText>
      <w:fldChar w:fldCharType="separate"/>
      <w:fldChar w:fldCharType="end"/>
    </w:r>
    <w:r>
      <w:rPr>
        <w:rFonts w:ascii="Calibri" w:cs="Calibri" w:eastAsia="Calibri" w:hAnsi="Calibri"/>
        <w:color w:val="94A3B8"/>
        <w:sz w:val="16"/>
        <w:szCs w:val="16"/>
      </w:rPr>
      <w:t xml:space="preserve"> of </w:t>
    </w:r>
    <w:r>
      <w:rPr>
        <w:rFonts w:ascii="Calibri" w:cs="Calibri" w:eastAsia="Calibri" w:hAnsi="Calibri"/>
        <w:color w:val="94A3B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1"/>
      </w:pBdr>
      <w:tabs>
        <w:tab w:val="right" w:pos="9600"/>
      </w:tabs>
      <w:spacing w:after="0" w:before="0"/>
    </w:pPr>
    <w:r>
      <w:rPr>
        <w:rFonts w:ascii="Calibri" w:cs="Calibri" w:eastAsia="Calibri" w:hAnsi="Calibri"/>
        <w:b/>
        <w:bCs/>
        <w:color w:val="1F3864"/>
        <w:sz w:val="17"/>
        <w:szCs w:val="17"/>
      </w:rPr>
      <w:t xml:space="preserve">InformationPhysics.ai</w:t>
    </w:r>
    <w:r>
      <w:rPr>
        <w:color w:val="94A3B8"/>
        <w:sz w:val="17"/>
        <w:szCs w:val="17"/>
      </w:rPr>
      <w:t xml:space="preserve">  ·  </w:t>
    </w:r>
    <w:r>
      <w:rPr>
        <w:rFonts w:ascii="Calibri" w:cs="Calibri" w:eastAsia="Calibri" w:hAnsi="Calibri"/>
        <w:i/>
        <w:iCs/>
        <w:color w:val="475569"/>
        <w:sz w:val="17"/>
        <w:szCs w:val="17"/>
      </w:rPr>
      <w:t xml:space="preserve">Recall Trace — James Okafor</w:t>
    </w:r>
    <w:r>
      <w:rPr>
        <w:sz w:val="17"/>
        <w:szCs w:val="17"/>
      </w:rPr>
      <w:t xml:space="preserve">	</w:t>
    </w:r>
    <w:r>
      <w:rPr>
        <w:rFonts w:ascii="Calibri" w:cs="Calibri" w:eastAsia="Calibri" w:hAnsi="Calibri"/>
        <w:b/>
        <w:bCs/>
        <w:color w:val="BE123C"/>
        <w:sz w:val="17"/>
        <w:szCs w:val="17"/>
      </w:rPr>
      <w:t xml:space="preserve">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line="32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00" w:before="240" w:line="300"/>
      <w:outlineLvl w:val="1"/>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Recall Trace — James Okafor</dc:title>
  <dc:creator>Information Physics — ChatAIO Engineering</dc:creator>
  <dc:description>Recall Trace — James Okafor — V4.5</dc:description>
  <cp:lastModifiedBy>Un-named</cp:lastModifiedBy>
  <cp:revision>1</cp:revision>
  <dcterms:created xsi:type="dcterms:W3CDTF">2026-05-01T14:53:41.164Z</dcterms:created>
  <dcterms:modified xsi:type="dcterms:W3CDTF">2026-05-01T14:53:41.164Z</dcterms:modified>
</cp:coreProperties>
</file>

<file path=docProps/custom.xml><?xml version="1.0" encoding="utf-8"?>
<Properties xmlns="http://schemas.openxmlformats.org/officeDocument/2006/custom-properties" xmlns:vt="http://schemas.openxmlformats.org/officeDocument/2006/docPropsVTypes"/>
</file>