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11D48" w:sz="18"/>
              <w:left w:val="single" w:color="E11D48" w:sz="18"/>
              <w:bottom w:val="single" w:color="E11D48" w:sz="18"/>
              <w:right w:val="single" w:color="E11D48" w:sz="18"/>
            </w:tcBorders>
            <w:shd w:fill="FFF1F2" w:val="clear"/>
            <w:tcMar>
              <w:top w:type="dxa" w:w="160"/>
              <w:left w:type="dxa" w:w="240"/>
              <w:bottom w:type="dxa" w:w="160"/>
              <w:right w:type="dxa" w:w="240"/>
            </w:tcMar>
          </w:tcPr>
          <w:p>
            <w:pPr>
              <w:spacing w:after="80" w:before="0"/>
            </w:pPr>
            <w:r>
              <w:rPr>
                <w:rFonts w:ascii="Calibri" w:cs="Calibri" w:eastAsia="Calibri" w:hAnsi="Calibri"/>
                <w:b/>
                <w:bCs/>
                <w:color w:val="BE123C"/>
                <w:sz w:val="22"/>
                <w:szCs w:val="22"/>
              </w:rPr>
              <w:t xml:space="preserve">⚠  CONFIDENTIAL — TRADE SECRET</w:t>
            </w:r>
          </w:p>
          <w:p>
            <w:pPr>
              <w:spacing w:after="0" w:before="0" w:line="280"/>
            </w:pPr>
            <w:r>
              <w:rPr>
                <w:rFonts w:ascii="Calibri" w:cs="Calibri" w:eastAsia="Calibri" w:hAnsi="Calibri"/>
                <w:color w:val="BE123C"/>
                <w:sz w:val="20"/>
                <w:szCs w:val="20"/>
              </w:rPr>
              <w:t xml:space="preserve">This document describes the internal logic, data structures, and operational behavior of a proprietary subsystem of the Information Physics Demo System. It contains confidential information and trade secrets of InformationPhysics.ai, LLC, including algorithmic detail not present in public-facing materials. Subject to the Transaction-Grade One-Way Non-Disclosure Agreement on file. Unauthorized use, disclosure, or reproduction is strictly prohibited and may result in civil and criminal liability.</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160" w:before="60" w:line="280"/>
        <w:jc w:val="center"/>
      </w:pPr>
      <w:r>
        <w:rPr>
          <w:rFonts w:ascii="Calibri" w:cs="Calibri" w:eastAsia="Calibri" w:hAnsi="Calibri"/>
          <w:b w:val="false"/>
          <w:bCs w:val="false"/>
          <w:i w:val="false"/>
          <w:iCs w:val="false"/>
          <w:caps/>
          <w:color w:val="94A3B8"/>
          <w:sz w:val="17"/>
          <w:szCs w:val="17"/>
        </w:rPr>
        <w:t xml:space="preserve">Engineering Reference — Internal / NDA-Restricted</w:t>
      </w:r>
    </w:p>
    <w:p>
      <w:pPr>
        <w:spacing w:after="80" w:before="60" w:line="280"/>
        <w:jc w:val="center"/>
      </w:pPr>
      <w:r>
        <w:rPr>
          <w:rFonts w:ascii="Calibri" w:cs="Calibri" w:eastAsia="Calibri" w:hAnsi="Calibri"/>
          <w:b/>
          <w:bCs/>
          <w:i w:val="false"/>
          <w:iCs w:val="false"/>
          <w:caps w:val="false"/>
          <w:color w:val="0F172A"/>
          <w:sz w:val="36"/>
          <w:szCs w:val="36"/>
        </w:rPr>
        <w:t xml:space="preserve">Information Physics Master Specification</w:t>
      </w:r>
    </w:p>
    <w:p>
      <w:pPr>
        <w:spacing w:after="200" w:before="60" w:line="280"/>
        <w:jc w:val="center"/>
      </w:pPr>
      <w:r>
        <w:rPr>
          <w:rFonts w:ascii="Calibri" w:cs="Calibri" w:eastAsia="Calibri" w:hAnsi="Calibri"/>
          <w:b w:val="false"/>
          <w:bCs w:val="false"/>
          <w:i/>
          <w:iCs/>
          <w:caps w:val="false"/>
          <w:color w:val="475569"/>
          <w:sz w:val="22"/>
          <w:szCs w:val="22"/>
        </w:rPr>
        <w:t xml:space="preserve">Comprehensive specification of the AIO/HSL/MRO substrate — paradigm, primitives, pipeline, cognitive mapping, comparative analysis, quantum readiness</w:t>
      </w:r>
    </w:p>
    <w:p>
      <w:pPr>
        <w:spacing w:after="40" w:before="60" w:line="280"/>
        <w:jc w:val="center"/>
      </w:pPr>
      <w:r>
        <w:rPr>
          <w:rFonts w:ascii="Calibri" w:cs="Calibri" w:eastAsia="Calibri" w:hAnsi="Calibri"/>
          <w:b/>
          <w:bCs/>
          <w:i w:val="false"/>
          <w:iCs w:val="false"/>
          <w:caps w:val="false"/>
          <w:color w:val="0F172A"/>
          <w:sz w:val="22"/>
          <w:szCs w:val="22"/>
        </w:rPr>
        <w:t xml:space="preserve">Michael Simon Bodner, Ph.D.</w:t>
      </w:r>
    </w:p>
    <w:p>
      <w:pPr>
        <w:spacing w:after="40" w:before="60" w:line="280"/>
        <w:jc w:val="center"/>
      </w:pPr>
      <w:r>
        <w:rPr>
          <w:rFonts w:ascii="Calibri" w:cs="Calibri" w:eastAsia="Calibri" w:hAnsi="Calibri"/>
          <w:b w:val="false"/>
          <w:bCs w:val="false"/>
          <w:i w:val="false"/>
          <w:iCs w:val="false"/>
          <w:caps w:val="false"/>
          <w:color w:val="0F3460"/>
          <w:sz w:val="18"/>
          <w:szCs w:val="18"/>
        </w:rPr>
        <w:t xml:space="preserve">Founder &amp; Chief Scientist, InformationPhysics.ai</w:t>
      </w:r>
    </w:p>
    <w:p>
      <w:pPr>
        <w:spacing w:after="40" w:before="60" w:line="280"/>
        <w:jc w:val="center"/>
      </w:pPr>
      <w:r>
        <w:rPr>
          <w:rFonts w:ascii="Calibri" w:cs="Calibri" w:eastAsia="Calibri" w:hAnsi="Calibri"/>
          <w:b w:val="false"/>
          <w:bCs w:val="false"/>
          <w:i w:val="false"/>
          <w:iCs w:val="false"/>
          <w:caps w:val="false"/>
          <w:color w:val="475569"/>
          <w:sz w:val="18"/>
          <w:szCs w:val="18"/>
        </w:rPr>
        <w:t xml:space="preserve">May 2026 — Software Version V4.6.0</w:t>
      </w:r>
    </w:p>
    <w:p>
      <w:pPr>
        <w:spacing w:after="40" w:before="60" w:line="280"/>
        <w:jc w:val="center"/>
      </w:pPr>
      <w:r>
        <w:rPr>
          <w:rFonts w:ascii="Consolas" w:cs="Consolas" w:eastAsia="Consolas" w:hAnsi="Consolas"/>
          <w:b w:val="false"/>
          <w:bCs w:val="false"/>
          <w:i w:val="false"/>
          <w:iCs w:val="false"/>
          <w:caps w:val="false"/>
          <w:color w:val="475569"/>
          <w:sz w:val="16"/>
          <w:szCs w:val="16"/>
        </w:rPr>
        <w:t xml:space="preserve">Full-stack specification: AIO ⊕ HSL ⊕ MRO  ·  spans Layer 1 (data) through Layer 5 (cognitive architecture)</w:t>
      </w:r>
    </w:p>
    <w:p>
      <w:pPr>
        <w:spacing w:after="240" w:before="60" w:line="280"/>
        <w:jc w:val="center"/>
      </w:pPr>
      <w:r>
        <w:rPr>
          <w:rFonts w:ascii="Calibri" w:cs="Calibri" w:eastAsia="Calibri" w:hAnsi="Calibri"/>
          <w:b w:val="false"/>
          <w:bCs w:val="false"/>
          <w:i w:val="false"/>
          <w:iCs w:val="false"/>
          <w:caps w:val="false"/>
          <w:color w:val="94A3B8"/>
          <w:sz w:val="16"/>
          <w:szCs w:val="16"/>
        </w:rPr>
        <w:t xml:space="preserve">© 2026 InformationPhysics.ai, LLC. All rights reserved.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tcMar>
              <w:top w:type="dxa" w:w="200"/>
              <w:left w:type="dxa" w:w="240"/>
              <w:bottom w:type="dxa" w:w="200"/>
              <w:right w:type="dxa" w:w="240"/>
            </w:tcMar>
          </w:tcPr>
          <w:p>
            <w:pPr>
              <w:spacing w:after="120" w:before="0"/>
            </w:pPr>
            <w:r>
              <w:rPr>
                <w:rFonts w:ascii="Calibri" w:cs="Calibri" w:eastAsia="Calibri" w:hAnsi="Calibri"/>
                <w:b/>
                <w:bCs/>
                <w:color w:val="1F3864"/>
                <w:sz w:val="24"/>
                <w:szCs w:val="24"/>
              </w:rPr>
              <w:t xml:space="preserve">Abstract</w:t>
            </w:r>
          </w:p>
          <w:p>
            <w:pPr>
              <w:spacing w:after="100" w:before="0" w:line="300"/>
            </w:pPr>
            <w:r>
              <w:rPr>
                <w:rFonts w:ascii="Calibri" w:cs="Calibri" w:eastAsia="Calibri" w:hAnsi="Calibri"/>
                <w:color w:val="475569"/>
                <w:sz w:val="21"/>
                <w:szCs w:val="21"/>
              </w:rPr>
              <w:t xml:space="preserve">Authoritative specification of the Information Physics substrate as it stands in V4.6. Establishes the Preserve-First paradigm that distinguishes this architecture from Schema-First / Medallion / RAG approaches; defines the three primitives (AIO, HSL, MRO) with their formal grammar; specifies the five-step pipeline from natural language to grounded synthesis; maps the substrate onto a five-layer cognitive architecture (Cortex / Hippocampus / Thalamus / Basal Ganglia / Cerebellum); compares it directly to the Medallion + RAG status quo; and identifies three quantum-leverage points that make the substrate quantum-receptive.</w:t>
            </w:r>
          </w:p>
          <w:p>
            <w:pPr>
              <w:spacing w:after="0" w:before="0" w:line="300"/>
            </w:pPr>
            <w:r>
              <w:rPr>
                <w:rFonts w:ascii="Calibri" w:cs="Calibri" w:eastAsia="Calibri" w:hAnsi="Calibri"/>
                <w:color w:val="475569"/>
                <w:sz w:val="21"/>
                <w:szCs w:val="21"/>
              </w:rPr>
              <w:t xml:space="preserve">Companion to the Search Modes Compendium V4.6 (operator-facing) and the RLM vs. Information Physics comparison (architecture-facing). This document is the canonical foundational specification — every other technote in the reference set assumes the model defined here.</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1.  The Paradigm Shift: Schema-First → Preserve-First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1.1  The Crisis of Traditional Data Curation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Traditional enterprise architectures are built on a Schema-First assumption — a legacy of mid-20th-century compute constraints. Whether realized as relational databases or the contemporary Medallion Lakehouse pattern, these systems require architects to determine which questions matter before data is stored. This imposition of rigid tables performs a lossy, irreversible compression: it discards the rich, multi-dimensional context of the original observation.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When analytical requirements or LLM prompts inevitably shift — and they always do — the architecture becomes brittle. Adapting requires expensive re-engineering of the entire ETL pipeline. The schema is the point of fragility.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Information Physics mandates the opposite thesis: Preserve-First. Information is captured as bounded, inherently contextual objects that retain their integrity independent of downstream modeling. This enables late-binding interpretability — meaning is derived at the moment of inquiry rather than hardened into a decontextualized row at the moment of ingestion.</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1.2  Measurement vs. Extraction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In this substrate, data is not extracted from static tables — it is measured by instruments. An extraction operation is a deterministic function over a fixed schema; it retrieves only what the schema permits. An Information Physics measurement treats the query as a hypothesis generator. The act of querying collapses a complex informational state into a specific, useful answer — analogous to wavefunction collapse in quantum mechanics.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00"/>
            </w:tblGrid>
            <w:tr>
              <w:trPr>
                <w:tblHeader/>
              </w:trPr>
              <w:tc>
                <w:tcPr>
                  <w:tcW w:type="dxa" w:w="2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Feature</w:t>
                  </w:r>
                </w:p>
              </w:tc>
              <w:tc>
                <w:tcPr>
                  <w:tcW w:type="dxa" w:w="3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Extraction (Traditional)</w:t>
                  </w:r>
                </w:p>
              </w:tc>
              <w:tc>
                <w:tcPr>
                  <w:tcW w:type="dxa" w:w="39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Measurement (Information Physics)</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Operational definition</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Retrieving data defined by a fixed schema</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Applying an instrument to a preserved state to obtain evidence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Epistemic logic</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schema determines availability</w:t>
                  </w:r>
                </w:p>
              </w:tc>
              <w:tc>
                <w:tcPr>
                  <w:tcW w:type="dxa" w:w="3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instrument and hypothesis determine the result</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Flexibility</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Brittle; requires re-modeling for new questions</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Multi-instrument; data supports infinite interpretations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Result state</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 decontextualized data point</w:t>
                  </w:r>
                </w:p>
              </w:tc>
              <w:tc>
                <w:tcPr>
                  <w:tcW w:type="dxa" w:w="3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 result with provenance, uncertainty, and context</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1.3  The Seven Foundational Laws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substrate is governed by seven invariant laws that ensure epistemic integrity. Every implementation that calls itself Information Physics must honor all seven.</w:t>
            </w:r>
          </w:p>
          <w:p>
            <w:pPr>
              <w:spacing w:after="40" w:before="40" w:line="280"/>
              <w:ind w:left="720" w:hanging="360"/>
            </w:pPr>
            <w:r>
              <w:rPr>
                <w:rFonts w:ascii="Calibri" w:cs="Calibri" w:eastAsia="Calibri" w:hAnsi="Calibri"/>
                <w:color w:val="0F172A"/>
                <w:sz w:val="21"/>
                <w:szCs w:val="21"/>
              </w:rPr>
              <w:t xml:space="preserve">1.   Conservation of Provenance — Every answer must trace back to its source. No derived result may exist without an explicit, unbroken lineage.</w:t>
            </w:r>
          </w:p>
          <w:p>
            <w:pPr>
              <w:spacing w:after="40" w:before="40" w:line="280"/>
              <w:ind w:left="720" w:hanging="360"/>
            </w:pPr>
            <w:r>
              <w:rPr>
                <w:rFonts w:ascii="Calibri" w:cs="Calibri" w:eastAsia="Calibri" w:hAnsi="Calibri"/>
                <w:color w:val="0F172A"/>
                <w:sz w:val="21"/>
                <w:szCs w:val="21"/>
              </w:rPr>
              <w:t xml:space="preserve">2.   Contextual Meaning — No measurement is valid without an explicit context frame: tenant, domain, time, and permission scope.</w:t>
            </w:r>
          </w:p>
          <w:p>
            <w:pPr>
              <w:spacing w:after="40" w:before="40" w:line="280"/>
              <w:ind w:left="720" w:hanging="360"/>
            </w:pPr>
            <w:r>
              <w:rPr>
                <w:rFonts w:ascii="Calibri" w:cs="Calibri" w:eastAsia="Calibri" w:hAnsi="Calibri"/>
                <w:color w:val="0F172A"/>
                <w:sz w:val="21"/>
                <w:szCs w:val="21"/>
              </w:rPr>
              <w:t xml:space="preserve">3.   Reversibility through Versioning — Transformations create new versioned derivations rather than overwriting. The information universe only grows; it never silently loses state.</w:t>
            </w:r>
          </w:p>
          <w:p>
            <w:pPr>
              <w:spacing w:after="40" w:before="40" w:line="280"/>
              <w:ind w:left="720" w:hanging="360"/>
            </w:pPr>
            <w:r>
              <w:rPr>
                <w:rFonts w:ascii="Calibri" w:cs="Calibri" w:eastAsia="Calibri" w:hAnsi="Calibri"/>
                <w:color w:val="0F172A"/>
                <w:sz w:val="21"/>
                <w:szCs w:val="21"/>
              </w:rPr>
              <w:t xml:space="preserve">4.   Entropy Accounting — The substrate must record what was omitted, compressed, or redacted during measurement. Every summarization or filter acknowledges its information cost.</w:t>
            </w:r>
          </w:p>
          <w:p>
            <w:pPr>
              <w:spacing w:after="40" w:before="40" w:line="280"/>
              <w:ind w:left="720" w:hanging="360"/>
            </w:pPr>
            <w:r>
              <w:rPr>
                <w:rFonts w:ascii="Calibri" w:cs="Calibri" w:eastAsia="Calibri" w:hAnsi="Calibri"/>
                <w:color w:val="0F172A"/>
                <w:sz w:val="21"/>
                <w:szCs w:val="21"/>
              </w:rPr>
              <w:t xml:space="preserve">5.   Instrument Declaration — Every answer must identify the tool, model, or parameters that produced it. The instrument is part of the measurement record.</w:t>
            </w:r>
          </w:p>
          <w:p>
            <w:pPr>
              <w:spacing w:after="40" w:before="40" w:line="280"/>
              <w:ind w:left="720" w:hanging="360"/>
            </w:pPr>
            <w:r>
              <w:rPr>
                <w:rFonts w:ascii="Calibri" w:cs="Calibri" w:eastAsia="Calibri" w:hAnsi="Calibri"/>
                <w:color w:val="0F172A"/>
                <w:sz w:val="21"/>
                <w:szCs w:val="21"/>
              </w:rPr>
              <w:t xml:space="preserve">6.   Topological Boundedness — Reasoning must define the graph radius and boundary conditions of the evidence traversed in the information universe.</w:t>
            </w:r>
          </w:p>
          <w:p>
            <w:pPr>
              <w:spacing w:after="40" w:before="40" w:line="280"/>
              <w:ind w:left="720" w:hanging="360"/>
            </w:pPr>
            <w:r>
              <w:rPr>
                <w:rFonts w:ascii="Calibri" w:cs="Calibri" w:eastAsia="Calibri" w:hAnsi="Calibri"/>
                <w:color w:val="0F172A"/>
                <w:sz w:val="21"/>
                <w:szCs w:val="21"/>
              </w:rPr>
              <w:t xml:space="preserve">7.   Policy-Constrained Observability — Access is a physical constraint of the system. Not all observers may measure all states; policy is an inherent property of the physics.</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2.  The Primitives: AIO, HSL, MRO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2.1  The Associated Information Object (AIO)</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AIO is the quantum particle of Information Physics — the minimal, self-describing unit of preserved observation. Formally: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a = ⟨ e₁, e₂, e₃, …, eₙ ⟩</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Each element e = (k, v) binds a semantic key k to an observed value v at the moment of capture. The first three elements are mandatory metadata: OriginalCSV, FileDate, FileTime.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AIO grammar (sample RFI record):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[OriginalCSV.acc_rfis.csv]</w:t>
                  </w:r>
                </w:p>
                <w:p>
                  <w:pPr>
                    <w:shd w:fill="F1F5F9" w:val="clear"/>
                    <w:spacing w:after="0" w:before="0" w:line="240"/>
                  </w:pPr>
                  <w:r>
                    <w:rPr>
                      <w:rFonts w:ascii="Consolas" w:cs="Consolas" w:eastAsia="Consolas" w:hAnsi="Consolas"/>
                      <w:color w:val="0F172A"/>
                      <w:sz w:val="18"/>
                      <w:szCs w:val="18"/>
                    </w:rPr>
                    <w:t xml:space="preserve">[FileDate.2026-03-08]</w:t>
                  </w:r>
                </w:p>
                <w:p>
                  <w:pPr>
                    <w:shd w:fill="F1F5F9" w:val="clear"/>
                    <w:spacing w:after="0" w:before="0" w:line="240"/>
                  </w:pPr>
                  <w:r>
                    <w:rPr>
                      <w:rFonts w:ascii="Consolas" w:cs="Consolas" w:eastAsia="Consolas" w:hAnsi="Consolas"/>
                      <w:color w:val="0F172A"/>
                      <w:sz w:val="18"/>
                      <w:szCs w:val="18"/>
                    </w:rPr>
                    <w:t xml:space="preserve">[FileTime.19:30:00]</w:t>
                  </w:r>
                </w:p>
                <w:p>
                  <w:pPr>
                    <w:shd w:fill="F1F5F9" w:val="clear"/>
                    <w:spacing w:after="0" w:before="0" w:line="240"/>
                  </w:pPr>
                  <w:r>
                    <w:rPr>
                      <w:rFonts w:ascii="Consolas" w:cs="Consolas" w:eastAsia="Consolas" w:hAnsi="Consolas"/>
                      <w:color w:val="0F172A"/>
                      <w:sz w:val="18"/>
                      <w:szCs w:val="18"/>
                    </w:rPr>
                    <w:t xml:space="preserve">[RFI ID.RFI-0042]</w:t>
                  </w:r>
                </w:p>
                <w:p>
                  <w:pPr>
                    <w:shd w:fill="F1F5F9" w:val="clear"/>
                    <w:spacing w:after="0" w:before="0" w:line="240"/>
                  </w:pPr>
                  <w:r>
                    <w:rPr>
                      <w:rFonts w:ascii="Consolas" w:cs="Consolas" w:eastAsia="Consolas" w:hAnsi="Consolas"/>
                      <w:color w:val="0F172A"/>
                      <w:sz w:val="18"/>
                      <w:szCs w:val="18"/>
                    </w:rPr>
                    <w:t xml:space="preserve">[Project ID.PRJ-001]</w:t>
                  </w:r>
                </w:p>
                <w:p>
                  <w:pPr>
                    <w:shd w:fill="F1F5F9" w:val="clear"/>
                    <w:spacing w:after="0" w:before="0" w:line="240"/>
                  </w:pPr>
                  <w:r>
                    <w:rPr>
                      <w:rFonts w:ascii="Consolas" w:cs="Consolas" w:eastAsia="Consolas" w:hAnsi="Consolas"/>
                      <w:color w:val="0F172A"/>
                      <w:sz w:val="18"/>
                      <w:szCs w:val="18"/>
                    </w:rPr>
                    <w:t xml:space="preserve">[Status.Closed]</w:t>
                  </w:r>
                </w:p>
                <w:p>
                  <w:pPr>
                    <w:shd w:fill="F1F5F9" w:val="clear"/>
                    <w:spacing w:after="0" w:before="0" w:line="240"/>
                  </w:pPr>
                  <w:r>
                    <w:rPr>
                      <w:rFonts w:ascii="Consolas" w:cs="Consolas" w:eastAsia="Consolas" w:hAnsi="Consolas"/>
                      <w:color w:val="0F172A"/>
                      <w:sz w:val="18"/>
                      <w:szCs w:val="18"/>
                    </w:rPr>
                    <w:t xml:space="preserve">…</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Each AIO is row-stored in aio_data with up to 50 element columns and a free-form aio_name. The bracket grammar is uniform across financial, clinical, manufacturing, and narrative corpora — it is the substrate's universal serialization.</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2.2  The Hyper-Semantic Layer (HSL)</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HSL is the connective topology of the substrate. It replaces the flat, unstructured corpus of traditional RAG with a precomputed relational fabric. HSL strings link AIOs through shared elements across five discrete layers:</w:t>
            </w:r>
          </w:p>
          <w:p>
            <w:pPr>
              <w:spacing w:after="40" w:before="40" w:line="280"/>
              <w:ind w:left="720" w:hanging="360"/>
            </w:pPr>
            <w:r>
              <w:rPr>
                <w:rFonts w:ascii="Calibri" w:cs="Calibri" w:eastAsia="Calibri" w:hAnsi="Calibri"/>
                <w:color w:val="0F172A"/>
                <w:sz w:val="21"/>
                <w:szCs w:val="21"/>
              </w:rPr>
              <w:t xml:space="preserve">•   Element — exact matches of (Key, Value) pairs</w:t>
            </w:r>
          </w:p>
          <w:p>
            <w:pPr>
              <w:spacing w:after="40" w:before="40" w:line="280"/>
              <w:ind w:left="720" w:hanging="360"/>
            </w:pPr>
            <w:r>
              <w:rPr>
                <w:rFonts w:ascii="Calibri" w:cs="Calibri" w:eastAsia="Calibri" w:hAnsi="Calibri"/>
                <w:color w:val="0F172A"/>
                <w:sz w:val="21"/>
                <w:szCs w:val="21"/>
              </w:rPr>
              <w:t xml:space="preserve">•   Entity — links based on resolved real-world identities</w:t>
            </w:r>
          </w:p>
          <w:p>
            <w:pPr>
              <w:spacing w:after="40" w:before="40" w:line="280"/>
              <w:ind w:left="720" w:hanging="360"/>
            </w:pPr>
            <w:r>
              <w:rPr>
                <w:rFonts w:ascii="Calibri" w:cs="Calibri" w:eastAsia="Calibri" w:hAnsi="Calibri"/>
                <w:color w:val="0F172A"/>
                <w:sz w:val="21"/>
                <w:szCs w:val="21"/>
              </w:rPr>
              <w:t xml:space="preserve">•   Semantic — links based on embedding-neighborhood proximity</w:t>
            </w:r>
          </w:p>
          <w:p>
            <w:pPr>
              <w:spacing w:after="40" w:before="40" w:line="280"/>
              <w:ind w:left="720" w:hanging="360"/>
            </w:pPr>
            <w:r>
              <w:rPr>
                <w:rFonts w:ascii="Calibri" w:cs="Calibri" w:eastAsia="Calibri" w:hAnsi="Calibri"/>
                <w:color w:val="0F172A"/>
                <w:sz w:val="21"/>
                <w:szCs w:val="21"/>
              </w:rPr>
              <w:t xml:space="preserve">•   Temporal — links based on sequence or co-occurrence in time</w:t>
            </w:r>
          </w:p>
          <w:p>
            <w:pPr>
              <w:spacing w:after="40" w:before="40" w:line="280"/>
              <w:ind w:left="720" w:hanging="360"/>
            </w:pPr>
            <w:r>
              <w:rPr>
                <w:rFonts w:ascii="Calibri" w:cs="Calibri" w:eastAsia="Calibri" w:hAnsi="Calibri"/>
                <w:color w:val="0F172A"/>
                <w:sz w:val="21"/>
                <w:szCs w:val="21"/>
              </w:rPr>
              <w:t xml:space="preserve">•   Policy — sanctioned relations imposed by governance rules or ontologies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Stored in hsl_data with hsl_name = [Key.Value].hsl and a member list pointing to the AIOs sharing that anchor. The HSL set is a deterministic function of the AIO set, computed offline by synth_hsls_for_aio. Used at query time as a lookup, not a computation.</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2.3  The Memory Result Object (MRO)</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MRO represents episodic memory — a single retrieval-and-inference episode persisted to the substrate. Formally a seven-tuple: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m = ⟨ Q, S, C, O, R, P, L ⟩</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400"/>
            </w:tblGrid>
            <w:tr>
              <w:trPr>
                <w:tblHeader/>
              </w:trPr>
              <w:tc>
                <w:tcPr>
                  <w:tcW w:type="dxa" w:w="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Symbol</w:t>
                  </w:r>
                </w:p>
              </w:tc>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Component</w:t>
                  </w:r>
                </w:p>
              </w:tc>
              <w:tc>
                <w:tcPr>
                  <w:tcW w:type="dxa" w:w="6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Meaning</w:t>
                  </w:r>
                </w:p>
              </w:tc>
            </w:tr>
            <w:tr>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Q</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Query cue set</w:t>
                  </w:r>
                </w:p>
              </w:tc>
              <w:tc>
                <w:tcPr>
                  <w:tcW w:type="dxa" w:w="6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(key, value) cues extracted from the natural-language query</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Seed AIO identifiers</w:t>
                  </w:r>
                </w:p>
              </w:tc>
              <w:tc>
                <w:tcPr>
                  <w:tcW w:type="dxa" w:w="6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AIO IDs that anchored the retrieval</w:t>
                  </w:r>
                </w:p>
              </w:tc>
            </w:tr>
            <w:tr>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Context bundle</w:t>
                  </w:r>
                </w:p>
              </w:tc>
              <w:tc>
                <w:tcPr>
                  <w:tcW w:type="dxa" w:w="6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substrate envelope handed to the LLM</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Operator configuration</w:t>
                  </w:r>
                </w:p>
              </w:tc>
              <w:tc>
                <w:tcPr>
                  <w:tcW w:type="dxa" w:w="6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Mode, model, similarity thresholds, cap settings</w:t>
                  </w:r>
                </w:p>
              </w:tc>
            </w:tr>
            <w:tr>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Result synthesis</w:t>
                  </w:r>
                </w:p>
              </w:tc>
              <w:tc>
                <w:tcPr>
                  <w:tcW w:type="dxa" w:w="6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LLM's verbatim reply</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Provenance envelope</w:t>
                  </w:r>
                </w:p>
              </w:tc>
              <w:tc>
                <w:tcPr>
                  <w:tcW w:type="dxa" w:w="6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Token usage, cache state, timestamps, tenant</w:t>
                  </w:r>
                </w:p>
              </w:tc>
            </w:tr>
            <w:tr>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Lineage links</w:t>
                  </w:r>
                </w:p>
              </w:tc>
              <w:tc>
                <w:tcPr>
                  <w:tcW w:type="dxa" w:w="6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Pointers to contributing HSL records and AIOs (back-pointers as [MRO.&lt;uuid&gt;] tokens)</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By persisting MROs and back-pointering them into contributing HSLs as [MRO.&lt;uuid&gt;] element tokens, the substrate achieves recursive self-enrichment — every successful query densifies the relational fabric for future queries.</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3.  The AIO/HSL/MRO Pipeline and Context Assembly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3.1  Step 1 — Deterministic Cue Extraction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pipeline begins by converting natural language into a cue set K without an LLM call. The operator scans the query against the corpus vocabulary with complexity: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O( |q| · |F| + |q| · |V| )</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Three rules govern emission:</w:t>
            </w:r>
          </w:p>
          <w:p>
            <w:pPr>
              <w:spacing w:after="40" w:before="40" w:line="280"/>
              <w:ind w:left="720" w:hanging="360"/>
            </w:pPr>
            <w:r>
              <w:rPr>
                <w:rFonts w:ascii="Calibri" w:cs="Calibri" w:eastAsia="Calibri" w:hAnsi="Calibri"/>
                <w:color w:val="0F172A"/>
                <w:sz w:val="21"/>
                <w:szCs w:val="21"/>
              </w:rPr>
              <w:t xml:space="preserve">•   Rule 2.1 — Exact bracket matches (e.g., k.v) are emitted as cues.</w:t>
            </w:r>
          </w:p>
          <w:p>
            <w:pPr>
              <w:spacing w:after="40" w:before="40" w:line="280"/>
              <w:ind w:left="720" w:hanging="360"/>
            </w:pPr>
            <w:r>
              <w:rPr>
                <w:rFonts w:ascii="Calibri" w:cs="Calibri" w:eastAsia="Calibri" w:hAnsi="Calibri"/>
                <w:color w:val="0F172A"/>
                <w:sz w:val="21"/>
                <w:szCs w:val="21"/>
              </w:rPr>
              <w:t xml:space="preserve">•   Rule 2.2 — For every field f ∈ F, if a value t ∈ V appears within an 80-character window of f in q, emit (f, t).</w:t>
            </w:r>
          </w:p>
          <w:p>
            <w:pPr>
              <w:spacing w:after="40" w:before="40" w:line="280"/>
              <w:ind w:left="720" w:hanging="360"/>
            </w:pPr>
            <w:r>
              <w:rPr>
                <w:rFonts w:ascii="Calibri" w:cs="Calibri" w:eastAsia="Calibri" w:hAnsi="Calibri"/>
                <w:color w:val="0F172A"/>
                <w:sz w:val="21"/>
                <w:szCs w:val="21"/>
              </w:rPr>
              <w:t xml:space="preserve">•   Rule 2.3 — For every v ∈ V where |v| ≥ 3, emit the value-only cue (*, v).</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V4.6 adds a fourth rule (Pass 1d) — typo-tolerant fallback: every 4+-char query word that did not resolve via rules 2.1–2.3 is emitted as a wildcard cue (*, word) and resolved server-side via pg_trgm + bidirectional substring fallback.</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3.2  Step 2 — Compound HSL Operation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substrate performs a neighborhood traversal N(K). This Compound HSL operation replaces approximate vector similarity with exact set intersection: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N(K) = ⋂  H(c)</w:t>
                  </w:r>
                </w:p>
                <w:p>
                  <w:pPr>
                    <w:shd w:fill="F1F5F9" w:val="clear"/>
                    <w:spacing w:after="0" w:before="0" w:line="240"/>
                  </w:pPr>
                  <w:r>
                    <w:rPr>
                      <w:rFonts w:ascii="Consolas" w:cs="Consolas" w:eastAsia="Consolas" w:hAnsi="Consolas"/>
                      <w:color w:val="0F172A"/>
                      <w:sz w:val="18"/>
                      <w:szCs w:val="18"/>
                    </w:rPr>
                    <w:t xml:space="preserve">         c∈K</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Where H(c) is the AIO set reachable through HSL cue c. An AIO is retrieved only if it satisfies the HSL neighborhood of every cue in the set.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3.3  Step 3 — MRO Ranking (Jaccard × Freshness × Confidence)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Prior episodes are retrieved and ranked using a multiplicative score: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score(m, K) = J(K_m, K) · f(Δ_m) · c_m</w:t>
                  </w:r>
                </w:p>
              </w:tc>
            </w:tr>
          </w:tbl>
          <w:p>
            <w:pPr>
              <w:spacing w:after="40" w:before="40" w:line="280"/>
              <w:ind w:left="720" w:hanging="360"/>
            </w:pPr>
            <w:r>
              <w:rPr>
                <w:rFonts w:ascii="Calibri" w:cs="Calibri" w:eastAsia="Calibri" w:hAnsi="Calibri"/>
                <w:color w:val="0F172A"/>
                <w:sz w:val="21"/>
                <w:szCs w:val="21"/>
              </w:rPr>
              <w:t xml:space="preserve">•   Jaccard relevance — structural similarity |A ∩ B| / |A ∪ B| between current and prior cue sets.</w:t>
            </w:r>
          </w:p>
          <w:p>
            <w:pPr>
              <w:spacing w:after="40" w:before="40" w:line="280"/>
              <w:ind w:left="720" w:hanging="360"/>
            </w:pPr>
            <w:r>
              <w:rPr>
                <w:rFonts w:ascii="Calibri" w:cs="Calibri" w:eastAsia="Calibri" w:hAnsi="Calibri"/>
                <w:color w:val="0F172A"/>
                <w:sz w:val="21"/>
                <w:szCs w:val="21"/>
              </w:rPr>
              <w:t xml:space="preserve">•   Freshness — exponential decay f(Δ) = e^(-λΔ) where λ = ln(2)/h and h = 30 days (default half-life).</w:t>
            </w:r>
          </w:p>
          <w:p>
            <w:pPr>
              <w:spacing w:after="40" w:before="40" w:line="280"/>
              <w:ind w:left="720" w:hanging="360"/>
            </w:pPr>
            <w:r>
              <w:rPr>
                <w:rFonts w:ascii="Calibri" w:cs="Calibri" w:eastAsia="Calibri" w:hAnsi="Calibri"/>
                <w:color w:val="0F172A"/>
                <w:sz w:val="21"/>
                <w:szCs w:val="21"/>
              </w:rPr>
              <w:t xml:space="preserve">•   Confidence — the stored trust score of the prior synthesis.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Factors are MULTIPLICATIVE because high relevance on a stale MRO is an unreliable prior; the product drives the score to zero if any factor is weak. A recent high-confidence MRO with strong cue overlap dominates; a stale or low-confidence prior cannot crowd it out.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3.4  Step 4 — Tiered Context Bundle Assembly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Evidence is organized into a strict hierarchy so the LLM can distinguish evidence types: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00"/>
            </w:tblGrid>
            <w:tr>
              <w:trPr>
                <w:tblHeader/>
              </w:trPr>
              <w:tc>
                <w:tcPr>
                  <w:tcW w:type="dxa" w:w="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Tier</w:t>
                  </w:r>
                </w:p>
              </w:tc>
              <w:tc>
                <w:tcPr>
                  <w:tcW w:type="dxa" w:w="2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Component</w:t>
                  </w:r>
                </w:p>
              </w:tc>
              <w:tc>
                <w:tcPr>
                  <w:tcW w:type="dxa" w:w="6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Role</w:t>
                  </w:r>
                </w:p>
              </w:tc>
            </w:tr>
            <w:tr>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System Prompt</w:t>
                  </w:r>
                </w:p>
              </w:tc>
              <w:tc>
                <w:tcPr>
                  <w:tcW w:type="dxa" w:w="6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Governance, framing, and constraints</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Priors</w:t>
                  </w:r>
                </w:p>
              </w:tc>
              <w:tc>
                <w:tcPr>
                  <w:tcW w:type="dxa" w:w="6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Episodic framing — previously established findings</w:t>
                  </w:r>
                </w:p>
              </w:tc>
            </w:tr>
            <w:tr>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HSL Neighborhoods</w:t>
                  </w:r>
                </w:p>
              </w:tc>
              <w:tc>
                <w:tcPr>
                  <w:tcW w:type="dxa" w:w="6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Relational context — connected AIO subgraphs</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Direct AIO Evidence</w:t>
                  </w:r>
                </w:p>
              </w:tc>
              <w:tc>
                <w:tcPr>
                  <w:tcW w:type="dxa" w:w="6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Direct evidence — source observations</w:t>
                  </w:r>
                </w:p>
              </w:tc>
            </w:tr>
            <w:tr>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4</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User Query</w:t>
                  </w:r>
                </w:p>
              </w:tc>
              <w:tc>
                <w:tcPr>
                  <w:tcW w:type="dxa" w:w="6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initiating question</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3.5  Step 5 — MRO Capture and Persistence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resulting synthesis is captured as a new MRO and persisted back to the substrate. This makes the Gold tier of the substrate recursive: the next similar query benefits from this episode as a Tier 1 prior. Back-pointer write into every contributing HSL completes the lineage closure.</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4.  Cognitive Architecture: The 5-Layer Brain Mapping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4.1  Functional Correspondences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00"/>
            </w:tblGrid>
            <w:tr>
              <w:trPr>
                <w:tblHeader/>
              </w:trPr>
              <w:tc>
                <w:tcPr>
                  <w:tcW w:type="dxa" w:w="2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Layer</w:t>
                  </w:r>
                </w:p>
              </w:tc>
              <w:tc>
                <w:tcPr>
                  <w:tcW w:type="dxa" w:w="2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Biological Analogue</w:t>
                  </w:r>
                </w:p>
              </w:tc>
              <w:tc>
                <w:tcPr>
                  <w:tcW w:type="dxa" w:w="5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Platform Component</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Cortex</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Cerebral Cortex</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LLM reasoning; hypothesis generation</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Hippocampus</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Hippocampus</w:t>
                  </w:r>
                </w:p>
              </w:tc>
              <w:tc>
                <w:tcPr>
                  <w:tcW w:type="dxa" w:w="5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AIO Registry; multi-index (lexical / entity / vector / temporal)</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Thalamus</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Thalamus</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Routing layer; selects measurement instruments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Basal Ganglia</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Basal Ganglia</w:t>
                  </w:r>
                </w:p>
              </w:tc>
              <w:tc>
                <w:tcPr>
                  <w:tcW w:type="dxa" w:w="5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 Laws; policy and action gating</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Cerebellum</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Cerebellum</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Fast, typed operator pipelines (e.g., link(), extract())</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4.2  Neurocognitive Theory Integration</w:t>
            </w:r>
          </w:p>
          <w:p>
            <w:pPr>
              <w:spacing w:after="40" w:before="40" w:line="280"/>
              <w:ind w:left="720" w:hanging="360"/>
            </w:pPr>
            <w:r>
              <w:rPr>
                <w:rFonts w:ascii="Calibri" w:cs="Calibri" w:eastAsia="Calibri" w:hAnsi="Calibri"/>
                <w:color w:val="0F172A"/>
                <w:sz w:val="21"/>
                <w:szCs w:val="21"/>
              </w:rPr>
              <w:t xml:space="preserve">•   Predictive Processing — implemented as active inference, where the system minimizes surprise (free energy) at the information layer by generating hypotheses about relevant data via measurement instruments.</w:t>
            </w:r>
          </w:p>
          <w:p>
            <w:pPr>
              <w:spacing w:after="40" w:before="40" w:line="280"/>
              <w:ind w:left="720" w:hanging="360"/>
            </w:pPr>
            <w:r>
              <w:rPr>
                <w:rFonts w:ascii="Calibri" w:cs="Calibri" w:eastAsia="Calibri" w:hAnsi="Calibri"/>
                <w:color w:val="0F172A"/>
                <w:sz w:val="21"/>
                <w:szCs w:val="21"/>
              </w:rPr>
              <w:t xml:space="preserve">•   Hippocampal Indexing — the AIO Registry stores sparse pointers to reactivate distributed cortical patterns, reconstituting context from constituent features.</w:t>
            </w:r>
          </w:p>
          <w:p>
            <w:pPr>
              <w:spacing w:after="40" w:before="40" w:line="280"/>
              <w:ind w:left="720" w:hanging="360"/>
            </w:pPr>
            <w:r>
              <w:rPr>
                <w:rFonts w:ascii="Calibri" w:cs="Calibri" w:eastAsia="Calibri" w:hAnsi="Calibri"/>
                <w:color w:val="0F172A"/>
                <w:sz w:val="21"/>
                <w:szCs w:val="21"/>
              </w:rPr>
              <w:t xml:space="preserve">•   Attractor Networks — multi-dimensional indexing creates a multi-cue attractor basin. Convergent evidence pathways drive retrieval toward correct information objects even when no single index dimension provides a definitive match.</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5.  Comparative Analysis: Information Physics vs. Medallion / RAG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5.1  The Structural Upgrade</w:t>
            </w:r>
          </w:p>
          <w:p>
            <w:pPr>
              <w:spacing w:after="40" w:before="40" w:line="280"/>
              <w:ind w:left="720" w:hanging="360"/>
            </w:pPr>
            <w:r>
              <w:rPr>
                <w:rFonts w:ascii="Calibri" w:cs="Calibri" w:eastAsia="Calibri" w:hAnsi="Calibri"/>
                <w:color w:val="0F172A"/>
                <w:sz w:val="21"/>
                <w:szCs w:val="21"/>
              </w:rPr>
              <w:t xml:space="preserve">•   AIO = Bronze + Silver — AIOs preserve raw values (Bronze) while binding them to semantic keys (Silver) in a single lossless operation.</w:t>
            </w:r>
          </w:p>
          <w:p>
            <w:pPr>
              <w:spacing w:after="40" w:before="40" w:line="280"/>
              <w:ind w:left="720" w:hanging="360"/>
            </w:pPr>
            <w:r>
              <w:rPr>
                <w:rFonts w:ascii="Calibri" w:cs="Calibri" w:eastAsia="Calibri" w:hAnsi="Calibri"/>
                <w:color w:val="0F172A"/>
                <w:sz w:val="21"/>
                <w:szCs w:val="21"/>
              </w:rPr>
              <w:t xml:space="preserve">•   HSL = Gold — HSL provides a precomputed topology that is structural and pre-integrated, rather than a statically curated batch.</w:t>
            </w:r>
          </w:p>
          <w:p>
            <w:pPr>
              <w:spacing w:after="40" w:before="40" w:line="280"/>
              <w:ind w:left="720" w:hanging="360"/>
            </w:pPr>
            <w:r>
              <w:rPr>
                <w:rFonts w:ascii="Calibri" w:cs="Calibri" w:eastAsia="Calibri" w:hAnsi="Calibri"/>
                <w:color w:val="0F172A"/>
                <w:sz w:val="21"/>
                <w:szCs w:val="21"/>
              </w:rPr>
              <w:t xml:space="preserve">•   MRO = Recursive Gold — Unlike static Medallion tables, MROs allow the Gold layer to self-improve and densify through use.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5.2  Mathematical Advantages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Property</w:t>
                  </w:r>
                </w:p>
              </w:tc>
              <w:tc>
                <w:tcPr>
                  <w:tcW w:type="dxa" w:w="4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Information Physics</w:t>
                  </w:r>
                </w:p>
              </w:tc>
              <w:tc>
                <w:tcPr>
                  <w:tcW w:type="dxa" w:w="3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Traditional RAG</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Computational complexity</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O(k · max|H(c)|) — neighborhood-bounded</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O(n · d) — full-corpus scan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Composition</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First-class set operations (union, intersection)</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Vector similarity is not compositional</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Claim-level traceability</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Provenance conservation as a law (every claim traces to a specific AIO)</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Typically lost during the lossy chunking stage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Per-query cost reduction</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Two orders of magnitude vs. RAG on the demo corpus</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Baseline</w:t>
                  </w:r>
                </w:p>
              </w:tc>
            </w:tr>
          </w:tbl>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6.  Quantum Computing Readiness and Asymmetric Advantage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6.1  The Concept of Quantum Receptivity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Transformer-based LLMs are quantum-inert — their dense continuous linear algebra offers no advantage on quantum hardware. The Information Physics substrate possesses Structural Receptivity: it is built from discrete states and graphs that known quantum algorithms specifically accelerate.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This is not a speculative claim about future hardware. It is a present-tense architectural property: the AIO/HSL/MRO substrate has the SAME computational shape that quantum algorithms are designed to attack. The classical implementation is correct; the quantum implementation, when hardware is available, is a drop-in replacement of the inner operators.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6.2  Three Quantum Leverage Points</w:t>
            </w:r>
          </w:p>
          <w:p>
            <w:pPr>
              <w:spacing w:after="40" w:before="40" w:line="280"/>
              <w:ind w:left="720" w:hanging="360"/>
            </w:pPr>
            <w:r>
              <w:rPr>
                <w:rFonts w:ascii="Calibri" w:cs="Calibri" w:eastAsia="Calibri" w:hAnsi="Calibri"/>
                <w:color w:val="0F172A"/>
                <w:sz w:val="21"/>
                <w:szCs w:val="21"/>
              </w:rPr>
              <w:t xml:space="preserve">•   AIO (Superposition) — multi-projection AIOs can be amplitude-encoded, allowing a quantum register to hold all perspectives (lexical, semantic, temporal) in superposition.</w:t>
            </w:r>
          </w:p>
          <w:p>
            <w:pPr>
              <w:spacing w:after="40" w:before="40" w:line="280"/>
              <w:ind w:left="720" w:hanging="360"/>
            </w:pPr>
            <w:r>
              <w:rPr>
                <w:rFonts w:ascii="Calibri" w:cs="Calibri" w:eastAsia="Calibri" w:hAnsi="Calibri"/>
                <w:color w:val="0F172A"/>
                <w:sz w:val="21"/>
                <w:szCs w:val="21"/>
              </w:rPr>
              <w:t xml:space="preserve">•   HSL (Quantum Walks) — quantum walk algorithms navigate the HSL graph with quadratic speedups over classical traversal.</w:t>
            </w:r>
          </w:p>
          <w:p>
            <w:pPr>
              <w:spacing w:after="40" w:before="40" w:line="280"/>
              <w:ind w:left="720" w:hanging="360"/>
            </w:pPr>
            <w:r>
              <w:rPr>
                <w:rFonts w:ascii="Calibri" w:cs="Calibri" w:eastAsia="Calibri" w:hAnsi="Calibri"/>
                <w:color w:val="0F172A"/>
                <w:sz w:val="21"/>
                <w:szCs w:val="21"/>
              </w:rPr>
              <w:t xml:space="preserve">•   MRO (Associative Memory) — utilizing Trugenberger's quantum associative memory, the substrate achieves exponential capacity for recalling episodes, removing the classical linear scaling ceiling.</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6.3  Strategic Positioning</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Deploying this substrate today creates a multiplier effect. While competitors build on temporary classical limits, Information Physics accumulates institutional memory that quantum hardware will eventually amplify as a core trade-secret advantage. The longer the deployment runs, the larger the latent value of the MRO catalog at the moment quantum infrastructure becomes economically accessible.</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7.  Technical Implementation and Mathematical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7.1  Bulk HSL Reconstruction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endpoint POST /v1/hsl-data/rebuild-from-aios implements an 11-stage workflow:</w:t>
            </w:r>
          </w:p>
          <w:p>
            <w:pPr>
              <w:spacing w:after="40" w:before="40" w:line="280"/>
              <w:ind w:left="720" w:hanging="360"/>
            </w:pPr>
            <w:r>
              <w:rPr>
                <w:rFonts w:ascii="Calibri" w:cs="Calibri" w:eastAsia="Calibri" w:hAnsi="Calibri"/>
                <w:color w:val="0F172A"/>
                <w:sz w:val="21"/>
                <w:szCs w:val="21"/>
              </w:rPr>
              <w:t xml:space="preserve">1.   Tenant scoping via PostgreSQL Row-Level Security (SET LOCAL app.tenant_id).</w:t>
            </w:r>
          </w:p>
          <w:p>
            <w:pPr>
              <w:spacing w:after="40" w:before="40" w:line="280"/>
              <w:ind w:left="720" w:hanging="360"/>
            </w:pPr>
            <w:r>
              <w:rPr>
                <w:rFonts w:ascii="Calibri" w:cs="Calibri" w:eastAsia="Calibri" w:hAnsi="Calibri"/>
                <w:color w:val="0F172A"/>
                <w:sz w:val="21"/>
                <w:szCs w:val="21"/>
              </w:rPr>
              <w:t xml:space="preserve">2.   AIO scan of local element columns.</w:t>
            </w:r>
          </w:p>
          <w:p>
            <w:pPr>
              <w:spacing w:after="40" w:before="40" w:line="280"/>
              <w:ind w:left="720" w:hanging="360"/>
            </w:pPr>
            <w:r>
              <w:rPr>
                <w:rFonts w:ascii="Calibri" w:cs="Calibri" w:eastAsia="Calibri" w:hAnsi="Calibri"/>
                <w:color w:val="0F172A"/>
                <w:sz w:val="21"/>
                <w:szCs w:val="21"/>
              </w:rPr>
              <w:t xml:space="preserve">3.   Token extraction via bracket-regex over each non-null element.</w:t>
            </w:r>
          </w:p>
          <w:p>
            <w:pPr>
              <w:spacing w:after="40" w:before="40" w:line="280"/>
              <w:ind w:left="720" w:hanging="360"/>
            </w:pPr>
            <w:r>
              <w:rPr>
                <w:rFonts w:ascii="Calibri" w:cs="Calibri" w:eastAsia="Calibri" w:hAnsi="Calibri"/>
                <w:color w:val="0F172A"/>
                <w:sz w:val="21"/>
                <w:szCs w:val="21"/>
              </w:rPr>
              <w:t xml:space="preserve">4.   Filtering of noise values ("unknown", "null", "", numeric zero, etc.) and minimum-length 2.</w:t>
            </w:r>
          </w:p>
          <w:p>
            <w:pPr>
              <w:spacing w:after="40" w:before="40" w:line="280"/>
              <w:ind w:left="720" w:hanging="360"/>
            </w:pPr>
            <w:r>
              <w:rPr>
                <w:rFonts w:ascii="Calibri" w:cs="Calibri" w:eastAsia="Calibri" w:hAnsi="Calibri"/>
                <w:color w:val="0F172A"/>
                <w:sz w:val="21"/>
                <w:szCs w:val="21"/>
              </w:rPr>
              <w:t xml:space="preserve">5.   In-memory inverted indexing of (Key, Value) → [aio_name, …].</w:t>
            </w:r>
          </w:p>
          <w:p>
            <w:pPr>
              <w:spacing w:after="40" w:before="40" w:line="280"/>
              <w:ind w:left="720" w:hanging="360"/>
            </w:pPr>
            <w:r>
              <w:rPr>
                <w:rFonts w:ascii="Calibri" w:cs="Calibri" w:eastAsia="Calibri" w:hAnsi="Calibri"/>
                <w:color w:val="0F172A"/>
                <w:sz w:val="21"/>
                <w:szCs w:val="21"/>
              </w:rPr>
              <w:t xml:space="preserve">6.   Group emission for sets ≥ 2 AIOs (single-AIO anchors are skipped — they don't form an HSL).</w:t>
            </w:r>
          </w:p>
          <w:p>
            <w:pPr>
              <w:spacing w:after="40" w:before="40" w:line="280"/>
              <w:ind w:left="720" w:hanging="360"/>
            </w:pPr>
            <w:r>
              <w:rPr>
                <w:rFonts w:ascii="Calibri" w:cs="Calibri" w:eastAsia="Calibri" w:hAnsi="Calibri"/>
                <w:color w:val="0F172A"/>
                <w:sz w:val="21"/>
                <w:szCs w:val="21"/>
              </w:rPr>
              <w:t xml:space="preserve">7.   Existence check for idempotency (UNIQUE INDEX on hsl_data(tenant_id, hsl_name)).</w:t>
            </w:r>
          </w:p>
          <w:p>
            <w:pPr>
              <w:spacing w:after="40" w:before="40" w:line="280"/>
              <w:ind w:left="720" w:hanging="360"/>
            </w:pPr>
            <w:r>
              <w:rPr>
                <w:rFonts w:ascii="Calibri" w:cs="Calibri" w:eastAsia="Calibri" w:hAnsi="Calibri"/>
                <w:color w:val="0F172A"/>
                <w:sz w:val="21"/>
                <w:szCs w:val="21"/>
              </w:rPr>
              <w:t xml:space="preserve">8.   Width truncation at the 100-AIO cap (V4.4 lifted via the hsl_member side table).</w:t>
            </w:r>
          </w:p>
          <w:p>
            <w:pPr>
              <w:spacing w:after="40" w:before="40" w:line="280"/>
              <w:ind w:left="720" w:hanging="360"/>
            </w:pPr>
            <w:r>
              <w:rPr>
                <w:rFonts w:ascii="Calibri" w:cs="Calibri" w:eastAsia="Calibri" w:hAnsi="Calibri"/>
                <w:color w:val="0F172A"/>
                <w:sz w:val="21"/>
                <w:szCs w:val="21"/>
              </w:rPr>
              <w:t xml:space="preserve">9.   Atomic INSERT to hsl_data + companion writes to hsl_member.</w:t>
            </w:r>
          </w:p>
          <w:p>
            <w:pPr>
              <w:spacing w:after="40" w:before="40" w:line="280"/>
              <w:ind w:left="720" w:hanging="360"/>
            </w:pPr>
            <w:r>
              <w:rPr>
                <w:rFonts w:ascii="Calibri" w:cs="Calibri" w:eastAsia="Calibri" w:hAnsi="Calibri"/>
                <w:color w:val="0F172A"/>
                <w:sz w:val="21"/>
                <w:szCs w:val="21"/>
              </w:rPr>
              <w:t xml:space="preserve">10.   Single COMMIT after every (key, value) pair is processed — every new HSL lands or none of them does.</w:t>
            </w:r>
          </w:p>
          <w:p>
            <w:pPr>
              <w:spacing w:after="40" w:before="40" w:line="280"/>
              <w:ind w:left="720" w:hanging="360"/>
            </w:pPr>
            <w:r>
              <w:rPr>
                <w:rFonts w:ascii="Calibri" w:cs="Calibri" w:eastAsia="Calibri" w:hAnsi="Calibri"/>
                <w:color w:val="0F172A"/>
                <w:sz w:val="21"/>
                <w:szCs w:val="21"/>
              </w:rPr>
              <w:t xml:space="preserve">11.   Telemetry — log the four counters (created / skipped_single_aio / already_existed / total_aios_scanned) at INFO level and return JSON.</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7.2  Formal Mathematical Notation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rPr>
                <w:tblHeader/>
              </w:trPr>
              <w:tc>
                <w:tcPr>
                  <w:tcW w:type="dxa" w:w="1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Symbol</w:t>
                  </w:r>
                </w:p>
              </w:tc>
              <w:tc>
                <w:tcPr>
                  <w:tcW w:type="dxa" w:w="81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Definition</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w:t>
                  </w:r>
                </w:p>
              </w:tc>
              <w:tc>
                <w:tcPr>
                  <w:tcW w:type="dxa" w:w="8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set of all AIOs in the corpus</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w:t>
                  </w:r>
                </w:p>
              </w:tc>
              <w:tc>
                <w:tcPr>
                  <w:tcW w:type="dxa" w:w="8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universe of element keys</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V</w:t>
                  </w:r>
                </w:p>
              </w:tc>
              <w:tc>
                <w:tcPr>
                  <w:tcW w:type="dxa" w:w="8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value vocabulary</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ε</w:t>
                  </w:r>
                </w:p>
              </w:tc>
              <w:tc>
                <w:tcPr>
                  <w:tcW w:type="dxa" w:w="8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Empty measurement symbol</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H(k)</w:t>
                  </w:r>
                </w:p>
              </w:tc>
              <w:tc>
                <w:tcPr>
                  <w:tcW w:type="dxa" w:w="8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AIO set reachable through HSL cue k</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N(K)</w:t>
                  </w:r>
                </w:p>
              </w:tc>
              <w:tc>
                <w:tcPr>
                  <w:tcW w:type="dxa" w:w="8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bounded neighborhood — intersection of HSL sets ⋂ H(c) for c ∈ K</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w:t>
                  </w:r>
                </w:p>
              </w:tc>
              <w:tc>
                <w:tcPr>
                  <w:tcW w:type="dxa" w:w="8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set of persisted Memory Result Objects</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J(A, B)</w:t>
                  </w:r>
                </w:p>
              </w:tc>
              <w:tc>
                <w:tcPr>
                  <w:tcW w:type="dxa" w:w="8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Jaccard Index — |A ∩ B| / |A ∪ B|</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f(Δ)</w:t>
                  </w:r>
                </w:p>
              </w:tc>
              <w:tc>
                <w:tcPr>
                  <w:tcW w:type="dxa" w:w="8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Freshness decay — e^(-λΔ) where λ = ln(2)/h and h = 30 days</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c_m</w:t>
                  </w:r>
                </w:p>
              </w:tc>
              <w:tc>
                <w:tcPr>
                  <w:tcW w:type="dxa" w:w="8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Confidence (trust score) of MRO m</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score(m, K)</w:t>
                  </w:r>
                </w:p>
              </w:tc>
              <w:tc>
                <w:tcPr>
                  <w:tcW w:type="dxa" w:w="8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Multiplicative MRO ranking: J(K_m, K) · f(Δ_m) · c_m</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7.3  Complexity Analysis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Operation</w:t>
                  </w:r>
                </w:p>
              </w:tc>
              <w:tc>
                <w:tcPr>
                  <w:tcW w:type="dxa" w:w="37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Information Physics</w:t>
                  </w:r>
                </w:p>
              </w:tc>
              <w:tc>
                <w:tcPr>
                  <w:tcW w:type="dxa" w:w="3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Traditional RAG</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Cue extraction</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O(|q| · |F| + |q| · |V|)</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Embedding lookup + dense projection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Neighborhood traversal</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O(|K| · max|H(c)|)</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O(n · d) — full corpus scan</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Memory rank</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O(log |M|) with hash index on cue_set</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Re-embedding + cosine sweep</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Enrichment</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O(1) — recursive capture (every query persists as MRO)</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Batch ETL — static Gold layer</w:t>
                  </w:r>
                </w:p>
              </w:tc>
            </w:tr>
          </w:tbl>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8.  Provenance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Source files and identifiers behind the implementation of every concept in this document. If any contradiction arises between this specification and the source code, this specification is authoritative — the source should be reconciled to match.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Concept</w:t>
            </w:r>
          </w:p>
        </w:tc>
        <w:tc>
          <w:tcPr>
            <w:tcW w:type="dxa" w:w="6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Source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Seven Foundational Laws</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infophysics_impl_grade/api/* (enforced as cross-cutting concerns: RLS for #2/#7, version columns for #3, query_cache + token_usage for #4, model_ref + parse_model in responses for #5)</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AIO grammar and storage</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infophysics_impl_grade/migrations/001_base_tables.sql (aio_data); aio_utils.ts (parseAioLine)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HSL grammar and storage</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infophysics_impl_grade/migrations/001_base_tables.sql (hsl_data); migrations/023_hsl_member_and_uniqueness.sql (hsl_member side table)</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seven-tuple</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infophysics_impl_grade/migrations/011_mro_objects.sql</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Cue extraction (Rules 2.1–2.3 + Pass 1d)</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lib/aio-math.ts (extractCues)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Compound HSL operation</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lib/aio-math.ts (traverseHSL); api/routes/hsl.py (find_hsls_by_needles_full)</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ranking (J × f × c)</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lib/aio-chat-pipeline.ts (probeMroPriors); api/routes/mro.py (mro-search)</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Tiered context bundle</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lib/aio-math.ts (assembleBundle); api/routes/chat.py (_SUBSTRATE_SYSTEM_PROMPT, answer_system)</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capture + back-pointer</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lib/api-client.ts (createMroObject, linkMroToHsl); api/routes/hsl.py (link_mro_to_hsl)</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Bulk HSL reconstruction</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infophysics_impl_grade/api/routes/hsl.py (rebuild_hsls_from_aios)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Inverted index + trigram</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infophysics_impl_grade/migrations/017_information_element_refs.sql + 029 + 031</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Five-layer cognitive mapping</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Architectural / philosophical — implemented as a property of the assembled stack, not a single file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This document</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/tmp/build_master_spec.js</w:t>
            </w:r>
          </w:p>
        </w:tc>
      </w:tr>
    </w:tbl>
    <w:p>
      <w:pPr>
        <w:pBdr>
          <w:top w:val="single" w:color="CBD5E1" w:sz="6" w:space="4"/>
        </w:pBdr>
        <w:spacing w:after="80" w:before="320"/>
      </w:pPr>
      <w:r>
        <w:t xml:space="preserve"/>
      </w:r>
    </w:p>
    <w:p>
      <w:pPr>
        <w:spacing w:after="40" w:before="60" w:line="280"/>
        <w:jc w:val="center"/>
      </w:pPr>
      <w:r>
        <w:rPr>
          <w:rFonts w:ascii="Calibri" w:cs="Calibri" w:eastAsia="Calibri" w:hAnsi="Calibri"/>
          <w:b w:val="false"/>
          <w:bCs w:val="false"/>
          <w:i/>
          <w:iCs/>
          <w:caps w:val="false"/>
          <w:color w:val="94A3B8"/>
          <w:sz w:val="16"/>
          <w:szCs w:val="16"/>
        </w:rPr>
        <w:t xml:space="preserve">Prepared by InformationPhysics.ai, LLC.  Confidential — subject to the Transaction-Grade One-Way NDA on file.</w:t>
      </w:r>
    </w:p>
    <w:p>
      <w:pPr>
        <w:spacing w:after="0" w:before="60" w:line="280"/>
        <w:jc w:val="center"/>
      </w:pPr>
      <w:r>
        <w:rPr>
          <w:rFonts w:ascii="Calibri" w:cs="Calibri" w:eastAsia="Calibri" w:hAnsi="Calibri"/>
          <w:b w:val="false"/>
          <w:bCs w:val="false"/>
          <w:i/>
          <w:iCs/>
          <w:caps w:val="false"/>
          <w:color w:val="94A3B8"/>
          <w:sz w:val="16"/>
          <w:szCs w:val="16"/>
        </w:rPr>
        <w:t xml:space="preserve">© 2026 InformationPhysics.ai, LLC. All rights reserved.</w:t>
      </w:r>
    </w:p>
    <w:sectPr>
      <w:headerReference w:type="default" r:id="rId7"/>
      <w:footerReference w:type="default" r:id="rId8"/>
      <w:pgSz w:w="12240" w:h="15840" w:orient="portrait"/>
      <w:pgMar w:top="1180" w:right="1320" w:bottom="1180" w:left="132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600"/>
      </w:tabs>
      <w:spacing w:after="0" w:before="0"/>
    </w:pPr>
    <w:r>
      <w:rPr>
        <w:rFonts w:ascii="Calibri" w:cs="Calibri" w:eastAsia="Calibri" w:hAnsi="Calibri"/>
        <w:color w:val="94A3B8"/>
        <w:sz w:val="16"/>
        <w:szCs w:val="16"/>
      </w:rPr>
      <w:t xml:space="preserve">InformationPhysics.ai, LLC  ·  V4.5</w:t>
    </w:r>
    <w:r>
      <w:rPr>
        <w:sz w:val="16"/>
        <w:szCs w:val="16"/>
      </w:rPr>
      <w:t xml:space="preserve">	</w:t>
    </w: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600"/>
      </w:tabs>
      <w:spacing w:after="0" w:before="0"/>
    </w:pPr>
    <w:r>
      <w:rPr>
        <w:rFonts w:ascii="Calibri" w:cs="Calibri" w:eastAsia="Calibri" w:hAnsi="Calibri"/>
        <w:b/>
        <w:bCs/>
        <w:color w:val="1F3864"/>
        <w:sz w:val="17"/>
        <w:szCs w:val="17"/>
      </w:rPr>
      <w:t xml:space="preserve">InformationPhysics.ai</w:t>
    </w:r>
    <w:r>
      <w:rPr>
        <w:color w:val="94A3B8"/>
        <w:sz w:val="17"/>
        <w:szCs w:val="17"/>
      </w:rPr>
      <w:t xml:space="preserve">  ·  </w:t>
    </w:r>
    <w:r>
      <w:rPr>
        <w:rFonts w:ascii="Calibri" w:cs="Calibri" w:eastAsia="Calibri" w:hAnsi="Calibri"/>
        <w:i/>
        <w:iCs/>
        <w:color w:val="475569"/>
        <w:sz w:val="17"/>
        <w:szCs w:val="17"/>
      </w:rPr>
      <w:t xml:space="preserve">Information Physics Master Specification</w:t>
    </w:r>
    <w:r>
      <w:rPr>
        <w:sz w:val="17"/>
        <w:szCs w:val="17"/>
      </w:rPr>
      <w:t xml:space="preserve">	</w:t>
    </w:r>
    <w:r>
      <w:rPr>
        <w:rFonts w:ascii="Calibri" w:cs="Calibri" w:eastAsia="Calibri" w:hAnsi="Calibri"/>
        <w:b/>
        <w:bCs/>
        <w:color w:val="BE123C"/>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40" w:line="3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Physics Master Specification</dc:title>
  <dc:creator>Information Physics — ChatAIO Engineering</dc:creator>
  <dc:description>Information Physics Master Specification — V4.5</dc:description>
  <cp:lastModifiedBy>Un-named</cp:lastModifiedBy>
  <cp:revision>1</cp:revision>
  <dcterms:created xsi:type="dcterms:W3CDTF">2026-05-02T14:53:44.106Z</dcterms:created>
  <dcterms:modified xsi:type="dcterms:W3CDTF">2026-05-02T14:53:44.111Z</dcterms:modified>
</cp:coreProperties>
</file>

<file path=docProps/custom.xml><?xml version="1.0" encoding="utf-8"?>
<Properties xmlns="http://schemas.openxmlformats.org/officeDocument/2006/custom-properties" xmlns:vt="http://schemas.openxmlformats.org/officeDocument/2006/docPropsVTypes"/>
</file>