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01A90" w14:textId="314FB8CE" w:rsidR="00E73971" w:rsidRPr="00DE3EB2" w:rsidRDefault="00CF0348" w:rsidP="00221A4E">
      <w:pPr>
        <w:jc w:val="both"/>
        <w:rPr>
          <w:rFonts w:ascii="Times New Roman" w:hAnsi="Times New Roman" w:cs="Times New Roman"/>
          <w:b/>
          <w:bCs/>
          <w:lang w:val="es-ES"/>
        </w:rPr>
      </w:pPr>
      <w:r w:rsidRPr="00DE3EB2">
        <w:rPr>
          <w:rFonts w:ascii="Times New Roman" w:hAnsi="Times New Roman" w:cs="Times New Roman"/>
          <w:noProof/>
        </w:rPr>
        <w:drawing>
          <wp:anchor distT="0" distB="0" distL="114300" distR="114300" simplePos="0" relativeHeight="251658240" behindDoc="1" locked="0" layoutInCell="1" allowOverlap="1" wp14:anchorId="6A214973" wp14:editId="1E5DDEC8">
            <wp:simplePos x="0" y="0"/>
            <wp:positionH relativeFrom="column">
              <wp:posOffset>-4381169</wp:posOffset>
            </wp:positionH>
            <wp:positionV relativeFrom="paragraph">
              <wp:posOffset>-1844703</wp:posOffset>
            </wp:positionV>
            <wp:extent cx="15315137" cy="11410122"/>
            <wp:effectExtent l="0" t="0" r="1270" b="0"/>
            <wp:wrapNone/>
            <wp:docPr id="1993887694" name="Picture 6" descr="Vista de una ciudad desde lo alto de un edifici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Vista de una ciudad desde lo alto de un edificio&#10;&#10;Descripción generada automáticamente"/>
                    <pic:cNvPicPr>
                      <a:picLocks noChangeAspect="1" noChangeArrowheads="1"/>
                    </pic:cNvPicPr>
                  </pic:nvPicPr>
                  <pic:blipFill>
                    <a:blip r:embed="rId11">
                      <a:alphaModFix amt="70000"/>
                      <a:extLst>
                        <a:ext uri="{28A0092B-C50C-407E-A947-70E740481C1C}">
                          <a14:useLocalDpi xmlns:a14="http://schemas.microsoft.com/office/drawing/2010/main" val="0"/>
                        </a:ext>
                      </a:extLst>
                    </a:blip>
                    <a:srcRect/>
                    <a:stretch>
                      <a:fillRect/>
                    </a:stretch>
                  </pic:blipFill>
                  <pic:spPr bwMode="auto">
                    <a:xfrm>
                      <a:off x="0" y="0"/>
                      <a:ext cx="15315137" cy="1141012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41FE7A5" w14:textId="5A717FD1" w:rsidR="00E73971" w:rsidRPr="00DE3EB2" w:rsidRDefault="00267EDB" w:rsidP="4D47DA6B">
      <w:pPr>
        <w:jc w:val="both"/>
        <w:rPr>
          <w:rFonts w:ascii="Times New Roman" w:hAnsi="Times New Roman" w:cs="Times New Roman"/>
          <w:b/>
          <w:bCs/>
          <w:lang w:val="es-ES"/>
        </w:rPr>
      </w:pPr>
      <w:r w:rsidRPr="00263B71">
        <w:rPr>
          <w:rFonts w:asciiTheme="majorHAnsi" w:hAnsiTheme="majorHAnsi"/>
          <w:noProof/>
        </w:rPr>
        <mc:AlternateContent>
          <mc:Choice Requires="wps">
            <w:drawing>
              <wp:anchor distT="0" distB="0" distL="114300" distR="114300" simplePos="0" relativeHeight="251658245" behindDoc="0" locked="0" layoutInCell="1" allowOverlap="1" wp14:anchorId="2ECCD054" wp14:editId="5771FA3A">
                <wp:simplePos x="0" y="0"/>
                <wp:positionH relativeFrom="page">
                  <wp:align>right</wp:align>
                </wp:positionH>
                <wp:positionV relativeFrom="paragraph">
                  <wp:posOffset>24228</wp:posOffset>
                </wp:positionV>
                <wp:extent cx="5008880" cy="1257300"/>
                <wp:effectExtent l="0" t="0" r="1270" b="0"/>
                <wp:wrapNone/>
                <wp:docPr id="1672311982" name="Rectangle 15"/>
                <wp:cNvGraphicFramePr/>
                <a:graphic xmlns:a="http://schemas.openxmlformats.org/drawingml/2006/main">
                  <a:graphicData uri="http://schemas.microsoft.com/office/word/2010/wordprocessingShape">
                    <wps:wsp>
                      <wps:cNvSpPr/>
                      <wps:spPr>
                        <a:xfrm>
                          <a:off x="0" y="0"/>
                          <a:ext cx="5008880" cy="1257300"/>
                        </a:xfrm>
                        <a:prstGeom prst="rect">
                          <a:avLst/>
                        </a:prstGeom>
                        <a:solidFill>
                          <a:schemeClr val="bg1"/>
                        </a:solidFill>
                        <a:ln>
                          <a:noFill/>
                        </a:ln>
                      </wps:spPr>
                      <wps:style>
                        <a:lnRef idx="2">
                          <a:schemeClr val="accent1">
                            <a:shade val="15000"/>
                          </a:schemeClr>
                        </a:lnRef>
                        <a:fillRef idx="1">
                          <a:schemeClr val="accent1"/>
                        </a:fillRef>
                        <a:effectRef idx="0">
                          <a:scrgbClr r="0" g="0" b="0"/>
                        </a:effectRef>
                        <a:fontRef idx="minor">
                          <a:schemeClr val="lt1"/>
                        </a:fontRef>
                      </wps:style>
                      <wps:txbx>
                        <w:txbxContent>
                          <w:p w14:paraId="565265D2" w14:textId="77777777" w:rsidR="00BB0D3B" w:rsidRPr="001F0F4E" w:rsidRDefault="004C5311" w:rsidP="004B5133">
                            <w:pPr>
                              <w:spacing w:line="276" w:lineRule="auto"/>
                              <w:jc w:val="center"/>
                              <w:rPr>
                                <w:rFonts w:eastAsia="Aptos" w:hAnsi="Aptos" w:cs="Aptos"/>
                                <w:b/>
                                <w:bCs/>
                                <w:color w:val="000000"/>
                                <w:kern w:val="0"/>
                                <w:sz w:val="32"/>
                                <w:szCs w:val="32"/>
                                <w14:ligatures w14:val="none"/>
                              </w:rPr>
                            </w:pPr>
                            <w:r w:rsidRPr="001F0F4E">
                              <w:rPr>
                                <w:rFonts w:eastAsia="Aptos" w:hAnsi="Aptos" w:cs="Aptos"/>
                                <w:b/>
                                <w:bCs/>
                                <w:color w:val="000000"/>
                                <w:sz w:val="32"/>
                                <w:szCs w:val="32"/>
                              </w:rPr>
                              <w:t xml:space="preserve">Análisis de relación de actores antes, durante y después del MIT </w:t>
                            </w:r>
                          </w:p>
                        </w:txbxContent>
                      </wps:txbx>
                      <wps:bodyPr spcFirstLastPara="0" wrap="square" lIns="91440" tIns="45720" rIns="91440" bIns="45720" anchor="ctr">
                        <a:noAutofit/>
                      </wps:bodyPr>
                    </wps:wsp>
                  </a:graphicData>
                </a:graphic>
                <wp14:sizeRelH relativeFrom="margin">
                  <wp14:pctWidth>0</wp14:pctWidth>
                </wp14:sizeRelH>
                <wp14:sizeRelV relativeFrom="margin">
                  <wp14:pctHeight>0</wp14:pctHeight>
                </wp14:sizeRelV>
              </wp:anchor>
            </w:drawing>
          </mc:Choice>
          <mc:Fallback>
            <w:pict>
              <v:rect w14:anchorId="2ECCD054" id="Rectangle 15" o:spid="_x0000_s1026" style="position:absolute;left:0;text-align:left;margin-left:343.2pt;margin-top:1.9pt;width:394.4pt;height:99pt;z-index:251658245;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" fillcolor="white [3212]" stroked="f" strokeweight="1pt">
                <v:textbox>
                  <w:txbxContent>
                    <w:p w14:paraId="565265D2" w14:textId="77777777" w:rsidR="00BB0D3B" w:rsidRPr="001F0F4E" w:rsidRDefault="004C5311" w:rsidP="004B5133">
                      <w:pPr>
                        <w:spacing w:line="276" w:lineRule="auto"/>
                        <w:jc w:val="center"/>
                        <w:rPr>
                          <w:rFonts w:eastAsia="Aptos" w:hAnsi="Aptos" w:cs="Aptos"/>
                          <w:b/>
                          <w:bCs/>
                          <w:color w:val="000000"/>
                          <w:kern w:val="0"/>
                          <w:sz w:val="32"/>
                          <w:szCs w:val="32"/>
                          <w14:ligatures w14:val="none"/>
                        </w:rPr>
                      </w:pPr>
                      <w:r w:rsidRPr="001F0F4E">
                        <w:rPr>
                          <w:rFonts w:eastAsia="Aptos" w:hAnsi="Aptos" w:cs="Aptos"/>
                          <w:b/>
                          <w:bCs/>
                          <w:color w:val="000000"/>
                          <w:sz w:val="32"/>
                          <w:szCs w:val="32"/>
                        </w:rPr>
                        <w:t xml:space="preserve">Análisis de relación de actores antes, durante y después del MIT </w:t>
                      </w:r>
                    </w:p>
                  </w:txbxContent>
                </v:textbox>
                <w10:wrap anchorx="page"/>
              </v:rect>
            </w:pict>
          </mc:Fallback>
        </mc:AlternateContent>
      </w:r>
    </w:p>
    <w:p w14:paraId="68B0C123" w14:textId="335176F1" w:rsidR="00CF0348" w:rsidRPr="00DE3EB2" w:rsidRDefault="00CF0348" w:rsidP="00221A4E">
      <w:pPr>
        <w:jc w:val="both"/>
        <w:rPr>
          <w:rFonts w:ascii="Times New Roman" w:hAnsi="Times New Roman" w:cs="Times New Roman"/>
          <w:b/>
          <w:bCs/>
          <w:sz w:val="32"/>
          <w:szCs w:val="32"/>
          <w:lang w:val="es-ES_tradnl"/>
        </w:rPr>
      </w:pPr>
    </w:p>
    <w:p w14:paraId="514CD176" w14:textId="38AAC056" w:rsidR="00CF0348" w:rsidRPr="00DE3EB2" w:rsidRDefault="00CF0348" w:rsidP="00221A4E">
      <w:pPr>
        <w:jc w:val="both"/>
        <w:rPr>
          <w:rFonts w:ascii="Times New Roman" w:hAnsi="Times New Roman" w:cs="Times New Roman"/>
          <w:b/>
          <w:bCs/>
          <w:sz w:val="40"/>
          <w:szCs w:val="40"/>
          <w:lang w:val="es-ES_tradnl"/>
        </w:rPr>
      </w:pPr>
    </w:p>
    <w:p w14:paraId="2675239D" w14:textId="0736EACD" w:rsidR="00E23341" w:rsidRPr="00DE3EB2" w:rsidRDefault="00E23341" w:rsidP="00221A4E">
      <w:pPr>
        <w:jc w:val="both"/>
        <w:rPr>
          <w:rFonts w:ascii="Times New Roman" w:hAnsi="Times New Roman" w:cs="Times New Roman"/>
          <w:b/>
          <w:bCs/>
          <w:sz w:val="32"/>
          <w:szCs w:val="32"/>
          <w:lang w:val="es-ES_tradnl"/>
        </w:rPr>
      </w:pPr>
    </w:p>
    <w:p w14:paraId="0B0C8FEF" w14:textId="7B22F5A6" w:rsidR="00CF0348" w:rsidRPr="00DE3EB2" w:rsidRDefault="00CA262A" w:rsidP="00221A4E">
      <w:pPr>
        <w:jc w:val="both"/>
        <w:rPr>
          <w:rFonts w:ascii="Times New Roman" w:hAnsi="Times New Roman" w:cs="Times New Roman"/>
          <w:b/>
          <w:bCs/>
          <w:sz w:val="32"/>
          <w:szCs w:val="32"/>
          <w:lang w:val="es-ES_tradnl"/>
        </w:rPr>
      </w:pPr>
      <w:r w:rsidRPr="00DE3EB2">
        <w:rPr>
          <w:rFonts w:ascii="Times New Roman" w:hAnsi="Times New Roman" w:cs="Times New Roman"/>
          <w:noProof/>
        </w:rPr>
        <mc:AlternateContent>
          <mc:Choice Requires="wps">
            <w:drawing>
              <wp:anchor distT="0" distB="0" distL="114300" distR="114300" simplePos="0" relativeHeight="251658242" behindDoc="0" locked="0" layoutInCell="1" allowOverlap="1" wp14:anchorId="2E0A2975" wp14:editId="3884C042">
                <wp:simplePos x="0" y="0"/>
                <wp:positionH relativeFrom="column">
                  <wp:posOffset>2044700</wp:posOffset>
                </wp:positionH>
                <wp:positionV relativeFrom="paragraph">
                  <wp:posOffset>53975</wp:posOffset>
                </wp:positionV>
                <wp:extent cx="5905500" cy="0"/>
                <wp:effectExtent l="12700" t="12700" r="0" b="12700"/>
                <wp:wrapNone/>
                <wp:docPr id="930180000" name="Conector recto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5905500" cy="0"/>
                        </a:xfrm>
                        <a:prstGeom prst="line">
                          <a:avLst/>
                        </a:prstGeom>
                        <a:ln w="22225">
                          <a:solidFill>
                            <a:srgbClr val="00A8DF"/>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rto="http://schemas.microsoft.com/office/word/2006/arto" xmlns:asvg="http://schemas.microsoft.com/office/drawing/2016/SVG/main" xmlns:a16="http://schemas.microsoft.com/office/drawing/2014/main" xmlns:a14="http://schemas.microsoft.com/office/drawing/2010/main" xmlns:pic="http://schemas.openxmlformats.org/drawingml/2006/picture" xmlns:a="http://schemas.openxmlformats.org/drawingml/2006/main">
            <w:pict>
              <v:line id="Conector recto 1" style="position:absolute;flip:x;z-index:251694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00a8df" strokeweight="1.75pt" from="161pt,4.25pt" to="626pt,4.25pt" w14:anchorId="24E0BC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">
                <v:stroke joinstyle="miter"/>
                <o:lock v:ext="edit" shapetype="f"/>
              </v:line>
            </w:pict>
          </mc:Fallback>
        </mc:AlternateContent>
      </w:r>
    </w:p>
    <w:p w14:paraId="33D3CD4F" w14:textId="2AC5F6FD" w:rsidR="0001518F" w:rsidRPr="00DE3EB2" w:rsidRDefault="0001518F" w:rsidP="00221A4E">
      <w:pPr>
        <w:jc w:val="both"/>
        <w:rPr>
          <w:rFonts w:ascii="Times New Roman" w:hAnsi="Times New Roman" w:cs="Times New Roman"/>
          <w:b/>
          <w:bCs/>
          <w:sz w:val="32"/>
          <w:szCs w:val="32"/>
          <w:lang w:val="es-ES_tradnl"/>
        </w:rPr>
      </w:pPr>
    </w:p>
    <w:p w14:paraId="58996B33" w14:textId="46126250" w:rsidR="00E23341" w:rsidRPr="00DE3EB2" w:rsidRDefault="00E23341" w:rsidP="00221A4E">
      <w:pPr>
        <w:jc w:val="both"/>
        <w:rPr>
          <w:rFonts w:ascii="Times New Roman" w:hAnsi="Times New Roman" w:cs="Times New Roman"/>
          <w:b/>
          <w:bCs/>
          <w:sz w:val="32"/>
          <w:szCs w:val="32"/>
          <w:lang w:val="es-ES_tradnl"/>
        </w:rPr>
      </w:pPr>
    </w:p>
    <w:p w14:paraId="6751610C" w14:textId="318A1D69" w:rsidR="00E23341" w:rsidRPr="00DE3EB2" w:rsidRDefault="00CA262A" w:rsidP="00221A4E">
      <w:pPr>
        <w:jc w:val="both"/>
        <w:rPr>
          <w:rFonts w:ascii="Times New Roman" w:hAnsi="Times New Roman" w:cs="Times New Roman"/>
          <w:b/>
          <w:bCs/>
          <w:sz w:val="32"/>
          <w:szCs w:val="32"/>
          <w:lang w:val="es-ES_tradnl"/>
        </w:rPr>
      </w:pPr>
      <w:r w:rsidRPr="00DE3EB2">
        <w:rPr>
          <w:rFonts w:ascii="Times New Roman" w:hAnsi="Times New Roman" w:cs="Times New Roman"/>
          <w:noProof/>
        </w:rPr>
        <w:drawing>
          <wp:anchor distT="0" distB="0" distL="114300" distR="114300" simplePos="0" relativeHeight="251658243" behindDoc="0" locked="0" layoutInCell="1" allowOverlap="1" wp14:anchorId="67D77217" wp14:editId="74CEF9A4">
            <wp:simplePos x="0" y="0"/>
            <wp:positionH relativeFrom="column">
              <wp:posOffset>2844800</wp:posOffset>
            </wp:positionH>
            <wp:positionV relativeFrom="paragraph">
              <wp:posOffset>101389</wp:posOffset>
            </wp:positionV>
            <wp:extent cx="2337435" cy="603885"/>
            <wp:effectExtent l="0" t="0" r="0" b="0"/>
            <wp:wrapSquare wrapText="bothSides"/>
            <wp:docPr id="1289907472" name="Picture 2" descr="Imagen en blanco y negr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n en blanco y negro&#10;&#10;Descripción generada automáticamente con confianza media"/>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21544" t="33271" r="11142" b="35817"/>
                    <a:stretch/>
                  </pic:blipFill>
                  <pic:spPr bwMode="auto">
                    <a:xfrm>
                      <a:off x="0" y="0"/>
                      <a:ext cx="2337435" cy="6038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0883B8A" w14:textId="36E88628" w:rsidR="00E23341" w:rsidRPr="00DE3EB2" w:rsidRDefault="00E23341" w:rsidP="00221A4E">
      <w:pPr>
        <w:jc w:val="both"/>
        <w:rPr>
          <w:rFonts w:ascii="Times New Roman" w:hAnsi="Times New Roman" w:cs="Times New Roman"/>
          <w:b/>
          <w:bCs/>
          <w:sz w:val="32"/>
          <w:szCs w:val="32"/>
          <w:lang w:val="es-ES_tradnl"/>
        </w:rPr>
      </w:pPr>
    </w:p>
    <w:p w14:paraId="205FD5FD" w14:textId="5D3C6AC0" w:rsidR="0001518F" w:rsidRPr="00DE3EB2" w:rsidRDefault="0001518F" w:rsidP="00221A4E">
      <w:pPr>
        <w:jc w:val="both"/>
        <w:rPr>
          <w:rFonts w:ascii="Times New Roman" w:hAnsi="Times New Roman" w:cs="Times New Roman"/>
          <w:b/>
          <w:bCs/>
          <w:sz w:val="32"/>
          <w:szCs w:val="32"/>
          <w:lang w:val="es-ES_tradnl"/>
        </w:rPr>
      </w:pPr>
    </w:p>
    <w:p w14:paraId="1B92F0DB" w14:textId="34D5B55D" w:rsidR="0001518F" w:rsidRPr="00DE3EB2" w:rsidRDefault="0001518F" w:rsidP="00221A4E">
      <w:pPr>
        <w:jc w:val="both"/>
        <w:rPr>
          <w:rFonts w:ascii="Times New Roman" w:hAnsi="Times New Roman" w:cs="Times New Roman"/>
          <w:b/>
          <w:bCs/>
          <w:sz w:val="32"/>
          <w:szCs w:val="32"/>
          <w:lang w:val="es-ES_tradnl"/>
        </w:rPr>
      </w:pPr>
    </w:p>
    <w:p w14:paraId="1A80D7E3" w14:textId="585CE0BA" w:rsidR="0001518F" w:rsidRPr="00DE3EB2" w:rsidRDefault="00CF0348" w:rsidP="00221A4E">
      <w:pPr>
        <w:jc w:val="both"/>
        <w:rPr>
          <w:rFonts w:ascii="Times New Roman" w:hAnsi="Times New Roman" w:cs="Times New Roman"/>
          <w:b/>
          <w:bCs/>
          <w:lang w:val="es-ES_tradnl"/>
        </w:rPr>
      </w:pPr>
      <w:r w:rsidRPr="00DE3EB2">
        <w:rPr>
          <w:rFonts w:ascii="Times New Roman" w:hAnsi="Times New Roman" w:cs="Times New Roman"/>
        </w:rPr>
        <w:t> </w:t>
      </w:r>
    </w:p>
    <w:p w14:paraId="40117329" w14:textId="76A910BA" w:rsidR="0001518F" w:rsidRPr="00DE3EB2" w:rsidRDefault="0001518F" w:rsidP="00221A4E">
      <w:pPr>
        <w:jc w:val="both"/>
        <w:rPr>
          <w:rFonts w:ascii="Times New Roman" w:hAnsi="Times New Roman" w:cs="Times New Roman"/>
          <w:b/>
          <w:bCs/>
          <w:lang w:val="es-ES_tradnl"/>
        </w:rPr>
      </w:pPr>
    </w:p>
    <w:p w14:paraId="3E8038ED" w14:textId="0D74DBD9" w:rsidR="0001518F" w:rsidRPr="00DE3EB2" w:rsidRDefault="0001518F" w:rsidP="00221A4E">
      <w:pPr>
        <w:jc w:val="both"/>
        <w:rPr>
          <w:rFonts w:ascii="Times New Roman" w:hAnsi="Times New Roman" w:cs="Times New Roman"/>
          <w:b/>
          <w:bCs/>
          <w:lang w:val="es-ES_tradnl"/>
        </w:rPr>
      </w:pPr>
    </w:p>
    <w:p w14:paraId="2F15B888" w14:textId="68FD0B1E" w:rsidR="0001518F" w:rsidRPr="00DE3EB2" w:rsidRDefault="0001518F" w:rsidP="00221A4E">
      <w:pPr>
        <w:jc w:val="both"/>
        <w:rPr>
          <w:rFonts w:ascii="Times New Roman" w:hAnsi="Times New Roman" w:cs="Times New Roman"/>
          <w:b/>
          <w:bCs/>
          <w:lang w:val="es-ES_tradnl"/>
        </w:rPr>
      </w:pPr>
    </w:p>
    <w:p w14:paraId="2B7A4476" w14:textId="6F0E1A36" w:rsidR="0001518F" w:rsidRPr="00DE3EB2" w:rsidRDefault="0001518F" w:rsidP="00221A4E">
      <w:pPr>
        <w:jc w:val="both"/>
        <w:rPr>
          <w:rFonts w:ascii="Times New Roman" w:hAnsi="Times New Roman" w:cs="Times New Roman"/>
          <w:b/>
          <w:bCs/>
          <w:lang w:val="es-ES_tradnl"/>
        </w:rPr>
      </w:pPr>
    </w:p>
    <w:p w14:paraId="1CCBA9A8" w14:textId="4BE949B3" w:rsidR="0001518F" w:rsidRPr="00DE3EB2" w:rsidRDefault="0001518F" w:rsidP="00221A4E">
      <w:pPr>
        <w:jc w:val="both"/>
        <w:rPr>
          <w:rFonts w:ascii="Times New Roman" w:hAnsi="Times New Roman" w:cs="Times New Roman"/>
          <w:b/>
          <w:bCs/>
          <w:lang w:val="es-ES_tradnl"/>
        </w:rPr>
      </w:pPr>
    </w:p>
    <w:p w14:paraId="29FCADCA" w14:textId="7C1AEDDB" w:rsidR="0001518F" w:rsidRPr="00DE3EB2" w:rsidRDefault="0001518F" w:rsidP="00221A4E">
      <w:pPr>
        <w:jc w:val="both"/>
        <w:rPr>
          <w:rFonts w:ascii="Times New Roman" w:hAnsi="Times New Roman" w:cs="Times New Roman"/>
          <w:b/>
          <w:bCs/>
          <w:lang w:val="es-ES_tradnl"/>
        </w:rPr>
      </w:pPr>
    </w:p>
    <w:p w14:paraId="769EB291" w14:textId="5CED75D7" w:rsidR="0001518F" w:rsidRPr="00DE3EB2" w:rsidRDefault="0001518F" w:rsidP="00221A4E">
      <w:pPr>
        <w:jc w:val="both"/>
        <w:rPr>
          <w:rFonts w:ascii="Times New Roman" w:hAnsi="Times New Roman" w:cs="Times New Roman"/>
          <w:b/>
          <w:bCs/>
          <w:lang w:val="es-ES_tradnl"/>
        </w:rPr>
      </w:pPr>
    </w:p>
    <w:p w14:paraId="3574FFA1" w14:textId="7DD6A733" w:rsidR="0001518F" w:rsidRPr="00DE3EB2" w:rsidRDefault="0001518F" w:rsidP="00221A4E">
      <w:pPr>
        <w:jc w:val="both"/>
        <w:rPr>
          <w:rFonts w:ascii="Times New Roman" w:hAnsi="Times New Roman" w:cs="Times New Roman"/>
          <w:b/>
          <w:bCs/>
          <w:lang w:val="es-ES_tradnl"/>
        </w:rPr>
      </w:pPr>
    </w:p>
    <w:p w14:paraId="0C0EB05C" w14:textId="34B82AAD" w:rsidR="0001518F" w:rsidRPr="00DE3EB2" w:rsidRDefault="0001518F" w:rsidP="00221A4E">
      <w:pPr>
        <w:jc w:val="both"/>
        <w:rPr>
          <w:rFonts w:ascii="Times New Roman" w:hAnsi="Times New Roman" w:cs="Times New Roman"/>
          <w:b/>
          <w:bCs/>
          <w:lang w:val="es-ES_tradnl"/>
        </w:rPr>
      </w:pPr>
    </w:p>
    <w:p w14:paraId="00F96D61" w14:textId="125AD768" w:rsidR="0001518F" w:rsidRPr="00DE3EB2" w:rsidRDefault="0001518F" w:rsidP="00221A4E">
      <w:pPr>
        <w:jc w:val="both"/>
        <w:rPr>
          <w:rFonts w:ascii="Times New Roman" w:hAnsi="Times New Roman" w:cs="Times New Roman"/>
          <w:b/>
          <w:bCs/>
          <w:lang w:val="es-ES_tradnl"/>
        </w:rPr>
      </w:pPr>
    </w:p>
    <w:p w14:paraId="39DD4F52" w14:textId="7E897566" w:rsidR="0001518F" w:rsidRPr="00DE3EB2" w:rsidRDefault="0001518F" w:rsidP="00221A4E">
      <w:pPr>
        <w:jc w:val="both"/>
        <w:rPr>
          <w:rFonts w:ascii="Times New Roman" w:hAnsi="Times New Roman" w:cs="Times New Roman"/>
          <w:b/>
          <w:bCs/>
          <w:lang w:val="es-ES_tradnl"/>
        </w:rPr>
      </w:pPr>
    </w:p>
    <w:p w14:paraId="6FEB030A" w14:textId="1B120ABA" w:rsidR="0001518F" w:rsidRPr="00DE3EB2" w:rsidRDefault="0001518F" w:rsidP="00221A4E">
      <w:pPr>
        <w:jc w:val="both"/>
        <w:rPr>
          <w:rFonts w:ascii="Times New Roman" w:hAnsi="Times New Roman" w:cs="Times New Roman"/>
          <w:b/>
          <w:bCs/>
          <w:lang w:val="es-ES_tradnl"/>
        </w:rPr>
      </w:pPr>
    </w:p>
    <w:p w14:paraId="32247738" w14:textId="05BBC0EB" w:rsidR="0001518F" w:rsidRPr="00DE3EB2" w:rsidRDefault="0001518F" w:rsidP="00221A4E">
      <w:pPr>
        <w:jc w:val="both"/>
        <w:rPr>
          <w:rFonts w:ascii="Times New Roman" w:hAnsi="Times New Roman" w:cs="Times New Roman"/>
          <w:b/>
          <w:bCs/>
          <w:lang w:val="es-ES_tradnl"/>
        </w:rPr>
      </w:pPr>
    </w:p>
    <w:p w14:paraId="27FB259C" w14:textId="48AF3F94" w:rsidR="0001518F" w:rsidRPr="00DE3EB2" w:rsidRDefault="0001518F" w:rsidP="00221A4E">
      <w:pPr>
        <w:jc w:val="both"/>
        <w:rPr>
          <w:rFonts w:ascii="Times New Roman" w:hAnsi="Times New Roman" w:cs="Times New Roman"/>
          <w:b/>
          <w:bCs/>
          <w:lang w:val="es-ES_tradnl"/>
        </w:rPr>
      </w:pPr>
    </w:p>
    <w:p w14:paraId="3C05B036" w14:textId="188F8EFB" w:rsidR="0001518F" w:rsidRPr="00DE3EB2" w:rsidRDefault="0001518F" w:rsidP="00221A4E">
      <w:pPr>
        <w:jc w:val="both"/>
        <w:rPr>
          <w:rFonts w:ascii="Times New Roman" w:hAnsi="Times New Roman" w:cs="Times New Roman"/>
          <w:b/>
          <w:bCs/>
          <w:lang w:val="es-ES_tradnl"/>
        </w:rPr>
      </w:pPr>
    </w:p>
    <w:p w14:paraId="2DB3DC09" w14:textId="376AF961" w:rsidR="0001518F" w:rsidRPr="00DE3EB2" w:rsidRDefault="0001518F" w:rsidP="00221A4E">
      <w:pPr>
        <w:jc w:val="both"/>
        <w:rPr>
          <w:rFonts w:ascii="Times New Roman" w:hAnsi="Times New Roman" w:cs="Times New Roman"/>
          <w:b/>
          <w:bCs/>
          <w:lang w:val="es-ES_tradnl"/>
        </w:rPr>
      </w:pPr>
    </w:p>
    <w:p w14:paraId="5827C119" w14:textId="0A529577" w:rsidR="0001518F" w:rsidRPr="00DE3EB2" w:rsidRDefault="00CF0348" w:rsidP="00221A4E">
      <w:pPr>
        <w:jc w:val="both"/>
        <w:rPr>
          <w:rFonts w:ascii="Times New Roman" w:hAnsi="Times New Roman" w:cs="Times New Roman"/>
          <w:b/>
          <w:bCs/>
          <w:lang w:val="es-ES_tradnl"/>
        </w:rPr>
      </w:pPr>
      <w:r w:rsidRPr="00DE3EB2">
        <w:rPr>
          <w:rFonts w:ascii="Times New Roman" w:hAnsi="Times New Roman" w:cs="Times New Roman"/>
        </w:rPr>
        <w:t> </w:t>
      </w:r>
    </w:p>
    <w:p w14:paraId="754D1DFC" w14:textId="08136416" w:rsidR="0001518F" w:rsidRPr="00DE3EB2" w:rsidRDefault="00E73971" w:rsidP="00221A4E">
      <w:pPr>
        <w:jc w:val="both"/>
        <w:rPr>
          <w:rFonts w:ascii="Times New Roman" w:hAnsi="Times New Roman" w:cs="Times New Roman"/>
          <w:b/>
          <w:bCs/>
          <w:lang w:val="es-ES_tradnl"/>
        </w:rPr>
      </w:pPr>
      <w:r w:rsidRPr="00DE3EB2">
        <w:rPr>
          <w:rFonts w:ascii="Times New Roman" w:hAnsi="Times New Roman" w:cs="Times New Roman"/>
        </w:rPr>
        <w:t> </w:t>
      </w:r>
    </w:p>
    <w:p w14:paraId="2C4B43EC" w14:textId="5F8B46A1" w:rsidR="0001518F" w:rsidRPr="00DE3EB2" w:rsidRDefault="0001518F" w:rsidP="00221A4E">
      <w:pPr>
        <w:jc w:val="both"/>
        <w:rPr>
          <w:rFonts w:ascii="Times New Roman" w:hAnsi="Times New Roman" w:cs="Times New Roman"/>
          <w:b/>
          <w:bCs/>
          <w:lang w:val="es-ES_tradnl"/>
        </w:rPr>
      </w:pPr>
    </w:p>
    <w:p w14:paraId="742F3F4F" w14:textId="20971000" w:rsidR="0001518F" w:rsidRPr="00DE3EB2" w:rsidRDefault="0001518F" w:rsidP="00221A4E">
      <w:pPr>
        <w:jc w:val="both"/>
        <w:rPr>
          <w:rFonts w:ascii="Times New Roman" w:hAnsi="Times New Roman" w:cs="Times New Roman"/>
          <w:b/>
          <w:bCs/>
          <w:lang w:val="es-ES_tradnl"/>
        </w:rPr>
      </w:pPr>
    </w:p>
    <w:p w14:paraId="3EE800D7" w14:textId="75762AFF" w:rsidR="0001518F" w:rsidRPr="00DE3EB2" w:rsidRDefault="0001518F" w:rsidP="00221A4E">
      <w:pPr>
        <w:jc w:val="both"/>
        <w:rPr>
          <w:rFonts w:ascii="Times New Roman" w:hAnsi="Times New Roman" w:cs="Times New Roman"/>
          <w:b/>
          <w:bCs/>
          <w:lang w:val="es-ES_tradnl"/>
        </w:rPr>
      </w:pPr>
    </w:p>
    <w:p w14:paraId="56836AFE" w14:textId="5782D876" w:rsidR="0001518F" w:rsidRPr="00DE3EB2" w:rsidRDefault="0001518F" w:rsidP="00221A4E">
      <w:pPr>
        <w:jc w:val="both"/>
        <w:rPr>
          <w:rFonts w:ascii="Times New Roman" w:hAnsi="Times New Roman" w:cs="Times New Roman"/>
          <w:b/>
          <w:bCs/>
          <w:lang w:val="es-ES_tradnl"/>
        </w:rPr>
      </w:pPr>
    </w:p>
    <w:p w14:paraId="13914826" w14:textId="2E847CA7" w:rsidR="0001518F" w:rsidRPr="00DE3EB2" w:rsidRDefault="0001518F" w:rsidP="00221A4E">
      <w:pPr>
        <w:jc w:val="both"/>
        <w:rPr>
          <w:rFonts w:ascii="Times New Roman" w:hAnsi="Times New Roman" w:cs="Times New Roman"/>
          <w:b/>
          <w:bCs/>
          <w:lang w:val="es-ES_tradnl"/>
        </w:rPr>
      </w:pPr>
    </w:p>
    <w:p w14:paraId="0E77F340" w14:textId="6E2BD556" w:rsidR="00CF0348" w:rsidRPr="00DE3EB2" w:rsidRDefault="00CF0348" w:rsidP="00221A4E">
      <w:pPr>
        <w:jc w:val="both"/>
        <w:rPr>
          <w:rFonts w:ascii="Times New Roman" w:hAnsi="Times New Roman" w:cs="Times New Roman"/>
          <w:b/>
          <w:bCs/>
          <w:lang w:val="es-ES_tradnl"/>
        </w:rPr>
      </w:pPr>
    </w:p>
    <w:p w14:paraId="7064D3C1" w14:textId="6BB896E3" w:rsidR="00603F28" w:rsidRPr="00DE3EB2" w:rsidRDefault="00603F28" w:rsidP="00221A4E">
      <w:pPr>
        <w:jc w:val="both"/>
        <w:rPr>
          <w:rFonts w:ascii="Times New Roman" w:hAnsi="Times New Roman" w:cs="Times New Roman"/>
          <w:b/>
          <w:bCs/>
          <w:lang w:val="es-ES_tradnl"/>
        </w:rPr>
      </w:pPr>
    </w:p>
    <w:p w14:paraId="77482008" w14:textId="77777777" w:rsidR="004A033C" w:rsidRPr="00DE3EB2" w:rsidRDefault="004A033C" w:rsidP="00221A4E">
      <w:pPr>
        <w:jc w:val="both"/>
        <w:rPr>
          <w:rFonts w:ascii="Times New Roman" w:hAnsi="Times New Roman" w:cs="Times New Roman"/>
          <w:b/>
          <w:bCs/>
          <w:lang w:val="es-ES_tradnl"/>
        </w:rPr>
      </w:pPr>
    </w:p>
    <w:p w14:paraId="7EAD541A" w14:textId="478C954A" w:rsidR="00B04CDC" w:rsidRPr="00DE3EB2" w:rsidRDefault="00CA262A" w:rsidP="00221A4E">
      <w:pPr>
        <w:jc w:val="both"/>
        <w:rPr>
          <w:rFonts w:ascii="Times New Roman" w:hAnsi="Times New Roman" w:cs="Times New Roman"/>
          <w:b/>
          <w:bCs/>
          <w:color w:val="00B0F0"/>
          <w:sz w:val="32"/>
          <w:szCs w:val="32"/>
          <w:lang w:val="es-ES_tradnl"/>
        </w:rPr>
      </w:pPr>
      <w:r w:rsidRPr="00DE3EB2">
        <w:rPr>
          <w:rFonts w:ascii="Times New Roman" w:hAnsi="Times New Roman" w:cs="Times New Roman"/>
          <w:noProof/>
        </w:rPr>
        <mc:AlternateContent>
          <mc:Choice Requires="wps">
            <w:drawing>
              <wp:anchor distT="0" distB="0" distL="114300" distR="114300" simplePos="0" relativeHeight="251658244" behindDoc="0" locked="0" layoutInCell="1" allowOverlap="1" wp14:anchorId="41F42A93" wp14:editId="047B5855">
                <wp:simplePos x="0" y="0"/>
                <wp:positionH relativeFrom="column">
                  <wp:posOffset>12700</wp:posOffset>
                </wp:positionH>
                <wp:positionV relativeFrom="paragraph">
                  <wp:posOffset>165100</wp:posOffset>
                </wp:positionV>
                <wp:extent cx="5905500" cy="0"/>
                <wp:effectExtent l="12700" t="12700" r="0" b="12700"/>
                <wp:wrapNone/>
                <wp:docPr id="1111098137" name="Conector recto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5905500" cy="0"/>
                        </a:xfrm>
                        <a:prstGeom prst="line">
                          <a:avLst/>
                        </a:prstGeom>
                        <a:ln w="22225">
                          <a:solidFill>
                            <a:srgbClr val="00A8DF"/>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rto="http://schemas.microsoft.com/office/word/2006/arto" xmlns:asvg="http://schemas.microsoft.com/office/drawing/2016/SVG/main" xmlns:a16="http://schemas.microsoft.com/office/drawing/2014/main" xmlns:a14="http://schemas.microsoft.com/office/drawing/2010/main" xmlns:pic="http://schemas.openxmlformats.org/drawingml/2006/picture" xmlns:a="http://schemas.openxmlformats.org/drawingml/2006/main">
            <w:pict>
              <v:line id="Conector recto 1" style="position:absolute;flip:x;z-index:251699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00a8df" strokeweight="1.75pt" from="1pt,13pt" to="466pt,13pt" w14:anchorId="4074AC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">
                <v:stroke joinstyle="miter"/>
                <o:lock v:ext="edit" shapetype="f"/>
              </v:line>
            </w:pict>
          </mc:Fallback>
        </mc:AlternateContent>
      </w:r>
      <w:r w:rsidR="00E23341" w:rsidRPr="00DE3EB2">
        <w:rPr>
          <w:rFonts w:ascii="Times New Roman" w:hAnsi="Times New Roman" w:cs="Times New Roman"/>
          <w:noProof/>
        </w:rPr>
        <w:drawing>
          <wp:anchor distT="0" distB="0" distL="114300" distR="114300" simplePos="0" relativeHeight="251658241" behindDoc="1" locked="0" layoutInCell="1" allowOverlap="1" wp14:anchorId="5C33FAFF" wp14:editId="79CDDE49">
            <wp:simplePos x="0" y="0"/>
            <wp:positionH relativeFrom="column">
              <wp:posOffset>-1195069</wp:posOffset>
            </wp:positionH>
            <wp:positionV relativeFrom="paragraph">
              <wp:posOffset>-1365885</wp:posOffset>
            </wp:positionV>
            <wp:extent cx="2014297" cy="1856096"/>
            <wp:effectExtent l="38100" t="12700" r="43180" b="24130"/>
            <wp:wrapNone/>
            <wp:docPr id="177900950" name="Gráfico 5">
              <a:extLst xmlns:a="http://schemas.openxmlformats.org/drawingml/2006/main">
                <a:ext uri="{FF2B5EF4-FFF2-40B4-BE49-F238E27FC236}">
                  <a16:creationId xmlns:a16="http://schemas.microsoft.com/office/drawing/2014/main" id="{D6354724-0761-33D0-C4BF-03C0961B6B3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5">
                      <a:extLst>
                        <a:ext uri="{FF2B5EF4-FFF2-40B4-BE49-F238E27FC236}">
                          <a16:creationId xmlns:a16="http://schemas.microsoft.com/office/drawing/2014/main" id="{D6354724-0761-33D0-C4BF-03C0961B6B35}"/>
                        </a:ext>
                      </a:extLst>
                    </pic:cNvPr>
                    <pic:cNvPicPr>
                      <a:picLocks noChangeAspect="1"/>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rot="567908">
                      <a:off x="0" y="0"/>
                      <a:ext cx="2014297" cy="1856096"/>
                    </a:xfrm>
                    <a:prstGeom prst="rect">
                      <a:avLst/>
                    </a:prstGeom>
                  </pic:spPr>
                </pic:pic>
              </a:graphicData>
            </a:graphic>
            <wp14:sizeRelH relativeFrom="page">
              <wp14:pctWidth>0</wp14:pctWidth>
            </wp14:sizeRelH>
            <wp14:sizeRelV relativeFrom="page">
              <wp14:pctHeight>0</wp14:pctHeight>
            </wp14:sizeRelV>
          </wp:anchor>
        </w:drawing>
      </w:r>
    </w:p>
    <w:p w14:paraId="3E9118F5" w14:textId="77777777" w:rsidR="00043FFB" w:rsidRDefault="00043FFB" w:rsidP="00BC03B3">
      <w:pPr>
        <w:jc w:val="both"/>
        <w:rPr>
          <w:rFonts w:ascii="Times New Roman" w:hAnsi="Times New Roman" w:cs="Times New Roman"/>
          <w:b/>
          <w:bCs/>
          <w:color w:val="00B0F0"/>
          <w:sz w:val="32"/>
          <w:szCs w:val="32"/>
          <w:lang w:val="es-ES_tradnl"/>
        </w:rPr>
      </w:pPr>
    </w:p>
    <w:p w14:paraId="360EEB27" w14:textId="6B193DE5" w:rsidR="7ECDD059" w:rsidRDefault="7ECDD059" w:rsidP="4D47DA6B">
      <w:pPr>
        <w:pStyle w:val="Ttulo1"/>
        <w:jc w:val="center"/>
        <w:rPr>
          <w:rFonts w:ascii="Times New Roman" w:hAnsi="Times New Roman" w:cs="Times New Roman"/>
          <w:b w:val="0"/>
          <w:bCs w:val="0"/>
          <w:sz w:val="22"/>
          <w:szCs w:val="22"/>
        </w:rPr>
      </w:pPr>
      <w:bookmarkStart w:id="0" w:name="_Toc223587466"/>
      <w:r>
        <w:lastRenderedPageBreak/>
        <w:t>Análisis de relación de actores antes, durante y después del MIT</w:t>
      </w:r>
      <w:bookmarkEnd w:id="0"/>
    </w:p>
    <w:sdt>
      <w:sdtPr>
        <w:rPr>
          <w:rFonts w:asciiTheme="minorHAnsi" w:hAnsiTheme="minorHAnsi"/>
          <w:color w:val="auto"/>
          <w:kern w:val="2"/>
          <w:sz w:val="24"/>
          <w:szCs w:val="24"/>
          <w:lang w:val="es-ES"/>
          <w14:ligatures w14:val="standardContextual"/>
        </w:rPr>
        <w:id w:val="-712507782"/>
        <w:docPartObj>
          <w:docPartGallery w:val="Table of Contents"/>
          <w:docPartUnique/>
        </w:docPartObj>
      </w:sdtPr>
      <w:sdtEndPr>
        <w:rPr>
          <w:b/>
          <w:bCs/>
        </w:rPr>
      </w:sdtEndPr>
      <w:sdtContent>
        <w:p w14:paraId="39A80743" w14:textId="70F10E72" w:rsidR="002162FF" w:rsidRDefault="002162FF">
          <w:pPr>
            <w:pStyle w:val="TtuloTDC"/>
          </w:pPr>
          <w:r>
            <w:rPr>
              <w:lang w:val="es-ES"/>
            </w:rPr>
            <w:t>Contenido</w:t>
          </w:r>
        </w:p>
        <w:p w14:paraId="618F3975" w14:textId="3E8B698F" w:rsidR="00482949" w:rsidRDefault="002162FF">
          <w:pPr>
            <w:pStyle w:val="TDC1"/>
            <w:tabs>
              <w:tab w:val="right" w:leader="dot" w:pos="9350"/>
            </w:tabs>
            <w:rPr>
              <w:rFonts w:eastAsiaTheme="minorEastAsia"/>
              <w:b w:val="0"/>
              <w:bCs w:val="0"/>
              <w:i w:val="0"/>
              <w:iCs w:val="0"/>
              <w:noProof/>
              <w:lang w:eastAsia="es-CO"/>
            </w:rPr>
          </w:pPr>
          <w:r>
            <w:fldChar w:fldCharType="begin"/>
          </w:r>
          <w:r>
            <w:instrText xml:space="preserve"> TOC \o "1-3" \h \z \u </w:instrText>
          </w:r>
          <w:r>
            <w:fldChar w:fldCharType="separate"/>
          </w:r>
          <w:hyperlink w:anchor="_Toc223587466" w:history="1">
            <w:r w:rsidR="00482949" w:rsidRPr="0091572D">
              <w:rPr>
                <w:rStyle w:val="Hipervnculo"/>
                <w:noProof/>
              </w:rPr>
              <w:t>Análisis de relación de actores antes, durante y después del MIT</w:t>
            </w:r>
            <w:r w:rsidR="00482949">
              <w:rPr>
                <w:noProof/>
                <w:webHidden/>
              </w:rPr>
              <w:tab/>
            </w:r>
            <w:r w:rsidR="00482949">
              <w:rPr>
                <w:noProof/>
                <w:webHidden/>
              </w:rPr>
              <w:fldChar w:fldCharType="begin"/>
            </w:r>
            <w:r w:rsidR="00482949">
              <w:rPr>
                <w:noProof/>
                <w:webHidden/>
              </w:rPr>
              <w:instrText xml:space="preserve"> PAGEREF _Toc223587466 \h </w:instrText>
            </w:r>
            <w:r w:rsidR="00482949">
              <w:rPr>
                <w:noProof/>
                <w:webHidden/>
              </w:rPr>
            </w:r>
            <w:r w:rsidR="00482949">
              <w:rPr>
                <w:noProof/>
                <w:webHidden/>
              </w:rPr>
              <w:fldChar w:fldCharType="separate"/>
            </w:r>
            <w:r w:rsidR="00482949">
              <w:rPr>
                <w:noProof/>
                <w:webHidden/>
              </w:rPr>
              <w:t>2</w:t>
            </w:r>
            <w:r w:rsidR="00482949">
              <w:rPr>
                <w:noProof/>
                <w:webHidden/>
              </w:rPr>
              <w:fldChar w:fldCharType="end"/>
            </w:r>
          </w:hyperlink>
        </w:p>
        <w:p w14:paraId="4E9C1D1D" w14:textId="6BB8F7D6" w:rsidR="00482949" w:rsidRDefault="00482949">
          <w:pPr>
            <w:pStyle w:val="TDC1"/>
            <w:tabs>
              <w:tab w:val="right" w:leader="dot" w:pos="9350"/>
            </w:tabs>
            <w:rPr>
              <w:rFonts w:eastAsiaTheme="minorEastAsia"/>
              <w:b w:val="0"/>
              <w:bCs w:val="0"/>
              <w:i w:val="0"/>
              <w:iCs w:val="0"/>
              <w:noProof/>
              <w:lang w:eastAsia="es-CO"/>
            </w:rPr>
          </w:pPr>
          <w:hyperlink w:anchor="_Toc223587467" w:history="1">
            <w:r w:rsidRPr="0091572D">
              <w:rPr>
                <w:rStyle w:val="Hipervnculo"/>
                <w:noProof/>
              </w:rPr>
              <w:t>Introducción</w:t>
            </w:r>
            <w:r>
              <w:rPr>
                <w:noProof/>
                <w:webHidden/>
              </w:rPr>
              <w:tab/>
            </w:r>
            <w:r>
              <w:rPr>
                <w:noProof/>
                <w:webHidden/>
              </w:rPr>
              <w:fldChar w:fldCharType="begin"/>
            </w:r>
            <w:r>
              <w:rPr>
                <w:noProof/>
                <w:webHidden/>
              </w:rPr>
              <w:instrText xml:space="preserve"> PAGEREF _Toc223587467 \h </w:instrText>
            </w:r>
            <w:r>
              <w:rPr>
                <w:noProof/>
                <w:webHidden/>
              </w:rPr>
            </w:r>
            <w:r>
              <w:rPr>
                <w:noProof/>
                <w:webHidden/>
              </w:rPr>
              <w:fldChar w:fldCharType="separate"/>
            </w:r>
            <w:r>
              <w:rPr>
                <w:noProof/>
                <w:webHidden/>
              </w:rPr>
              <w:t>2</w:t>
            </w:r>
            <w:r>
              <w:rPr>
                <w:noProof/>
                <w:webHidden/>
              </w:rPr>
              <w:fldChar w:fldCharType="end"/>
            </w:r>
          </w:hyperlink>
        </w:p>
        <w:p w14:paraId="5615B2AE" w14:textId="1674940C" w:rsidR="00482949" w:rsidRDefault="00482949">
          <w:pPr>
            <w:pStyle w:val="TDC2"/>
            <w:tabs>
              <w:tab w:val="right" w:leader="dot" w:pos="9350"/>
            </w:tabs>
            <w:rPr>
              <w:rFonts w:eastAsiaTheme="minorEastAsia"/>
              <w:b w:val="0"/>
              <w:bCs w:val="0"/>
              <w:noProof/>
              <w:sz w:val="24"/>
              <w:szCs w:val="24"/>
              <w:lang w:eastAsia="es-CO"/>
            </w:rPr>
          </w:pPr>
          <w:hyperlink w:anchor="_Toc223587468" w:history="1">
            <w:r w:rsidRPr="0091572D">
              <w:rPr>
                <w:rStyle w:val="Hipervnculo"/>
                <w:noProof/>
              </w:rPr>
              <w:t>Urabá</w:t>
            </w:r>
            <w:r>
              <w:rPr>
                <w:noProof/>
                <w:webHidden/>
              </w:rPr>
              <w:tab/>
            </w:r>
            <w:r>
              <w:rPr>
                <w:noProof/>
                <w:webHidden/>
              </w:rPr>
              <w:fldChar w:fldCharType="begin"/>
            </w:r>
            <w:r>
              <w:rPr>
                <w:noProof/>
                <w:webHidden/>
              </w:rPr>
              <w:instrText xml:space="preserve"> PAGEREF _Toc223587468 \h </w:instrText>
            </w:r>
            <w:r>
              <w:rPr>
                <w:noProof/>
                <w:webHidden/>
              </w:rPr>
            </w:r>
            <w:r>
              <w:rPr>
                <w:noProof/>
                <w:webHidden/>
              </w:rPr>
              <w:fldChar w:fldCharType="separate"/>
            </w:r>
            <w:r>
              <w:rPr>
                <w:noProof/>
                <w:webHidden/>
              </w:rPr>
              <w:t>2</w:t>
            </w:r>
            <w:r>
              <w:rPr>
                <w:noProof/>
                <w:webHidden/>
              </w:rPr>
              <w:fldChar w:fldCharType="end"/>
            </w:r>
          </w:hyperlink>
        </w:p>
        <w:p w14:paraId="1974B28D" w14:textId="3542587A" w:rsidR="00482949" w:rsidRDefault="00482949">
          <w:pPr>
            <w:pStyle w:val="TDC3"/>
            <w:tabs>
              <w:tab w:val="right" w:leader="dot" w:pos="9350"/>
            </w:tabs>
            <w:rPr>
              <w:rFonts w:eastAsiaTheme="minorEastAsia"/>
              <w:noProof/>
              <w:sz w:val="24"/>
              <w:szCs w:val="24"/>
              <w:lang w:eastAsia="es-CO"/>
            </w:rPr>
          </w:pPr>
          <w:hyperlink w:anchor="_Toc223587469" w:history="1">
            <w:r w:rsidRPr="0091572D">
              <w:rPr>
                <w:rStyle w:val="Hipervnculo"/>
                <w:noProof/>
              </w:rPr>
              <w:t>Análisis de relación de actores antes del MIT</w:t>
            </w:r>
            <w:r>
              <w:rPr>
                <w:noProof/>
                <w:webHidden/>
              </w:rPr>
              <w:tab/>
            </w:r>
            <w:r>
              <w:rPr>
                <w:noProof/>
                <w:webHidden/>
              </w:rPr>
              <w:fldChar w:fldCharType="begin"/>
            </w:r>
            <w:r>
              <w:rPr>
                <w:noProof/>
                <w:webHidden/>
              </w:rPr>
              <w:instrText xml:space="preserve"> PAGEREF _Toc223587469 \h </w:instrText>
            </w:r>
            <w:r>
              <w:rPr>
                <w:noProof/>
                <w:webHidden/>
              </w:rPr>
            </w:r>
            <w:r>
              <w:rPr>
                <w:noProof/>
                <w:webHidden/>
              </w:rPr>
              <w:fldChar w:fldCharType="separate"/>
            </w:r>
            <w:r>
              <w:rPr>
                <w:noProof/>
                <w:webHidden/>
              </w:rPr>
              <w:t>2</w:t>
            </w:r>
            <w:r>
              <w:rPr>
                <w:noProof/>
                <w:webHidden/>
              </w:rPr>
              <w:fldChar w:fldCharType="end"/>
            </w:r>
          </w:hyperlink>
        </w:p>
        <w:p w14:paraId="2CF28FEF" w14:textId="04E871D3" w:rsidR="00482949" w:rsidRDefault="00482949">
          <w:pPr>
            <w:pStyle w:val="TDC3"/>
            <w:tabs>
              <w:tab w:val="right" w:leader="dot" w:pos="9350"/>
            </w:tabs>
            <w:rPr>
              <w:rFonts w:eastAsiaTheme="minorEastAsia"/>
              <w:noProof/>
              <w:sz w:val="24"/>
              <w:szCs w:val="24"/>
              <w:lang w:eastAsia="es-CO"/>
            </w:rPr>
          </w:pPr>
          <w:hyperlink w:anchor="_Toc223587470" w:history="1">
            <w:r w:rsidRPr="0091572D">
              <w:rPr>
                <w:rStyle w:val="Hipervnculo"/>
                <w:noProof/>
              </w:rPr>
              <w:t>Análisis de relación de actores 2017- actualidad</w:t>
            </w:r>
            <w:r>
              <w:rPr>
                <w:noProof/>
                <w:webHidden/>
              </w:rPr>
              <w:tab/>
            </w:r>
            <w:r>
              <w:rPr>
                <w:noProof/>
                <w:webHidden/>
              </w:rPr>
              <w:fldChar w:fldCharType="begin"/>
            </w:r>
            <w:r>
              <w:rPr>
                <w:noProof/>
                <w:webHidden/>
              </w:rPr>
              <w:instrText xml:space="preserve"> PAGEREF _Toc223587470 \h </w:instrText>
            </w:r>
            <w:r>
              <w:rPr>
                <w:noProof/>
                <w:webHidden/>
              </w:rPr>
            </w:r>
            <w:r>
              <w:rPr>
                <w:noProof/>
                <w:webHidden/>
              </w:rPr>
              <w:fldChar w:fldCharType="separate"/>
            </w:r>
            <w:r>
              <w:rPr>
                <w:noProof/>
                <w:webHidden/>
              </w:rPr>
              <w:t>3</w:t>
            </w:r>
            <w:r>
              <w:rPr>
                <w:noProof/>
                <w:webHidden/>
              </w:rPr>
              <w:fldChar w:fldCharType="end"/>
            </w:r>
          </w:hyperlink>
        </w:p>
        <w:p w14:paraId="70888CF4" w14:textId="54BDD5B8" w:rsidR="00482949" w:rsidRDefault="00482949">
          <w:pPr>
            <w:pStyle w:val="TDC3"/>
            <w:tabs>
              <w:tab w:val="right" w:leader="dot" w:pos="9350"/>
            </w:tabs>
            <w:rPr>
              <w:rFonts w:eastAsiaTheme="minorEastAsia"/>
              <w:noProof/>
              <w:sz w:val="24"/>
              <w:szCs w:val="24"/>
              <w:lang w:eastAsia="es-CO"/>
            </w:rPr>
          </w:pPr>
          <w:hyperlink w:anchor="_Toc223587471" w:history="1">
            <w:r w:rsidRPr="0091572D">
              <w:rPr>
                <w:rStyle w:val="Hipervnculo"/>
                <w:noProof/>
              </w:rPr>
              <w:t>Análisis de relación de actores actualmente</w:t>
            </w:r>
            <w:r>
              <w:rPr>
                <w:noProof/>
                <w:webHidden/>
              </w:rPr>
              <w:tab/>
            </w:r>
            <w:r>
              <w:rPr>
                <w:noProof/>
                <w:webHidden/>
              </w:rPr>
              <w:fldChar w:fldCharType="begin"/>
            </w:r>
            <w:r>
              <w:rPr>
                <w:noProof/>
                <w:webHidden/>
              </w:rPr>
              <w:instrText xml:space="preserve"> PAGEREF _Toc223587471 \h </w:instrText>
            </w:r>
            <w:r>
              <w:rPr>
                <w:noProof/>
                <w:webHidden/>
              </w:rPr>
            </w:r>
            <w:r>
              <w:rPr>
                <w:noProof/>
                <w:webHidden/>
              </w:rPr>
              <w:fldChar w:fldCharType="separate"/>
            </w:r>
            <w:r>
              <w:rPr>
                <w:noProof/>
                <w:webHidden/>
              </w:rPr>
              <w:t>9</w:t>
            </w:r>
            <w:r>
              <w:rPr>
                <w:noProof/>
                <w:webHidden/>
              </w:rPr>
              <w:fldChar w:fldCharType="end"/>
            </w:r>
          </w:hyperlink>
        </w:p>
        <w:p w14:paraId="41945145" w14:textId="12AFE9CF" w:rsidR="00482949" w:rsidRDefault="00482949">
          <w:pPr>
            <w:pStyle w:val="TDC1"/>
            <w:tabs>
              <w:tab w:val="right" w:leader="dot" w:pos="9350"/>
            </w:tabs>
            <w:rPr>
              <w:rFonts w:eastAsiaTheme="minorEastAsia"/>
              <w:b w:val="0"/>
              <w:bCs w:val="0"/>
              <w:i w:val="0"/>
              <w:iCs w:val="0"/>
              <w:noProof/>
              <w:lang w:eastAsia="es-CO"/>
            </w:rPr>
          </w:pPr>
          <w:hyperlink w:anchor="_Toc223587472" w:history="1">
            <w:r w:rsidRPr="0091572D">
              <w:rPr>
                <w:rStyle w:val="Hipervnculo"/>
                <w:noProof/>
                <w:lang w:val="es-ES"/>
              </w:rPr>
              <w:t>Bibliografía</w:t>
            </w:r>
            <w:r>
              <w:rPr>
                <w:noProof/>
                <w:webHidden/>
              </w:rPr>
              <w:tab/>
            </w:r>
            <w:r>
              <w:rPr>
                <w:noProof/>
                <w:webHidden/>
              </w:rPr>
              <w:fldChar w:fldCharType="begin"/>
            </w:r>
            <w:r>
              <w:rPr>
                <w:noProof/>
                <w:webHidden/>
              </w:rPr>
              <w:instrText xml:space="preserve"> PAGEREF _Toc223587472 \h </w:instrText>
            </w:r>
            <w:r>
              <w:rPr>
                <w:noProof/>
                <w:webHidden/>
              </w:rPr>
            </w:r>
            <w:r>
              <w:rPr>
                <w:noProof/>
                <w:webHidden/>
              </w:rPr>
              <w:fldChar w:fldCharType="separate"/>
            </w:r>
            <w:r>
              <w:rPr>
                <w:noProof/>
                <w:webHidden/>
              </w:rPr>
              <w:t>10</w:t>
            </w:r>
            <w:r>
              <w:rPr>
                <w:noProof/>
                <w:webHidden/>
              </w:rPr>
              <w:fldChar w:fldCharType="end"/>
            </w:r>
          </w:hyperlink>
        </w:p>
        <w:p w14:paraId="1A38ACD2" w14:textId="1ED35D0C" w:rsidR="4D47DA6B" w:rsidRPr="00F11848" w:rsidRDefault="002162FF" w:rsidP="00F11848">
          <w:r>
            <w:rPr>
              <w:b/>
              <w:bCs/>
              <w:lang w:val="es-ES"/>
            </w:rPr>
            <w:fldChar w:fldCharType="end"/>
          </w:r>
        </w:p>
      </w:sdtContent>
    </w:sdt>
    <w:p w14:paraId="68CB4DCE" w14:textId="77777777" w:rsidR="00FB62C3" w:rsidRDefault="00FB62C3" w:rsidP="4D47DA6B">
      <w:pPr>
        <w:jc w:val="both"/>
        <w:rPr>
          <w:rFonts w:cs="Times New Roman"/>
          <w:sz w:val="22"/>
          <w:szCs w:val="22"/>
        </w:rPr>
      </w:pPr>
    </w:p>
    <w:p w14:paraId="18833041" w14:textId="7DE5138A" w:rsidR="002162FF" w:rsidRDefault="002162FF" w:rsidP="002162FF">
      <w:pPr>
        <w:pStyle w:val="Ttulo1"/>
      </w:pPr>
      <w:bookmarkStart w:id="1" w:name="_Toc223587467"/>
      <w:r>
        <w:t>Introducción</w:t>
      </w:r>
      <w:bookmarkEnd w:id="1"/>
    </w:p>
    <w:p w14:paraId="4180E11D" w14:textId="77777777" w:rsidR="004D4C97" w:rsidRPr="004D4C97" w:rsidRDefault="004D4C97" w:rsidP="004D4C97">
      <w:pPr>
        <w:rPr>
          <w:lang w:val="es-ES_tradnl"/>
        </w:rPr>
      </w:pPr>
    </w:p>
    <w:p w14:paraId="6F71D87C" w14:textId="0848FB71" w:rsidR="004D4C97" w:rsidRDefault="004D4C97" w:rsidP="00321A96">
      <w:pPr>
        <w:jc w:val="both"/>
      </w:pPr>
      <w:bookmarkStart w:id="2" w:name="_Toc223587468"/>
      <w:r w:rsidRPr="00321A96">
        <w:t>E</w:t>
      </w:r>
      <w:r w:rsidRPr="004D4C97">
        <w:t>l presente documento desarrolla un análisis de la evolución del relacionamiento entre los distintos actores presentes en la subregión de Urabá antes, durante y después de la implementación del Modelo de Integración Territorial (MIT) de EPM. A partir de una lectura histórica, institucional, social y ambiental, se examinan las transformaciones que han marcado el territorio desde los periodos de alta conflictividad armada y fragmentación institucional, hasta el fortalecimiento de la presencia estatal, el dinamismo económico reciente y la consolidación de nuevos mecanismos de gobernanza.</w:t>
      </w:r>
    </w:p>
    <w:p w14:paraId="3AC8CE28" w14:textId="77777777" w:rsidR="004D4C97" w:rsidRPr="004D4C97" w:rsidRDefault="004D4C97" w:rsidP="00321A96">
      <w:pPr>
        <w:jc w:val="both"/>
      </w:pPr>
    </w:p>
    <w:p w14:paraId="7D8B0B39" w14:textId="77777777" w:rsidR="004D4C97" w:rsidRDefault="004D4C97" w:rsidP="00321A96">
      <w:pPr>
        <w:jc w:val="both"/>
      </w:pPr>
      <w:r w:rsidRPr="004D4C97">
        <w:t>Este recorrido permite comprender cómo, en un territorio históricamente marcado por la violencia, la desigualdad y la débil articulación interinstitucional, EPM pasó de ser un prestador técnico de servicios públicos a desempeñar un rol estratégico como articulador territorial y facilitador de procesos de planeación, desarrollo y sostenibilidad. Asimismo, se analizan las dinámicas contemporáneas que han redefinido la interacción con actores públicos, privados, comunitarios, ambientales y multilaterales, especialmente en el marco de la transición hacia una economía portuaria y logística impulsada por proyectos estratégicos y megaproyectos de infraestructura.</w:t>
      </w:r>
    </w:p>
    <w:p w14:paraId="5630AAC7" w14:textId="77777777" w:rsidR="004D4C97" w:rsidRPr="004D4C97" w:rsidRDefault="004D4C97" w:rsidP="00321A96">
      <w:pPr>
        <w:jc w:val="both"/>
      </w:pPr>
    </w:p>
    <w:p w14:paraId="01FF9AA0" w14:textId="6D415771" w:rsidR="004D4C97" w:rsidRDefault="004D4C97" w:rsidP="00321A96">
      <w:pPr>
        <w:jc w:val="both"/>
        <w:rPr>
          <w:b/>
          <w:bCs/>
        </w:rPr>
      </w:pPr>
      <w:r w:rsidRPr="004D4C97">
        <w:t xml:space="preserve">Finalmente, </w:t>
      </w:r>
      <w:r w:rsidR="00321A96">
        <w:t>este</w:t>
      </w:r>
      <w:r w:rsidRPr="004D4C97">
        <w:t xml:space="preserve"> documento</w:t>
      </w:r>
      <w:r w:rsidR="00321A96">
        <w:t>,</w:t>
      </w:r>
      <w:r w:rsidRPr="004D4C97">
        <w:t xml:space="preserve"> </w:t>
      </w:r>
      <w:r w:rsidR="00C82C58">
        <w:t xml:space="preserve">acompañado del entregable </w:t>
      </w:r>
      <w:r w:rsidR="00321A96">
        <w:t>4 de “mapa de actores”, presenta</w:t>
      </w:r>
      <w:r w:rsidRPr="004D4C97">
        <w:t xml:space="preserve"> una revisión actualizada </w:t>
      </w:r>
      <w:r w:rsidR="00321A96">
        <w:t xml:space="preserve">de los </w:t>
      </w:r>
      <w:r w:rsidR="00321A96" w:rsidRPr="00321A96">
        <w:rPr>
          <w:i/>
          <w:iCs/>
        </w:rPr>
        <w:t>stakeholders</w:t>
      </w:r>
      <w:r w:rsidRPr="004D4C97">
        <w:t xml:space="preserve"> y de los niveles de relacionamiento del MIT, considerando los retos sociales, ambientales y políticos que emergen en el escenario contemporáneo, así como las oportunidades para fortalecer </w:t>
      </w:r>
      <w:r w:rsidR="00321A96">
        <w:t>la toma de decisiones colectivas</w:t>
      </w:r>
      <w:r w:rsidRPr="004D4C97">
        <w:t xml:space="preserve"> que responda a las necesidades del territorio y a las prioridades de desarrollo sostenible de Urabá.</w:t>
      </w:r>
    </w:p>
    <w:p w14:paraId="13E2FB81" w14:textId="77777777" w:rsidR="004D4C97" w:rsidRDefault="004D4C97" w:rsidP="004D4C97">
      <w:pPr>
        <w:pStyle w:val="Ttulo2"/>
        <w:rPr>
          <w:rFonts w:asciiTheme="minorHAnsi" w:eastAsiaTheme="minorHAnsi" w:hAnsiTheme="minorHAnsi" w:cs="Times New Roman"/>
          <w:b w:val="0"/>
          <w:bCs w:val="0"/>
          <w:color w:val="auto"/>
          <w:sz w:val="22"/>
          <w:szCs w:val="22"/>
        </w:rPr>
      </w:pPr>
    </w:p>
    <w:p w14:paraId="71E0AB51" w14:textId="45DB94A9" w:rsidR="00656B99" w:rsidRDefault="00656B99" w:rsidP="004D4C97">
      <w:pPr>
        <w:pStyle w:val="Ttulo2"/>
      </w:pPr>
      <w:r>
        <w:t>Urabá</w:t>
      </w:r>
      <w:bookmarkEnd w:id="2"/>
    </w:p>
    <w:p w14:paraId="297F2D15" w14:textId="257B4E73" w:rsidR="00FF1A6A" w:rsidRPr="00FF1A6A" w:rsidRDefault="00656B99" w:rsidP="0067227A">
      <w:pPr>
        <w:pStyle w:val="Ttulo3"/>
      </w:pPr>
      <w:bookmarkStart w:id="3" w:name="_Toc223587469"/>
      <w:r>
        <w:t>Análisis de relación de actores antes del MIT</w:t>
      </w:r>
      <w:bookmarkEnd w:id="3"/>
    </w:p>
    <w:p w14:paraId="080319EB" w14:textId="67291835" w:rsidR="3C5FE201" w:rsidRDefault="3C5FE201" w:rsidP="171B1BF8">
      <w:pPr>
        <w:jc w:val="both"/>
      </w:pPr>
      <w:r>
        <w:t>Urabá fue una de las regiones del país con mayores índices de violencia entre las décadas de 1990 y 2000. Estas dinámicas de conflicto dieron lugar posteriormente al Caso 004 de la Justicia Especial para la Paz (JEP), relacionado con la situación territorial tras la firma del Acuerdo de Paz con las extintas FARC-EP (Álvarez, 2021).</w:t>
      </w:r>
    </w:p>
    <w:p w14:paraId="0F49AAA3" w14:textId="2215EF51" w:rsidR="171B1BF8" w:rsidRDefault="171B1BF8" w:rsidP="171B1BF8">
      <w:pPr>
        <w:jc w:val="both"/>
      </w:pPr>
    </w:p>
    <w:p w14:paraId="23F98B0E" w14:textId="5F669749" w:rsidR="3C5FE201" w:rsidRDefault="3C5FE201" w:rsidP="171B1BF8">
      <w:pPr>
        <w:jc w:val="both"/>
      </w:pPr>
      <w:r>
        <w:t>El contexto de confrontación armada, desplazamientos forzados y masacres no permitió una integración plena entre instituciones públicas, actores privados y sociedad civil. En ese escenario, la entrada y operación de EPM en la región se consolidó principalmente como un prestador técnico de servicios públicos y ampliación de cobertura, más que como un actor articulador del desarrollo territorial.</w:t>
      </w:r>
    </w:p>
    <w:p w14:paraId="36116835" w14:textId="1AC6ECCC" w:rsidR="171B1BF8" w:rsidRDefault="171B1BF8" w:rsidP="171B1BF8">
      <w:pPr>
        <w:jc w:val="both"/>
      </w:pPr>
    </w:p>
    <w:p w14:paraId="267CA75C" w14:textId="5CF97F4C" w:rsidR="3C5FE201" w:rsidRDefault="3C5FE201" w:rsidP="171B1BF8">
      <w:pPr>
        <w:jc w:val="both"/>
      </w:pPr>
      <w:r>
        <w:t xml:space="preserve">Pimienta Betancur, Aramburo Siegert y Sepúlveda López (2022) señalan que el principal </w:t>
      </w:r>
      <w:r w:rsidR="00482949">
        <w:t>actor</w:t>
      </w:r>
      <w:r>
        <w:t xml:space="preserve"> económico era el sector bananero, que estructuraba gran parte de la dinámica productiva regional, con limitada presencia de grandes proyectos de infraestructura o apuestas logísticas estratégicas. La relación del Estado con las comunidades era desigual y fragmentada, marcada por debilidades institucionales y baja capacidad de coordinación intersectorial.</w:t>
      </w:r>
    </w:p>
    <w:p w14:paraId="2E423C90" w14:textId="2178182D" w:rsidR="171B1BF8" w:rsidRDefault="171B1BF8" w:rsidP="171B1BF8">
      <w:pPr>
        <w:jc w:val="both"/>
      </w:pPr>
    </w:p>
    <w:p w14:paraId="3734B00C" w14:textId="34A6DD17" w:rsidR="3C5FE201" w:rsidRDefault="3C5FE201" w:rsidP="171B1BF8">
      <w:pPr>
        <w:jc w:val="both"/>
      </w:pPr>
      <w:r>
        <w:t>Las masacres, los desplazamientos masivos y la presión armada reconfiguraron las dinámicas de poblamiento, afectando especialmente a comunidades indígenas y consejos comunitarios, muchos de ellos provenientes del bajo Atrato, Chocó (Álvarez, 2021). Este proceso transformó la composición social y territorial de varios municipios en la región.</w:t>
      </w:r>
    </w:p>
    <w:p w14:paraId="506176BC" w14:textId="7BDBBAEC" w:rsidR="171B1BF8" w:rsidRDefault="171B1BF8" w:rsidP="171B1BF8">
      <w:pPr>
        <w:jc w:val="both"/>
      </w:pPr>
    </w:p>
    <w:p w14:paraId="0AB8E0A4" w14:textId="5B6F2C6D" w:rsidR="3C5FE201" w:rsidRDefault="3C5FE201" w:rsidP="171B1BF8">
      <w:pPr>
        <w:jc w:val="both"/>
      </w:pPr>
      <w:r>
        <w:t>En paralelo, tras la desmovilización de las Autodefensas Unidas de Colombia (AUC), emergieron nuevos actores armados que continuaron ejerciendo control territorial, disputando economías locales y condicionando la gobernabilidad regional</w:t>
      </w:r>
      <w:r w:rsidR="7AB9699D">
        <w:t xml:space="preserve"> (Rutas del Conflicto, s. f.)</w:t>
      </w:r>
      <w:r>
        <w:t xml:space="preserve">. Esto mantuvo niveles de incertidumbre institucional y limitó la consolidación de espacios de gobernanza </w:t>
      </w:r>
      <w:r w:rsidR="29ACDBBC">
        <w:t>estable.</w:t>
      </w:r>
    </w:p>
    <w:p w14:paraId="3A039E73" w14:textId="699BA55E" w:rsidR="171B1BF8" w:rsidRDefault="171B1BF8" w:rsidP="171B1BF8">
      <w:pPr>
        <w:jc w:val="both"/>
      </w:pPr>
    </w:p>
    <w:p w14:paraId="2CD5BE89" w14:textId="4EC1F6D4" w:rsidR="3C5FE201" w:rsidRDefault="3C5FE201" w:rsidP="171B1BF8">
      <w:pPr>
        <w:jc w:val="both"/>
      </w:pPr>
      <w:r>
        <w:t>En cuanto a las autoridades ambientales, su presencia era limitada y predominantemente centralizada, con baja capacidad de control efectivo y seguimiento en territorio. La gestión ambiental no operaba como eje estructurante del desarrollo regional, sino como función regulatoria con alcance restringido.</w:t>
      </w:r>
    </w:p>
    <w:p w14:paraId="1CAA6E64" w14:textId="5BDD5D83" w:rsidR="4E942376" w:rsidRDefault="4E942376" w:rsidP="4E942376">
      <w:pPr>
        <w:jc w:val="both"/>
      </w:pPr>
    </w:p>
    <w:p w14:paraId="3002BE43" w14:textId="6F10E0FD" w:rsidR="3CACDBE0" w:rsidRDefault="3CACDBE0" w:rsidP="4E942376">
      <w:pPr>
        <w:jc w:val="both"/>
      </w:pPr>
      <w:r>
        <w:t xml:space="preserve">En este contexto, las relaciones entre actores regionales se caracterizaban por fragmentación estratégica: no existía una articulación coherente entre agendas de ordenamiento territorial, inversión económica, restitución de tierras y participación efectiva </w:t>
      </w:r>
      <w:r>
        <w:lastRenderedPageBreak/>
        <w:t>de la sociedad civil en la planeación regional. La interacción entre actores era más reactiva que planificada y carecía de una lectura territorial integrada.</w:t>
      </w:r>
    </w:p>
    <w:p w14:paraId="163BAAA6" w14:textId="314AB1E7" w:rsidR="171B1BF8" w:rsidRDefault="171B1BF8" w:rsidP="171B1BF8">
      <w:pPr>
        <w:jc w:val="both"/>
      </w:pPr>
    </w:p>
    <w:p w14:paraId="781B158D" w14:textId="16D7B2CE" w:rsidR="003213D8" w:rsidRPr="003213D8" w:rsidRDefault="2E45DDBF" w:rsidP="4BD99BF7">
      <w:pPr>
        <w:jc w:val="both"/>
      </w:pPr>
      <w:r w:rsidRPr="003213D8">
        <w:t>Así pues, e</w:t>
      </w:r>
      <w:r w:rsidR="003213D8" w:rsidRPr="003213D8">
        <w:t xml:space="preserve">l Grupo EPM </w:t>
      </w:r>
      <w:r w:rsidR="0B15E92E" w:rsidRPr="003213D8">
        <w:t>inicia operaciones</w:t>
      </w:r>
      <w:r w:rsidR="003213D8" w:rsidRPr="003213D8">
        <w:t xml:space="preserve"> en la región de Urabá desde junio de 2006, cuando asumió los municipios que venía atendiendo la Empresa Antioqueña de Energía (Eade). Posteriormente, a partir de 2008, por medio de </w:t>
      </w:r>
      <w:r w:rsidR="00721977">
        <w:t>la</w:t>
      </w:r>
      <w:r w:rsidR="003213D8" w:rsidRPr="003213D8">
        <w:t xml:space="preserve"> filial Aguas Regionales de manera progresiva asumió la operación de acueducto y alcantarillado en los municipios de Mutatá, Chigorodó, Carepa, Apartadó y Turbo. Finalmente, a partir de 2012, también progresivamente, asumió la prestación del servicio de gas en los municipios mencionados y en San Pedro de Urabá, Necoclí, San Juan de Urabá y Arboletes</w:t>
      </w:r>
      <w:r w:rsidR="003213D8">
        <w:t xml:space="preserve"> </w:t>
      </w:r>
      <w:sdt>
        <w:sdtPr>
          <w:id w:val="-140739242"/>
          <w:citation/>
        </w:sdtPr>
        <w:sdtContent>
          <w:r w:rsidR="003213D8">
            <w:fldChar w:fldCharType="begin"/>
          </w:r>
          <w:r w:rsidR="003213D8">
            <w:rPr>
              <w:lang w:val="es-ES"/>
            </w:rPr>
            <w:instrText xml:space="preserve"> CITATION Mej26 \l 3082 </w:instrText>
          </w:r>
          <w:r w:rsidR="003213D8">
            <w:fldChar w:fldCharType="separate"/>
          </w:r>
          <w:r w:rsidR="00482949">
            <w:rPr>
              <w:noProof/>
              <w:lang w:val="es-ES"/>
            </w:rPr>
            <w:t>(Mejía Betancur, 2026)</w:t>
          </w:r>
          <w:r w:rsidR="003213D8">
            <w:fldChar w:fldCharType="end"/>
          </w:r>
        </w:sdtContent>
      </w:sdt>
      <w:r w:rsidR="00721977">
        <w:t>.</w:t>
      </w:r>
    </w:p>
    <w:p w14:paraId="2BB501ED" w14:textId="1024C3C2" w:rsidR="63B28DB7" w:rsidRDefault="493A0A01" w:rsidP="63B28DB7">
      <w:pPr>
        <w:jc w:val="both"/>
      </w:pPr>
      <w:r>
        <w:t xml:space="preserve"> </w:t>
      </w:r>
    </w:p>
    <w:p w14:paraId="731C9802" w14:textId="319DA911" w:rsidR="314419B3" w:rsidRDefault="314419B3" w:rsidP="4E942376">
      <w:pPr>
        <w:jc w:val="both"/>
      </w:pPr>
      <w:r w:rsidRPr="4E942376">
        <w:rPr>
          <w:rFonts w:ascii="Aptos" w:eastAsia="Aptos" w:hAnsi="Aptos" w:cs="Aptos"/>
        </w:rPr>
        <w:t>La apertura y expansión de los servicios públicos en la región por parte de EPM se dio de manera paralela a la presencia y vinculación progresiva de entidades del Estado. En ese contexto, no existía aún una urgencia orientada a procesos de planificación territorial articulada, sino más bien una necesidad inmediata de atención prioritaria de servicios básicos y de restablecimiento de derechos para la población.</w:t>
      </w:r>
    </w:p>
    <w:p w14:paraId="5446060C" w14:textId="69E383FC" w:rsidR="00F76422" w:rsidRDefault="00656B99" w:rsidP="4E942376">
      <w:pPr>
        <w:pStyle w:val="Ttulo3"/>
      </w:pPr>
      <w:bookmarkStart w:id="4" w:name="_Toc223587470"/>
      <w:r>
        <w:t xml:space="preserve">Análisis de relación de </w:t>
      </w:r>
      <w:r w:rsidR="003213D8">
        <w:t>actores 2017</w:t>
      </w:r>
      <w:r w:rsidR="00C2437C">
        <w:t>- actualidad</w:t>
      </w:r>
      <w:bookmarkEnd w:id="4"/>
    </w:p>
    <w:p w14:paraId="7773D775" w14:textId="5C799B1B" w:rsidR="00DC6F70" w:rsidRDefault="00DC6F70" w:rsidP="5B82C099">
      <w:pPr>
        <w:jc w:val="both"/>
      </w:pPr>
      <w:r>
        <w:t xml:space="preserve">Desde 2017, EPM redefinió sus metas estratégicas mediante la hoja de ruta de </w:t>
      </w:r>
      <w:r w:rsidR="00661ADF">
        <w:t xml:space="preserve">los Cinco Retos Estratégicos </w:t>
      </w:r>
      <w:r>
        <w:t>2025</w:t>
      </w:r>
      <w:r w:rsidR="00661ADF">
        <w:t xml:space="preserve"> (antes MEGA)</w:t>
      </w:r>
      <w:r>
        <w:t xml:space="preserve"> y el Programa Visión 2025. En Urabá, este proceso llevó a la creación de la Gerencia Regional y al inicio </w:t>
      </w:r>
      <w:r w:rsidR="00C17900">
        <w:t>de la aplicación d</w:t>
      </w:r>
      <w:r>
        <w:t>el Modelo de Integración Territorial (MIT), fortaleciendo la presencia institucional de la Empresa en la subregión.</w:t>
      </w:r>
    </w:p>
    <w:p w14:paraId="246B6606" w14:textId="77777777" w:rsidR="00DC6F70" w:rsidRDefault="00DC6F70" w:rsidP="5B82C099">
      <w:pPr>
        <w:jc w:val="both"/>
      </w:pPr>
    </w:p>
    <w:p w14:paraId="321D9399" w14:textId="4FB27619" w:rsidR="00DC6F70" w:rsidRDefault="00DC6F70" w:rsidP="5B82C099">
      <w:pPr>
        <w:jc w:val="both"/>
      </w:pPr>
      <w:r>
        <w:t>Entre 2016 y 2019, EPM impulsó inversiones por COP 114.661 millones en energía, gas, agua y saneamiento, además de la gestión de recursos a través de Aportes Bajo Condición (ABC). Estos esfuerzos mejoraron la confiabilidad del servicio eléctrico, ampliaron la cobertura de gas y elevaron los indicadores de agua potable y saneamiento</w:t>
      </w:r>
      <w:r w:rsidR="00B3393C">
        <w:t xml:space="preserve"> Según el Informe de Gestión del Gerente General</w:t>
      </w:r>
      <w:r>
        <w:t xml:space="preserve"> </w:t>
      </w:r>
      <w:sdt>
        <w:sdtPr>
          <w:id w:val="1484963906"/>
          <w:citation/>
        </w:sdtPr>
        <w:sdtContent>
          <w:r>
            <w:fldChar w:fldCharType="begin"/>
          </w:r>
          <w:r>
            <w:rPr>
              <w:lang w:val="es-ES"/>
            </w:rPr>
            <w:instrText xml:space="preserve"> CITATION Lon19 \l 3082 </w:instrText>
          </w:r>
          <w:r>
            <w:fldChar w:fldCharType="separate"/>
          </w:r>
          <w:r w:rsidR="00482949">
            <w:rPr>
              <w:noProof/>
              <w:lang w:val="es-ES"/>
            </w:rPr>
            <w:t>(Londoño, Jorge, 2019)</w:t>
          </w:r>
          <w:r>
            <w:fldChar w:fldCharType="end"/>
          </w:r>
        </w:sdtContent>
      </w:sdt>
      <w:r w:rsidR="00B3393C">
        <w:t>:</w:t>
      </w:r>
    </w:p>
    <w:p w14:paraId="756CD026" w14:textId="77777777" w:rsidR="00DC6F70" w:rsidRDefault="00DC6F70" w:rsidP="5B82C099">
      <w:pPr>
        <w:jc w:val="both"/>
      </w:pPr>
    </w:p>
    <w:p w14:paraId="33B4243B" w14:textId="41EB02F7" w:rsidR="00DC6F70" w:rsidRDefault="00DC6F70" w:rsidP="00B3393C">
      <w:pPr>
        <w:pStyle w:val="Prrafodelista"/>
        <w:numPr>
          <w:ilvl w:val="0"/>
          <w:numId w:val="35"/>
        </w:numPr>
      </w:pPr>
      <w:r>
        <w:t>En infraestructura energética, la Empresa avanzó en el fortalecimiento de subestaciones clave para asegurar el suministro en Urabá y soportar la conexión con Puerto Antioquia. Destaca la línea de 110 kV</w:t>
      </w:r>
      <w:r w:rsidR="004229AE">
        <w:t xml:space="preserve"> que conecta las subestaciones</w:t>
      </w:r>
      <w:r>
        <w:t xml:space="preserve"> entre Turbo, Nueva Colonia y Apartadó, junto con ampliaciones en las subestaciones de Arboletes, Urabá y Carepa. Para 2022, el portafolio alcanzaba COP 72.620 millones en inversión</w:t>
      </w:r>
      <w:sdt>
        <w:sdtPr>
          <w:id w:val="-1152747818"/>
          <w:citation/>
        </w:sdtPr>
        <w:sdtContent>
          <w:r w:rsidR="00B3393C">
            <w:fldChar w:fldCharType="begin"/>
          </w:r>
          <w:r w:rsidR="00B3393C" w:rsidRPr="00B3393C">
            <w:rPr>
              <w:lang w:val="es-ES"/>
            </w:rPr>
            <w:instrText xml:space="preserve"> CITATION Lon19 \l 3082 </w:instrText>
          </w:r>
          <w:r w:rsidR="00B3393C">
            <w:fldChar w:fldCharType="separate"/>
          </w:r>
          <w:r w:rsidR="00482949">
            <w:rPr>
              <w:noProof/>
              <w:lang w:val="es-ES"/>
            </w:rPr>
            <w:t xml:space="preserve"> (Londoño, Jorge, 2019)</w:t>
          </w:r>
          <w:r w:rsidR="00B3393C">
            <w:fldChar w:fldCharType="end"/>
          </w:r>
        </w:sdtContent>
      </w:sdt>
    </w:p>
    <w:p w14:paraId="04A6CA93" w14:textId="77777777" w:rsidR="00DC6F70" w:rsidRDefault="00DC6F70" w:rsidP="00DC6F70"/>
    <w:p w14:paraId="20DEC87F" w14:textId="77777777" w:rsidR="00DC6F70" w:rsidRDefault="00DC6F70" w:rsidP="00B3393C">
      <w:pPr>
        <w:pStyle w:val="Prrafodelista"/>
        <w:numPr>
          <w:ilvl w:val="0"/>
          <w:numId w:val="35"/>
        </w:numPr>
      </w:pPr>
      <w:r>
        <w:t>En gas natural, se priorizó el crecimiento de clientes en los nueve municipios, con aumentos significativos en Arboletes y San Pedro de Urabá, y con la gasificación del corregimiento de Nueva Colonia y de la Armada Nacional en Turbo.</w:t>
      </w:r>
    </w:p>
    <w:p w14:paraId="1C960B66" w14:textId="77777777" w:rsidR="00DC6F70" w:rsidRDefault="00DC6F70" w:rsidP="00DC6F70"/>
    <w:p w14:paraId="43D62F83" w14:textId="1DBE7A8B" w:rsidR="344735BC" w:rsidRDefault="00DC6F70" w:rsidP="00B3393C">
      <w:pPr>
        <w:pStyle w:val="Prrafodelista"/>
        <w:numPr>
          <w:ilvl w:val="0"/>
          <w:numId w:val="35"/>
        </w:numPr>
      </w:pPr>
      <w:r>
        <w:t xml:space="preserve">En agua y saneamiento, se estructuraron proyectos ABC para mejorar continuidad y cobertura sin afectar tarifas, incluyendo propuestas para plantas de tratamiento en </w:t>
      </w:r>
      <w:r>
        <w:lastRenderedPageBreak/>
        <w:t>Turbo, Carepa y Apartadó. Además, se logró llevar agua potable a 500 familias de Turbo mediante el Acueducto Aéreo, una solución destacada por el BID como una de las tres iniciativas más innovadoras de América Latina y el Caribe.</w:t>
      </w:r>
    </w:p>
    <w:p w14:paraId="76E7B973" w14:textId="77777777" w:rsidR="00B3393C" w:rsidRDefault="00B3393C" w:rsidP="00DC6F70"/>
    <w:p w14:paraId="5523BA81" w14:textId="209E4C41" w:rsidR="00B3393C" w:rsidRPr="00B3393C" w:rsidRDefault="00B3393C" w:rsidP="00B3393C">
      <w:r>
        <w:t xml:space="preserve">Para 2020 con el liderazgo </w:t>
      </w:r>
      <w:r w:rsidR="002C5D67">
        <w:t xml:space="preserve">como Gerente Regional </w:t>
      </w:r>
      <w:r>
        <w:t>de Luis Fredy Mejía Betancur se han sumado nuevas acciones</w:t>
      </w:r>
      <w:r w:rsidR="00482949">
        <w:t xml:space="preserve"> </w:t>
      </w:r>
      <w:sdt>
        <w:sdtPr>
          <w:id w:val="1680849586"/>
          <w:citation/>
        </w:sdtPr>
        <w:sdtContent>
          <w:r w:rsidR="00482949">
            <w:fldChar w:fldCharType="begin"/>
          </w:r>
          <w:r w:rsidR="00482949">
            <w:rPr>
              <w:lang w:val="es-ES"/>
            </w:rPr>
            <w:instrText xml:space="preserve"> CITATION Mej26 \l 3082 </w:instrText>
          </w:r>
          <w:r w:rsidR="00482949">
            <w:fldChar w:fldCharType="separate"/>
          </w:r>
          <w:r w:rsidR="00482949">
            <w:rPr>
              <w:noProof/>
              <w:lang w:val="es-ES"/>
            </w:rPr>
            <w:t>(Mejía Betancur, 2026)</w:t>
          </w:r>
          <w:r w:rsidR="00482949">
            <w:fldChar w:fldCharType="end"/>
          </w:r>
        </w:sdtContent>
      </w:sdt>
      <w:r>
        <w:t>. C</w:t>
      </w:r>
      <w:r w:rsidRPr="00B3393C">
        <w:t xml:space="preserve">omo estrategia de inclusión e innovación, la Empresa implementó el Acueducto Aéreo en Turbo, una solución técnica que, mediante una red elevada de más de seis kilómetros, superó las restricciones de cimentación propias de los suelos de manglar y permitió el acceso a agua potable a más de 500 familias tras más de tres décadas de espera. Esta iniciativa fue reconocida </w:t>
      </w:r>
      <w:r w:rsidR="00722484">
        <w:t>por el Banco Interamericano de Desarrollo (BID)</w:t>
      </w:r>
      <w:r w:rsidRPr="00B3393C">
        <w:t xml:space="preserve"> por su aporte a la calidad de vida y por su carácter replicable en contextos de alta fragilidad geotécnica</w:t>
      </w:r>
      <w:r w:rsidR="00722484">
        <w:t xml:space="preserve"> </w:t>
      </w:r>
      <w:sdt>
        <w:sdtPr>
          <w:id w:val="2094821810"/>
          <w:citation/>
        </w:sdtPr>
        <w:sdtContent>
          <w:r w:rsidR="00722484">
            <w:fldChar w:fldCharType="begin"/>
          </w:r>
          <w:r w:rsidR="00722484">
            <w:rPr>
              <w:lang w:val="es-ES"/>
            </w:rPr>
            <w:instrText xml:space="preserve"> CITATION EPM19 \l 3082 </w:instrText>
          </w:r>
          <w:r w:rsidR="00722484">
            <w:fldChar w:fldCharType="separate"/>
          </w:r>
          <w:r w:rsidR="00722484">
            <w:rPr>
              <w:noProof/>
              <w:lang w:val="es-ES"/>
            </w:rPr>
            <w:t>(EPM, 2019)</w:t>
          </w:r>
          <w:r w:rsidR="00722484">
            <w:fldChar w:fldCharType="end"/>
          </w:r>
        </w:sdtContent>
      </w:sdt>
      <w:r w:rsidRPr="00B3393C">
        <w:t>.</w:t>
      </w:r>
    </w:p>
    <w:p w14:paraId="2E291E23" w14:textId="77777777" w:rsidR="00B3393C" w:rsidRPr="00B3393C" w:rsidRDefault="00B3393C" w:rsidP="00B3393C"/>
    <w:p w14:paraId="56B6C340" w14:textId="77777777" w:rsidR="00B3393C" w:rsidRPr="00B3393C" w:rsidRDefault="00B3393C" w:rsidP="00B3393C">
      <w:r w:rsidRPr="00B3393C">
        <w:t>La respuesta a las particularidades hidrológicas del territorio se complementó con un esquema de abastecimiento subterráneo para épocas secas, cuando los ríos Turbo y Apartadó pueden perder hasta el 90 % de su caudal. Para ello, se instalaron pozos profundos en el corregimiento de El Reposo y en Apartadó, así como cuatro adicionales en Turbo, captando agua a más de 200 metros de profundidad. Estas acciones, en conjunto con el Acueducto Aéreo, han favorecido la continuidad del servicio y la expansión de cobertura en zonas críticas.</w:t>
      </w:r>
    </w:p>
    <w:p w14:paraId="1BA4FFE8" w14:textId="77777777" w:rsidR="00B3393C" w:rsidRPr="00B3393C" w:rsidRDefault="00B3393C" w:rsidP="00B3393C"/>
    <w:p w14:paraId="3416B673" w14:textId="3D8E6505" w:rsidR="00B3393C" w:rsidRPr="00B3393C" w:rsidRDefault="00B3393C" w:rsidP="00B3393C">
      <w:r w:rsidRPr="00B3393C">
        <w:t>Dada la alta proporción de hogares en condición de vulnerabilidad</w:t>
      </w:r>
      <w:r w:rsidR="006F71D9">
        <w:t xml:space="preserve">, </w:t>
      </w:r>
      <w:r w:rsidRPr="00B3393C">
        <w:t xml:space="preserve">76% de los habitantes de Mutatá, Chigorodó, Carepa, Apartadó y Turbo se encuentran en estratos 1 y 2 (y 90 % en el total de la región), la gestión de recursos que no presionen las tarifas resulta </w:t>
      </w:r>
      <w:r w:rsidR="00955B1D">
        <w:t>d</w:t>
      </w:r>
      <w:r w:rsidRPr="00B3393C">
        <w:t>eterminante. En este marco, se prioriza la correcta culminación de COP 28.486 millones aprobados por Obras por Impuestos (optimización del acueducto en Apartadó, tanque de almacenamiento La Lucila II y expansión del alcantarillado en el barrio Obrero de Turbo) y la movilización de más de COP 34.713 millones en ABC para cerrar brechas de agua y saneamiento en Turbo.</w:t>
      </w:r>
    </w:p>
    <w:p w14:paraId="660C263E" w14:textId="4FAB13EA" w:rsidR="4E942376" w:rsidRDefault="4E942376"/>
    <w:p w14:paraId="02CA4604" w14:textId="1B5167A8" w:rsidR="00B3393C" w:rsidRPr="00B3393C" w:rsidRDefault="00B3393C" w:rsidP="00B3393C">
      <w:pPr>
        <w:rPr>
          <w:highlight w:val="yellow"/>
        </w:rPr>
      </w:pPr>
      <w:r w:rsidRPr="00B3393C">
        <w:t xml:space="preserve">Como habilitador del desarrollo, se programó para 2018–2022 una inversión de COP 82.000 millones destinada a fortalecer la confiabilidad y continuidad del servicio de energía en Arboletes, Turbo, Carepa y Apartadó. </w:t>
      </w:r>
    </w:p>
    <w:p w14:paraId="2F904B9B" w14:textId="77777777" w:rsidR="00DC6F70" w:rsidRDefault="00DC6F70" w:rsidP="00DC6F70"/>
    <w:p w14:paraId="1B05FFC5" w14:textId="00F440F5" w:rsidR="513248F9" w:rsidRDefault="0050054C" w:rsidP="171B1BF8">
      <w:pPr>
        <w:jc w:val="both"/>
      </w:pPr>
      <w:r>
        <w:t>Estas acciones p</w:t>
      </w:r>
      <w:r w:rsidR="003D6436">
        <w:t>royectaron</w:t>
      </w:r>
      <w:r>
        <w:t xml:space="preserve"> un fortalecimiento de la Empresa en </w:t>
      </w:r>
      <w:r w:rsidR="513248F9">
        <w:t xml:space="preserve">la región y el auge de </w:t>
      </w:r>
      <w:r w:rsidR="003D6436">
        <w:t xml:space="preserve">su </w:t>
      </w:r>
      <w:r w:rsidR="00DC6F70">
        <w:t>influencia</w:t>
      </w:r>
      <w:r w:rsidR="513248F9">
        <w:t xml:space="preserve"> territorial</w:t>
      </w:r>
      <w:r w:rsidR="003D6436">
        <w:t>. Esto se dio en paralelo de la articulación con</w:t>
      </w:r>
      <w:r w:rsidR="513248F9">
        <w:t xml:space="preserve"> actores privados, públicos, organizaciones no gubernamentales y la consolidación de organizaciones de víctimas, sociales, étnicas y campesinas</w:t>
      </w:r>
      <w:r w:rsidR="003D6436">
        <w:t>. E</w:t>
      </w:r>
      <w:r w:rsidR="513248F9">
        <w:t xml:space="preserve">l MIT se consolida como un instrumento estratégico para promover la convergencia regional y ordenar la presencia institucional en el territorio. Todo esto se presenta entonces como un reto de integración entre los distintos grupos de interés para la </w:t>
      </w:r>
      <w:r w:rsidR="003D6436">
        <w:t>Empresa</w:t>
      </w:r>
      <w:r w:rsidR="513248F9">
        <w:t xml:space="preserve">, entendiendo la naturaleza de cada uno y </w:t>
      </w:r>
      <w:r w:rsidR="003D6436">
        <w:t>su nivel de relacionamiento.</w:t>
      </w:r>
    </w:p>
    <w:p w14:paraId="06F73355" w14:textId="7B4BE0E6" w:rsidR="171B1BF8" w:rsidRDefault="171B1BF8" w:rsidP="171B1BF8">
      <w:pPr>
        <w:jc w:val="both"/>
      </w:pPr>
    </w:p>
    <w:p w14:paraId="38EB344A" w14:textId="57817C37" w:rsidR="513248F9" w:rsidRDefault="513248F9" w:rsidP="171B1BF8">
      <w:pPr>
        <w:jc w:val="both"/>
        <w:rPr>
          <w:b/>
          <w:bCs/>
        </w:rPr>
      </w:pPr>
      <w:r w:rsidRPr="171B1BF8">
        <w:rPr>
          <w:b/>
          <w:bCs/>
        </w:rPr>
        <w:lastRenderedPageBreak/>
        <w:t xml:space="preserve">Articulación con el Estado  </w:t>
      </w:r>
    </w:p>
    <w:p w14:paraId="1C9D724F" w14:textId="7915A7E2" w:rsidR="513248F9" w:rsidRDefault="513248F9" w:rsidP="171B1BF8">
      <w:pPr>
        <w:jc w:val="both"/>
      </w:pPr>
      <w:r>
        <w:t>Bajo esta dinámica, EPM asume una posición de articulador territorial y no únicamente de proveedor de servicios técnicos u operativos. Este cambio se da en un contexto en el que la región comienza a priorizar y estructurar proyectos estratégicos como Autopistas al Mar 1, Autopistas al Mar 2, el Túnel Guillermo Gaviria Echeverri (Túnel del Toyo), Puerto Antioquia, Puerto Pisisí y Puerto Darién</w:t>
      </w:r>
      <w:r w:rsidR="2089D467">
        <w:t xml:space="preserve"> (Cámara de Comercio de Medellín para Antioquia, 2022)</w:t>
      </w:r>
      <w:r>
        <w:t>.</w:t>
      </w:r>
    </w:p>
    <w:p w14:paraId="7DEDFD6A" w14:textId="11D2E8E0" w:rsidR="171B1BF8" w:rsidRDefault="171B1BF8" w:rsidP="171B1BF8">
      <w:pPr>
        <w:jc w:val="both"/>
      </w:pPr>
    </w:p>
    <w:p w14:paraId="08F1A60D" w14:textId="5E3B647D" w:rsidR="171B1BF8" w:rsidRDefault="513248F9" w:rsidP="171B1BF8">
      <w:pPr>
        <w:jc w:val="both"/>
      </w:pPr>
      <w:r>
        <w:t xml:space="preserve">Esta nueva proyección territorial atrae al Urabá actores del Estado que tradicionalmente operaban bajo dinámicas de alcance nacional, como la Agencia Nacional de Infraestructura (ANI), el Ministerio de </w:t>
      </w:r>
      <w:r w:rsidR="3A3DFF6F">
        <w:t xml:space="preserve">Transporte, La </w:t>
      </w:r>
      <w:r w:rsidR="5EB50898">
        <w:t>Autoridad Nacional de Licencias Ambientales (</w:t>
      </w:r>
      <w:r w:rsidR="7251182C">
        <w:t>ANLA) y</w:t>
      </w:r>
      <w:r>
        <w:t xml:space="preserve"> el Departamento Nacional de Planeación (DNP). De manera paralela, también se fortalece la presencia de entidades con competencias en paz, justicia y reparación integral, entre ellas la Jurisdicción Especial para la Paz (JEP), la Agencia de Renovación del Territorio (ART), la Agencia para la Reincorporación y la Normalización (ARN), la Defensoría del Pueblo, la Unidad de Búsqueda de Personas dadas por Desaparecidas (UBPD) y la Unidad para la Atención y Reparación Integral a las Víctimas (UARIV).</w:t>
      </w:r>
    </w:p>
    <w:p w14:paraId="4F8AABE1" w14:textId="79690FA6" w:rsidR="2E982E3F" w:rsidRDefault="2E982E3F" w:rsidP="2E982E3F">
      <w:pPr>
        <w:jc w:val="both"/>
      </w:pPr>
    </w:p>
    <w:p w14:paraId="35E6C3C9" w14:textId="72FF4926" w:rsidR="14678DF7" w:rsidRDefault="14678DF7" w:rsidP="2E982E3F">
      <w:pPr>
        <w:rPr>
          <w:rFonts w:ascii="Aptos" w:eastAsia="Aptos" w:hAnsi="Aptos" w:cs="Aptos"/>
          <w:highlight w:val="yellow"/>
        </w:rPr>
      </w:pPr>
      <w:r w:rsidRPr="2E982E3F">
        <w:rPr>
          <w:rFonts w:ascii="Aptos" w:eastAsia="Aptos" w:hAnsi="Aptos" w:cs="Aptos"/>
          <w:highlight w:val="yellow"/>
        </w:rPr>
        <w:t>Hablar de instancia de articulación municipio-Empresa las Mesas de Planeación municipal en dónde se puede tener incidencia en Planes de Desarrollo y POT.</w:t>
      </w:r>
    </w:p>
    <w:p w14:paraId="78B651AD" w14:textId="2936D7F6" w:rsidR="2E982E3F" w:rsidRDefault="2E982E3F" w:rsidP="2E982E3F">
      <w:pPr>
        <w:jc w:val="both"/>
      </w:pPr>
    </w:p>
    <w:p w14:paraId="02E237C9" w14:textId="0E4AF358" w:rsidR="513248F9" w:rsidRDefault="2E9B678A" w:rsidP="171B1BF8">
      <w:pPr>
        <w:jc w:val="both"/>
      </w:pPr>
      <w:r>
        <w:t>E</w:t>
      </w:r>
      <w:r w:rsidR="513248F9">
        <w:t>l Estado adquiere una mayor presencia institucional en la región y los proyectos de infraestructura se integran dentro de lógicas estratégicas nacionales. Desde esta nueva configuración, la inversión y la articulación territorial se estructuran a partir de la planificación urbana, la expansión de cobertura de servicios públicos y la integración con los distintos instrumentos y órganos de planeación, incluyendo las alcaldías municipales, las autoridades ambientales y la Gobernación de Antioquia.</w:t>
      </w:r>
    </w:p>
    <w:p w14:paraId="30206098" w14:textId="5049A833" w:rsidR="745A5994" w:rsidRDefault="745A5994" w:rsidP="2E982E3F">
      <w:pPr>
        <w:jc w:val="both"/>
      </w:pPr>
    </w:p>
    <w:p w14:paraId="48990DC2" w14:textId="2D5CACED" w:rsidR="2D091B97" w:rsidRDefault="2EF0820B" w:rsidP="2D091B97">
      <w:pPr>
        <w:jc w:val="both"/>
      </w:pPr>
      <w:r>
        <w:t>Un ejemplo de ello es la Mesa de Desarrollo, Hábitat y Servicios Públicos, liderada por la Secretaría de Planeación de la Alcaldía de Apartadó, en la que confluyen actores como Camacol Antioquia, Corpourabá, Aguas Regionales EPM, constructores y responsables de planes parciales</w:t>
      </w:r>
      <w:r w:rsidR="46ADB419">
        <w:t>. A</w:t>
      </w:r>
      <w:r>
        <w:t xml:space="preserve"> su vez </w:t>
      </w:r>
      <w:r w:rsidR="6E7D7C2E">
        <w:t>afrontar el reto que supone la aprobación de aproximadamente 17 planes parciales</w:t>
      </w:r>
      <w:r w:rsidR="2358D3D5">
        <w:t>, desde la planeación y el suministro de servicios, especialmente de acueducto y alcantarillado</w:t>
      </w:r>
      <w:r>
        <w:t>.</w:t>
      </w:r>
    </w:p>
    <w:p w14:paraId="17293DB7" w14:textId="7D1AACEC" w:rsidR="6B64D625" w:rsidRDefault="6B64D625" w:rsidP="6B64D625">
      <w:pPr>
        <w:jc w:val="both"/>
      </w:pPr>
    </w:p>
    <w:p w14:paraId="2E470748" w14:textId="69B3DEB4" w:rsidR="6B64D625" w:rsidRDefault="4C7BCBC7" w:rsidP="2E982E3F">
      <w:pPr>
        <w:jc w:val="both"/>
        <w:rPr>
          <w:highlight w:val="yellow"/>
        </w:rPr>
      </w:pPr>
      <w:r w:rsidRPr="2E982E3F">
        <w:rPr>
          <w:highlight w:val="yellow"/>
        </w:rPr>
        <w:t xml:space="preserve">Desde </w:t>
      </w:r>
      <w:r w:rsidR="5B848EE5" w:rsidRPr="2E982E3F">
        <w:rPr>
          <w:highlight w:val="yellow"/>
        </w:rPr>
        <w:t>ASOMURA: Asociación de Municipios del Urabá Antioqueño</w:t>
      </w:r>
      <w:r w:rsidR="0DB4FE02" w:rsidRPr="2E982E3F">
        <w:rPr>
          <w:highlight w:val="yellow"/>
        </w:rPr>
        <w:t>, el grupo EPM, participa de manera activa, un espacio que permite la convergencia regional alrededor de la proyección en el territorio.</w:t>
      </w:r>
      <w:r w:rsidR="778B0112" w:rsidRPr="2E982E3F">
        <w:rPr>
          <w:highlight w:val="yellow"/>
        </w:rPr>
        <w:t xml:space="preserve"> Este espacio fue creado a partir del 2014, permitiendo el fortalecimiento de los diferentes planes de gobierno y territoriales</w:t>
      </w:r>
      <w:r w:rsidR="14995C1B" w:rsidRPr="2E982E3F">
        <w:rPr>
          <w:highlight w:val="yellow"/>
        </w:rPr>
        <w:t>, actualmente se tiene presencia de 7 municipios y esta gestión el ingreso de los municipios</w:t>
      </w:r>
      <w:r w:rsidR="38FD26B1" w:rsidRPr="2E982E3F">
        <w:rPr>
          <w:highlight w:val="yellow"/>
        </w:rPr>
        <w:t xml:space="preserve"> de</w:t>
      </w:r>
      <w:r w:rsidR="14995C1B" w:rsidRPr="2E982E3F">
        <w:rPr>
          <w:highlight w:val="yellow"/>
        </w:rPr>
        <w:t xml:space="preserve"> </w:t>
      </w:r>
      <w:r w:rsidR="313A9517" w:rsidRPr="2E982E3F">
        <w:rPr>
          <w:highlight w:val="yellow"/>
        </w:rPr>
        <w:t xml:space="preserve">Necoclí, San Pedro de Urabá, Murindó y </w:t>
      </w:r>
      <w:r w:rsidR="0234050E" w:rsidRPr="2E982E3F">
        <w:rPr>
          <w:highlight w:val="yellow"/>
        </w:rPr>
        <w:t>Vigía</w:t>
      </w:r>
      <w:r w:rsidR="313A9517" w:rsidRPr="2E982E3F">
        <w:rPr>
          <w:highlight w:val="yellow"/>
        </w:rPr>
        <w:t xml:space="preserve"> del fuerte</w:t>
      </w:r>
      <w:r w:rsidR="0340E0B1" w:rsidRPr="2E982E3F">
        <w:rPr>
          <w:highlight w:val="yellow"/>
        </w:rPr>
        <w:t>.</w:t>
      </w:r>
      <w:r w:rsidR="0340E0B1">
        <w:t xml:space="preserve"> </w:t>
      </w:r>
    </w:p>
    <w:p w14:paraId="6BBF22D1" w14:textId="0B1B0E7A" w:rsidR="6B64D625" w:rsidRDefault="6B64D625" w:rsidP="2E982E3F">
      <w:pPr>
        <w:jc w:val="both"/>
        <w:rPr>
          <w:highlight w:val="yellow"/>
        </w:rPr>
      </w:pPr>
    </w:p>
    <w:p w14:paraId="0F9FFC53" w14:textId="164252D6" w:rsidR="498DC8BC" w:rsidRDefault="498DC8BC" w:rsidP="7FF57499">
      <w:pPr>
        <w:spacing w:line="259" w:lineRule="auto"/>
        <w:jc w:val="both"/>
      </w:pPr>
      <w:r>
        <w:t>En este escenario, EPM se presenta como un coordinador territorial, que garantiza la sostenibi</w:t>
      </w:r>
      <w:r w:rsidR="2D4541FF">
        <w:t>lidad y articulación de servicios en la expansión urbana de la región.</w:t>
      </w:r>
      <w:r>
        <w:t xml:space="preserve"> </w:t>
      </w:r>
    </w:p>
    <w:p w14:paraId="49C5B283" w14:textId="2D5534C3" w:rsidR="29A9554F" w:rsidRDefault="29A9554F" w:rsidP="29A9554F">
      <w:pPr>
        <w:jc w:val="both"/>
      </w:pPr>
    </w:p>
    <w:p w14:paraId="1C20F7A5" w14:textId="4D4E3183" w:rsidR="45510F36" w:rsidRDefault="45510F36" w:rsidP="171B1BF8">
      <w:pPr>
        <w:jc w:val="both"/>
        <w:rPr>
          <w:b/>
          <w:bCs/>
        </w:rPr>
      </w:pPr>
      <w:r w:rsidRPr="171B1BF8">
        <w:rPr>
          <w:b/>
          <w:bCs/>
        </w:rPr>
        <w:t xml:space="preserve">Alianzas con capitales privados </w:t>
      </w:r>
    </w:p>
    <w:p w14:paraId="48FA91AC" w14:textId="4A6141F4" w:rsidR="45510F36" w:rsidRDefault="45510F36" w:rsidP="171B1BF8">
      <w:pPr>
        <w:jc w:val="both"/>
      </w:pPr>
      <w:r>
        <w:t>La proyección regional consolida una transición de Urabá hacia una economía portuaria. Este proceso trae consigo la llegada y fortalecimiento de actores privados estratégicos, como Puerto Antioquia, así como de la banca internacional, particularmente el Banco Interamericano de Desarrollo (BID) (Banco Interamericano de Desarrollo, s.f.).</w:t>
      </w:r>
    </w:p>
    <w:p w14:paraId="7C7091E3" w14:textId="2CAA2EBE" w:rsidR="171B1BF8" w:rsidRDefault="171B1BF8" w:rsidP="171B1BF8">
      <w:pPr>
        <w:jc w:val="both"/>
      </w:pPr>
    </w:p>
    <w:p w14:paraId="2FC2FE41" w14:textId="483A2935" w:rsidR="45510F36" w:rsidRDefault="45510F36" w:rsidP="171B1BF8">
      <w:pPr>
        <w:jc w:val="both"/>
      </w:pPr>
      <w:r>
        <w:t>La consolidación de estas empresas y agencias de inversión internacional no responde únicamente a lógicas económicas; también opera bajo marcos sociales, ambientales y étnicos que regulan, condicionan o restringen las dinámicas de inversión, especialmente en municipios como Turbo y Apartadó.</w:t>
      </w:r>
    </w:p>
    <w:p w14:paraId="56CD4EB0" w14:textId="5BCCD59D" w:rsidR="171B1BF8" w:rsidRDefault="171B1BF8" w:rsidP="171B1BF8">
      <w:pPr>
        <w:jc w:val="both"/>
      </w:pPr>
    </w:p>
    <w:p w14:paraId="279B2839" w14:textId="59ADB9A2" w:rsidR="45510F36" w:rsidRDefault="45510F36" w:rsidP="171B1BF8">
      <w:pPr>
        <w:jc w:val="both"/>
      </w:pPr>
      <w:r>
        <w:t>En este contexto, la articulación del MIT no se limita a la expansión de los servicios públicos. Se configura, además, como un habilitador crítico de estos procesos de transformación territorial, adquiriendo un carácter estructural dentro del modelo de desarrollo emergente en la región.</w:t>
      </w:r>
    </w:p>
    <w:p w14:paraId="09E43406" w14:textId="340FB882" w:rsidR="171B1BF8" w:rsidRDefault="171B1BF8" w:rsidP="171B1BF8">
      <w:pPr>
        <w:jc w:val="both"/>
      </w:pPr>
    </w:p>
    <w:p w14:paraId="4C48D9DE" w14:textId="592F4B8B" w:rsidR="171B1BF8" w:rsidRDefault="5C68DB23" w:rsidP="2E982E3F">
      <w:r>
        <w:t>A su vez, desde actores claves como la Zona Franca de Urabá, es evidente el crecimiento económico y empresarial, inicialmente predominaban las empresas de salud y servicios, que de manera paralela cumplían funciones técnicas como EPM, posteriormente y de acuerdo con las demandas de infraestructura y servicios especializados ingresan nuevas empresas casi de manera anual con ejes como servicios logísticos, comerciales y de construcción.</w:t>
      </w:r>
    </w:p>
    <w:p w14:paraId="24004AD0" w14:textId="0DDD9D58" w:rsidR="171B1BF8" w:rsidRDefault="171B1BF8" w:rsidP="2E982E3F"/>
    <w:p w14:paraId="296BE42C" w14:textId="2087F2D0" w:rsidR="171B1BF8" w:rsidRDefault="5C68DB23" w:rsidP="2E982E3F">
      <w:pPr>
        <w:jc w:val="both"/>
      </w:pPr>
      <w:r>
        <w:t>Bajo este panorama, las acciones de infraestructura, equipamientos y proyección de la compañía EPM, se orientan y articulan con las necesidades regionales en materia comercial.</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931"/>
        <w:gridCol w:w="4259"/>
        <w:gridCol w:w="2575"/>
        <w:gridCol w:w="1565"/>
      </w:tblGrid>
      <w:tr w:rsidR="2E982E3F" w14:paraId="5AF0CE4E" w14:textId="77777777" w:rsidTr="2E982E3F">
        <w:trPr>
          <w:trHeight w:val="585"/>
        </w:trPr>
        <w:tc>
          <w:tcPr>
            <w:tcW w:w="9457" w:type="dxa"/>
            <w:gridSpan w:val="4"/>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78767D6" w14:textId="17CC80E4" w:rsidR="2E982E3F" w:rsidRDefault="2E982E3F" w:rsidP="2E982E3F">
            <w:pPr>
              <w:spacing w:after="160" w:line="276" w:lineRule="auto"/>
              <w:jc w:val="center"/>
              <w:rPr>
                <w:rFonts w:ascii="Aptos" w:eastAsia="Aptos" w:hAnsi="Aptos" w:cs="Aptos"/>
                <w:sz w:val="20"/>
                <w:szCs w:val="20"/>
              </w:rPr>
            </w:pPr>
            <w:r w:rsidRPr="2E982E3F">
              <w:rPr>
                <w:rFonts w:ascii="Aptos" w:eastAsia="Aptos" w:hAnsi="Aptos" w:cs="Aptos"/>
                <w:sz w:val="20"/>
                <w:szCs w:val="20"/>
              </w:rPr>
              <w:t>CRECIMIENTO DE EMPRESAS EN ZONA FRANCA DE URABA</w:t>
            </w:r>
          </w:p>
        </w:tc>
      </w:tr>
      <w:tr w:rsidR="2E982E3F" w14:paraId="04083464" w14:textId="77777777" w:rsidTr="2E982E3F">
        <w:trPr>
          <w:trHeight w:val="480"/>
        </w:trPr>
        <w:tc>
          <w:tcPr>
            <w:tcW w:w="9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2E55B46" w14:textId="7C47CE32" w:rsidR="2E982E3F" w:rsidRDefault="2E982E3F" w:rsidP="2E982E3F">
            <w:pPr>
              <w:spacing w:after="160" w:line="276" w:lineRule="auto"/>
              <w:rPr>
                <w:rFonts w:ascii="Aptos" w:eastAsia="Aptos" w:hAnsi="Aptos" w:cs="Aptos"/>
                <w:sz w:val="20"/>
                <w:szCs w:val="20"/>
              </w:rPr>
            </w:pPr>
            <w:r w:rsidRPr="2E982E3F">
              <w:rPr>
                <w:rFonts w:ascii="Aptos" w:eastAsia="Aptos" w:hAnsi="Aptos" w:cs="Aptos"/>
                <w:b/>
                <w:bCs/>
                <w:sz w:val="20"/>
                <w:szCs w:val="20"/>
              </w:rPr>
              <w:t>#</w:t>
            </w:r>
            <w:r w:rsidRPr="2E982E3F">
              <w:rPr>
                <w:rFonts w:ascii="Aptos" w:eastAsia="Aptos" w:hAnsi="Aptos" w:cs="Aptos"/>
                <w:sz w:val="20"/>
                <w:szCs w:val="20"/>
              </w:rPr>
              <w:t xml:space="preserve"> </w:t>
            </w:r>
          </w:p>
        </w:tc>
        <w:tc>
          <w:tcPr>
            <w:tcW w:w="4320" w:type="dxa"/>
            <w:tcBorders>
              <w:top w:val="nil"/>
              <w:left w:val="single" w:sz="12" w:space="0" w:color="000000" w:themeColor="text1"/>
              <w:bottom w:val="single" w:sz="12" w:space="0" w:color="000000" w:themeColor="text1"/>
              <w:right w:val="single" w:sz="12" w:space="0" w:color="000000" w:themeColor="text1"/>
            </w:tcBorders>
            <w:vAlign w:val="center"/>
          </w:tcPr>
          <w:p w14:paraId="59C2CCB0" w14:textId="442A9958" w:rsidR="2E982E3F" w:rsidRDefault="2E982E3F" w:rsidP="2E982E3F">
            <w:pPr>
              <w:spacing w:after="160" w:line="276" w:lineRule="auto"/>
              <w:rPr>
                <w:rFonts w:ascii="Aptos" w:eastAsia="Aptos" w:hAnsi="Aptos" w:cs="Aptos"/>
                <w:sz w:val="20"/>
                <w:szCs w:val="20"/>
              </w:rPr>
            </w:pPr>
            <w:r w:rsidRPr="2E982E3F">
              <w:rPr>
                <w:rFonts w:ascii="Aptos" w:eastAsia="Aptos" w:hAnsi="Aptos" w:cs="Aptos"/>
                <w:b/>
                <w:bCs/>
                <w:sz w:val="20"/>
                <w:szCs w:val="20"/>
              </w:rPr>
              <w:t>Empresa</w:t>
            </w:r>
            <w:r w:rsidRPr="2E982E3F">
              <w:rPr>
                <w:rFonts w:ascii="Aptos" w:eastAsia="Aptos" w:hAnsi="Aptos" w:cs="Aptos"/>
                <w:sz w:val="20"/>
                <w:szCs w:val="20"/>
              </w:rPr>
              <w:t xml:space="preserve"> </w:t>
            </w:r>
          </w:p>
        </w:tc>
        <w:tc>
          <w:tcPr>
            <w:tcW w:w="2610" w:type="dxa"/>
            <w:tcBorders>
              <w:top w:val="nil"/>
              <w:left w:val="single" w:sz="12" w:space="0" w:color="000000" w:themeColor="text1"/>
              <w:bottom w:val="single" w:sz="12" w:space="0" w:color="000000" w:themeColor="text1"/>
              <w:right w:val="single" w:sz="12" w:space="0" w:color="000000" w:themeColor="text1"/>
            </w:tcBorders>
            <w:vAlign w:val="center"/>
          </w:tcPr>
          <w:p w14:paraId="188BBC35" w14:textId="64D925E1" w:rsidR="2E982E3F" w:rsidRDefault="2E982E3F" w:rsidP="2E982E3F">
            <w:pPr>
              <w:spacing w:after="160" w:line="276" w:lineRule="auto"/>
              <w:rPr>
                <w:rFonts w:ascii="Aptos" w:eastAsia="Aptos" w:hAnsi="Aptos" w:cs="Aptos"/>
                <w:sz w:val="20"/>
                <w:szCs w:val="20"/>
              </w:rPr>
            </w:pPr>
            <w:r w:rsidRPr="2E982E3F">
              <w:rPr>
                <w:rFonts w:ascii="Aptos" w:eastAsia="Aptos" w:hAnsi="Aptos" w:cs="Aptos"/>
                <w:b/>
                <w:bCs/>
                <w:sz w:val="20"/>
                <w:szCs w:val="20"/>
              </w:rPr>
              <w:t>Tipo de usuario</w:t>
            </w:r>
            <w:r w:rsidRPr="2E982E3F">
              <w:rPr>
                <w:rFonts w:ascii="Aptos" w:eastAsia="Aptos" w:hAnsi="Aptos" w:cs="Aptos"/>
                <w:sz w:val="20"/>
                <w:szCs w:val="20"/>
              </w:rPr>
              <w:t xml:space="preserve"> </w:t>
            </w:r>
          </w:p>
        </w:tc>
        <w:tc>
          <w:tcPr>
            <w:tcW w:w="1582" w:type="dxa"/>
            <w:tcBorders>
              <w:top w:val="nil"/>
              <w:left w:val="single" w:sz="12" w:space="0" w:color="000000" w:themeColor="text1"/>
              <w:bottom w:val="single" w:sz="12" w:space="0" w:color="000000" w:themeColor="text1"/>
              <w:right w:val="single" w:sz="12" w:space="0" w:color="000000" w:themeColor="text1"/>
            </w:tcBorders>
            <w:vAlign w:val="center"/>
          </w:tcPr>
          <w:p w14:paraId="13A128EB" w14:textId="2E7E4EC1" w:rsidR="2E982E3F" w:rsidRDefault="2E982E3F" w:rsidP="2E982E3F">
            <w:pPr>
              <w:spacing w:after="160" w:line="276" w:lineRule="auto"/>
              <w:rPr>
                <w:rFonts w:ascii="Aptos" w:eastAsia="Aptos" w:hAnsi="Aptos" w:cs="Aptos"/>
                <w:sz w:val="20"/>
                <w:szCs w:val="20"/>
              </w:rPr>
            </w:pPr>
            <w:r w:rsidRPr="2E982E3F">
              <w:rPr>
                <w:rFonts w:ascii="Aptos" w:eastAsia="Aptos" w:hAnsi="Aptos" w:cs="Aptos"/>
                <w:b/>
                <w:bCs/>
                <w:sz w:val="20"/>
                <w:szCs w:val="20"/>
              </w:rPr>
              <w:t>Año de llegada</w:t>
            </w:r>
            <w:r w:rsidRPr="2E982E3F">
              <w:rPr>
                <w:rFonts w:ascii="Aptos" w:eastAsia="Aptos" w:hAnsi="Aptos" w:cs="Aptos"/>
                <w:sz w:val="20"/>
                <w:szCs w:val="20"/>
              </w:rPr>
              <w:t xml:space="preserve"> </w:t>
            </w:r>
          </w:p>
        </w:tc>
      </w:tr>
      <w:tr w:rsidR="2E982E3F" w14:paraId="4E08EB86" w14:textId="77777777" w:rsidTr="2E982E3F">
        <w:trPr>
          <w:trHeight w:val="585"/>
        </w:trPr>
        <w:tc>
          <w:tcPr>
            <w:tcW w:w="9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8C2EA74" w14:textId="26085A99" w:rsidR="2E982E3F" w:rsidRDefault="2E982E3F" w:rsidP="2E982E3F">
            <w:pPr>
              <w:spacing w:after="160" w:line="276" w:lineRule="auto"/>
              <w:rPr>
                <w:rFonts w:ascii="Aptos" w:eastAsia="Aptos" w:hAnsi="Aptos" w:cs="Aptos"/>
                <w:sz w:val="20"/>
                <w:szCs w:val="20"/>
              </w:rPr>
            </w:pPr>
            <w:r w:rsidRPr="2E982E3F">
              <w:rPr>
                <w:rFonts w:ascii="Aptos" w:eastAsia="Aptos" w:hAnsi="Aptos" w:cs="Aptos"/>
                <w:sz w:val="20"/>
                <w:szCs w:val="20"/>
              </w:rPr>
              <w:t xml:space="preserve">1 </w:t>
            </w:r>
          </w:p>
        </w:tc>
        <w:tc>
          <w:tcPr>
            <w:tcW w:w="43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55F2511B" w14:textId="5ECD6864" w:rsidR="2E982E3F" w:rsidRDefault="2E982E3F" w:rsidP="2E982E3F">
            <w:pPr>
              <w:spacing w:after="160" w:line="276" w:lineRule="auto"/>
              <w:rPr>
                <w:rFonts w:ascii="Aptos" w:eastAsia="Aptos" w:hAnsi="Aptos" w:cs="Aptos"/>
                <w:sz w:val="20"/>
                <w:szCs w:val="20"/>
              </w:rPr>
            </w:pPr>
            <w:r w:rsidRPr="2E982E3F">
              <w:rPr>
                <w:rFonts w:ascii="Aptos" w:eastAsia="Aptos" w:hAnsi="Aptos" w:cs="Aptos"/>
                <w:sz w:val="20"/>
                <w:szCs w:val="20"/>
              </w:rPr>
              <w:t xml:space="preserve">Promotora Clínica Zona Franca de Urabá S.A.S. </w:t>
            </w:r>
          </w:p>
        </w:tc>
        <w:tc>
          <w:tcPr>
            <w:tcW w:w="261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222E0692" w14:textId="3D92A56E" w:rsidR="2E982E3F" w:rsidRDefault="2E982E3F" w:rsidP="2E982E3F">
            <w:pPr>
              <w:spacing w:after="160" w:line="276" w:lineRule="auto"/>
              <w:rPr>
                <w:rFonts w:ascii="Aptos" w:eastAsia="Aptos" w:hAnsi="Aptos" w:cs="Aptos"/>
                <w:sz w:val="20"/>
                <w:szCs w:val="20"/>
              </w:rPr>
            </w:pPr>
            <w:r w:rsidRPr="2E982E3F">
              <w:rPr>
                <w:rFonts w:ascii="Aptos" w:eastAsia="Aptos" w:hAnsi="Aptos" w:cs="Aptos"/>
                <w:sz w:val="20"/>
                <w:szCs w:val="20"/>
              </w:rPr>
              <w:t xml:space="preserve">Industrial de Servicios </w:t>
            </w:r>
          </w:p>
        </w:tc>
        <w:tc>
          <w:tcPr>
            <w:tcW w:w="158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AA62CAB" w14:textId="3D1D87F7" w:rsidR="2E982E3F" w:rsidRDefault="2E982E3F" w:rsidP="2E982E3F">
            <w:pPr>
              <w:spacing w:after="160" w:line="276" w:lineRule="auto"/>
              <w:rPr>
                <w:rFonts w:ascii="Aptos" w:eastAsia="Aptos" w:hAnsi="Aptos" w:cs="Aptos"/>
                <w:sz w:val="20"/>
                <w:szCs w:val="20"/>
              </w:rPr>
            </w:pPr>
            <w:r w:rsidRPr="2E982E3F">
              <w:rPr>
                <w:rFonts w:ascii="Aptos" w:eastAsia="Aptos" w:hAnsi="Aptos" w:cs="Aptos"/>
                <w:sz w:val="20"/>
                <w:szCs w:val="20"/>
              </w:rPr>
              <w:t xml:space="preserve">2014 </w:t>
            </w:r>
          </w:p>
        </w:tc>
      </w:tr>
      <w:tr w:rsidR="2E982E3F" w14:paraId="2D875729" w14:textId="77777777" w:rsidTr="2E982E3F">
        <w:trPr>
          <w:trHeight w:val="585"/>
        </w:trPr>
        <w:tc>
          <w:tcPr>
            <w:tcW w:w="9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50580150" w14:textId="4372969B" w:rsidR="2E982E3F" w:rsidRDefault="2E982E3F" w:rsidP="2E982E3F">
            <w:pPr>
              <w:spacing w:after="160" w:line="276" w:lineRule="auto"/>
              <w:rPr>
                <w:rFonts w:ascii="Aptos" w:eastAsia="Aptos" w:hAnsi="Aptos" w:cs="Aptos"/>
                <w:sz w:val="20"/>
                <w:szCs w:val="20"/>
              </w:rPr>
            </w:pPr>
            <w:r w:rsidRPr="2E982E3F">
              <w:rPr>
                <w:rFonts w:ascii="Aptos" w:eastAsia="Aptos" w:hAnsi="Aptos" w:cs="Aptos"/>
                <w:sz w:val="20"/>
                <w:szCs w:val="20"/>
              </w:rPr>
              <w:t xml:space="preserve">2 </w:t>
            </w:r>
          </w:p>
        </w:tc>
        <w:tc>
          <w:tcPr>
            <w:tcW w:w="43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1044804" w14:textId="310FBD26" w:rsidR="2E982E3F" w:rsidRDefault="2E982E3F" w:rsidP="2E982E3F">
            <w:pPr>
              <w:spacing w:after="160" w:line="276" w:lineRule="auto"/>
              <w:rPr>
                <w:rFonts w:ascii="Aptos" w:eastAsia="Aptos" w:hAnsi="Aptos" w:cs="Aptos"/>
                <w:sz w:val="20"/>
                <w:szCs w:val="20"/>
              </w:rPr>
            </w:pPr>
            <w:r w:rsidRPr="2E982E3F">
              <w:rPr>
                <w:rFonts w:ascii="Aptos" w:eastAsia="Aptos" w:hAnsi="Aptos" w:cs="Aptos"/>
                <w:sz w:val="20"/>
                <w:szCs w:val="20"/>
              </w:rPr>
              <w:t xml:space="preserve">Compañía Limpieza Industrial de Urabá S.A.S (CLIU) </w:t>
            </w:r>
          </w:p>
        </w:tc>
        <w:tc>
          <w:tcPr>
            <w:tcW w:w="261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533E4393" w14:textId="2D47A50F" w:rsidR="2E982E3F" w:rsidRDefault="2E982E3F" w:rsidP="2E982E3F">
            <w:pPr>
              <w:spacing w:after="160" w:line="276" w:lineRule="auto"/>
              <w:rPr>
                <w:rFonts w:ascii="Aptos" w:eastAsia="Aptos" w:hAnsi="Aptos" w:cs="Aptos"/>
                <w:sz w:val="20"/>
                <w:szCs w:val="20"/>
              </w:rPr>
            </w:pPr>
            <w:r w:rsidRPr="2E982E3F">
              <w:rPr>
                <w:rFonts w:ascii="Aptos" w:eastAsia="Aptos" w:hAnsi="Aptos" w:cs="Aptos"/>
                <w:sz w:val="20"/>
                <w:szCs w:val="20"/>
              </w:rPr>
              <w:t xml:space="preserve">Industrial de Servicios </w:t>
            </w:r>
          </w:p>
        </w:tc>
        <w:tc>
          <w:tcPr>
            <w:tcW w:w="158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4A1FC27" w14:textId="47D77FD4" w:rsidR="2E982E3F" w:rsidRDefault="2E982E3F" w:rsidP="2E982E3F">
            <w:pPr>
              <w:spacing w:after="160" w:line="276" w:lineRule="auto"/>
              <w:rPr>
                <w:rFonts w:ascii="Aptos" w:eastAsia="Aptos" w:hAnsi="Aptos" w:cs="Aptos"/>
                <w:sz w:val="20"/>
                <w:szCs w:val="20"/>
              </w:rPr>
            </w:pPr>
            <w:r w:rsidRPr="2E982E3F">
              <w:rPr>
                <w:rFonts w:ascii="Aptos" w:eastAsia="Aptos" w:hAnsi="Aptos" w:cs="Aptos"/>
                <w:sz w:val="20"/>
                <w:szCs w:val="20"/>
              </w:rPr>
              <w:t xml:space="preserve">2014 </w:t>
            </w:r>
          </w:p>
        </w:tc>
      </w:tr>
      <w:tr w:rsidR="2E982E3F" w14:paraId="204D4D81" w14:textId="77777777" w:rsidTr="2E982E3F">
        <w:trPr>
          <w:trHeight w:val="585"/>
        </w:trPr>
        <w:tc>
          <w:tcPr>
            <w:tcW w:w="9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222C88C" w14:textId="1DE25F9B" w:rsidR="2E982E3F" w:rsidRDefault="2E982E3F" w:rsidP="2E982E3F">
            <w:pPr>
              <w:spacing w:after="160" w:line="276" w:lineRule="auto"/>
              <w:rPr>
                <w:rFonts w:ascii="Aptos" w:eastAsia="Aptos" w:hAnsi="Aptos" w:cs="Aptos"/>
                <w:sz w:val="20"/>
                <w:szCs w:val="20"/>
              </w:rPr>
            </w:pPr>
            <w:r w:rsidRPr="2E982E3F">
              <w:rPr>
                <w:rFonts w:ascii="Aptos" w:eastAsia="Aptos" w:hAnsi="Aptos" w:cs="Aptos"/>
                <w:sz w:val="20"/>
                <w:szCs w:val="20"/>
              </w:rPr>
              <w:t xml:space="preserve">5 </w:t>
            </w:r>
          </w:p>
        </w:tc>
        <w:tc>
          <w:tcPr>
            <w:tcW w:w="43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E230914" w14:textId="480F55C6" w:rsidR="2E982E3F" w:rsidRDefault="2E982E3F" w:rsidP="2E982E3F">
            <w:pPr>
              <w:spacing w:after="160" w:line="276" w:lineRule="auto"/>
              <w:rPr>
                <w:rFonts w:ascii="Aptos" w:eastAsia="Aptos" w:hAnsi="Aptos" w:cs="Aptos"/>
                <w:sz w:val="20"/>
                <w:szCs w:val="20"/>
              </w:rPr>
            </w:pPr>
            <w:r w:rsidRPr="2E982E3F">
              <w:rPr>
                <w:rFonts w:ascii="Aptos" w:eastAsia="Aptos" w:hAnsi="Aptos" w:cs="Aptos"/>
                <w:sz w:val="20"/>
                <w:szCs w:val="20"/>
              </w:rPr>
              <w:t xml:space="preserve">Cardioestudio Zona Franca S.A.S. </w:t>
            </w:r>
          </w:p>
        </w:tc>
        <w:tc>
          <w:tcPr>
            <w:tcW w:w="261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C3FC90F" w14:textId="24277B00" w:rsidR="2E982E3F" w:rsidRDefault="2E982E3F" w:rsidP="2E982E3F">
            <w:pPr>
              <w:spacing w:after="160" w:line="276" w:lineRule="auto"/>
              <w:rPr>
                <w:rFonts w:ascii="Aptos" w:eastAsia="Aptos" w:hAnsi="Aptos" w:cs="Aptos"/>
                <w:sz w:val="20"/>
                <w:szCs w:val="20"/>
              </w:rPr>
            </w:pPr>
            <w:r w:rsidRPr="2E982E3F">
              <w:rPr>
                <w:rFonts w:ascii="Aptos" w:eastAsia="Aptos" w:hAnsi="Aptos" w:cs="Aptos"/>
                <w:sz w:val="20"/>
                <w:szCs w:val="20"/>
              </w:rPr>
              <w:t xml:space="preserve">Industrial de Servicios </w:t>
            </w:r>
          </w:p>
        </w:tc>
        <w:tc>
          <w:tcPr>
            <w:tcW w:w="158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B9DF47A" w14:textId="0733700A" w:rsidR="2E982E3F" w:rsidRDefault="2E982E3F" w:rsidP="2E982E3F">
            <w:pPr>
              <w:spacing w:after="160" w:line="276" w:lineRule="auto"/>
              <w:rPr>
                <w:rFonts w:ascii="Aptos" w:eastAsia="Aptos" w:hAnsi="Aptos" w:cs="Aptos"/>
                <w:sz w:val="20"/>
                <w:szCs w:val="20"/>
              </w:rPr>
            </w:pPr>
            <w:r w:rsidRPr="2E982E3F">
              <w:rPr>
                <w:rFonts w:ascii="Aptos" w:eastAsia="Aptos" w:hAnsi="Aptos" w:cs="Aptos"/>
                <w:sz w:val="20"/>
                <w:szCs w:val="20"/>
              </w:rPr>
              <w:t xml:space="preserve">2015 </w:t>
            </w:r>
          </w:p>
        </w:tc>
      </w:tr>
      <w:tr w:rsidR="2E982E3F" w14:paraId="31D86582" w14:textId="77777777" w:rsidTr="2E982E3F">
        <w:trPr>
          <w:trHeight w:val="585"/>
        </w:trPr>
        <w:tc>
          <w:tcPr>
            <w:tcW w:w="9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C66C3B3" w14:textId="79E0882D" w:rsidR="2E982E3F" w:rsidRDefault="2E982E3F" w:rsidP="2E982E3F">
            <w:pPr>
              <w:spacing w:after="160" w:line="276" w:lineRule="auto"/>
              <w:rPr>
                <w:rFonts w:ascii="Aptos" w:eastAsia="Aptos" w:hAnsi="Aptos" w:cs="Aptos"/>
                <w:sz w:val="20"/>
                <w:szCs w:val="20"/>
              </w:rPr>
            </w:pPr>
            <w:r w:rsidRPr="2E982E3F">
              <w:rPr>
                <w:rFonts w:ascii="Aptos" w:eastAsia="Aptos" w:hAnsi="Aptos" w:cs="Aptos"/>
                <w:sz w:val="20"/>
                <w:szCs w:val="20"/>
              </w:rPr>
              <w:t xml:space="preserve">9 </w:t>
            </w:r>
          </w:p>
        </w:tc>
        <w:tc>
          <w:tcPr>
            <w:tcW w:w="43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C90DD52" w14:textId="55D035D4" w:rsidR="2E982E3F" w:rsidRDefault="2E982E3F" w:rsidP="2E982E3F">
            <w:pPr>
              <w:spacing w:after="160" w:line="276" w:lineRule="auto"/>
              <w:rPr>
                <w:rFonts w:ascii="Aptos" w:eastAsia="Aptos" w:hAnsi="Aptos" w:cs="Aptos"/>
                <w:sz w:val="20"/>
                <w:szCs w:val="20"/>
              </w:rPr>
            </w:pPr>
            <w:r w:rsidRPr="2E982E3F">
              <w:rPr>
                <w:rFonts w:ascii="Aptos" w:eastAsia="Aptos" w:hAnsi="Aptos" w:cs="Aptos"/>
                <w:sz w:val="20"/>
                <w:szCs w:val="20"/>
              </w:rPr>
              <w:t xml:space="preserve">COMMERK S.A.S </w:t>
            </w:r>
          </w:p>
        </w:tc>
        <w:tc>
          <w:tcPr>
            <w:tcW w:w="261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504D6310" w14:textId="48B817DF" w:rsidR="2E982E3F" w:rsidRDefault="2E982E3F" w:rsidP="2E982E3F">
            <w:pPr>
              <w:spacing w:after="160" w:line="276" w:lineRule="auto"/>
              <w:rPr>
                <w:rFonts w:ascii="Aptos" w:eastAsia="Aptos" w:hAnsi="Aptos" w:cs="Aptos"/>
                <w:sz w:val="20"/>
                <w:szCs w:val="20"/>
              </w:rPr>
            </w:pPr>
            <w:r w:rsidRPr="2E982E3F">
              <w:rPr>
                <w:rFonts w:ascii="Aptos" w:eastAsia="Aptos" w:hAnsi="Aptos" w:cs="Aptos"/>
                <w:sz w:val="20"/>
                <w:szCs w:val="20"/>
              </w:rPr>
              <w:t xml:space="preserve">Usuario Comercial </w:t>
            </w:r>
          </w:p>
        </w:tc>
        <w:tc>
          <w:tcPr>
            <w:tcW w:w="158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5213220" w14:textId="2BF5EB3B" w:rsidR="2E982E3F" w:rsidRDefault="2E982E3F" w:rsidP="2E982E3F">
            <w:pPr>
              <w:spacing w:after="160" w:line="276" w:lineRule="auto"/>
              <w:rPr>
                <w:rFonts w:ascii="Aptos" w:eastAsia="Aptos" w:hAnsi="Aptos" w:cs="Aptos"/>
                <w:sz w:val="20"/>
                <w:szCs w:val="20"/>
              </w:rPr>
            </w:pPr>
            <w:r w:rsidRPr="2E982E3F">
              <w:rPr>
                <w:rFonts w:ascii="Aptos" w:eastAsia="Aptos" w:hAnsi="Aptos" w:cs="Aptos"/>
                <w:sz w:val="20"/>
                <w:szCs w:val="20"/>
              </w:rPr>
              <w:t xml:space="preserve">2016 </w:t>
            </w:r>
          </w:p>
        </w:tc>
      </w:tr>
      <w:tr w:rsidR="2E982E3F" w14:paraId="4B02EDD7" w14:textId="77777777" w:rsidTr="2E982E3F">
        <w:trPr>
          <w:trHeight w:val="855"/>
        </w:trPr>
        <w:tc>
          <w:tcPr>
            <w:tcW w:w="9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B2D4C25" w14:textId="4277E783" w:rsidR="2E982E3F" w:rsidRDefault="2E982E3F" w:rsidP="2E982E3F">
            <w:pPr>
              <w:spacing w:after="160" w:line="276" w:lineRule="auto"/>
              <w:rPr>
                <w:rFonts w:ascii="Aptos" w:eastAsia="Aptos" w:hAnsi="Aptos" w:cs="Aptos"/>
                <w:sz w:val="20"/>
                <w:szCs w:val="20"/>
              </w:rPr>
            </w:pPr>
            <w:r w:rsidRPr="2E982E3F">
              <w:rPr>
                <w:rFonts w:ascii="Aptos" w:eastAsia="Aptos" w:hAnsi="Aptos" w:cs="Aptos"/>
                <w:sz w:val="20"/>
                <w:szCs w:val="20"/>
              </w:rPr>
              <w:t xml:space="preserve">6 </w:t>
            </w:r>
          </w:p>
        </w:tc>
        <w:tc>
          <w:tcPr>
            <w:tcW w:w="43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8F5A882" w14:textId="5A199C66" w:rsidR="2E982E3F" w:rsidRDefault="2E982E3F" w:rsidP="2E982E3F">
            <w:pPr>
              <w:spacing w:after="160" w:line="276" w:lineRule="auto"/>
              <w:rPr>
                <w:rFonts w:ascii="Aptos" w:eastAsia="Aptos" w:hAnsi="Aptos" w:cs="Aptos"/>
                <w:sz w:val="20"/>
                <w:szCs w:val="20"/>
              </w:rPr>
            </w:pPr>
            <w:r w:rsidRPr="2E982E3F">
              <w:rPr>
                <w:rFonts w:ascii="Aptos" w:eastAsia="Aptos" w:hAnsi="Aptos" w:cs="Aptos"/>
                <w:sz w:val="20"/>
                <w:szCs w:val="20"/>
              </w:rPr>
              <w:t xml:space="preserve">Dique Constructores Zona Franca S.A.S. </w:t>
            </w:r>
          </w:p>
        </w:tc>
        <w:tc>
          <w:tcPr>
            <w:tcW w:w="261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2220165" w14:textId="13ADDA6C" w:rsidR="2E982E3F" w:rsidRDefault="2E982E3F" w:rsidP="2E982E3F">
            <w:pPr>
              <w:spacing w:after="160" w:line="276" w:lineRule="auto"/>
              <w:rPr>
                <w:rFonts w:ascii="Aptos" w:eastAsia="Aptos" w:hAnsi="Aptos" w:cs="Aptos"/>
                <w:sz w:val="20"/>
                <w:szCs w:val="20"/>
              </w:rPr>
            </w:pPr>
            <w:r w:rsidRPr="2E982E3F">
              <w:rPr>
                <w:rFonts w:ascii="Aptos" w:eastAsia="Aptos" w:hAnsi="Aptos" w:cs="Aptos"/>
                <w:sz w:val="20"/>
                <w:szCs w:val="20"/>
              </w:rPr>
              <w:t xml:space="preserve">Industrial de Bienes y Servicios </w:t>
            </w:r>
          </w:p>
        </w:tc>
        <w:tc>
          <w:tcPr>
            <w:tcW w:w="158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936A676" w14:textId="774E862F" w:rsidR="2E982E3F" w:rsidRDefault="2E982E3F" w:rsidP="2E982E3F">
            <w:pPr>
              <w:spacing w:after="160" w:line="276" w:lineRule="auto"/>
              <w:rPr>
                <w:rFonts w:ascii="Aptos" w:eastAsia="Aptos" w:hAnsi="Aptos" w:cs="Aptos"/>
                <w:sz w:val="20"/>
                <w:szCs w:val="20"/>
              </w:rPr>
            </w:pPr>
            <w:r w:rsidRPr="2E982E3F">
              <w:rPr>
                <w:rFonts w:ascii="Aptos" w:eastAsia="Aptos" w:hAnsi="Aptos" w:cs="Aptos"/>
                <w:sz w:val="20"/>
                <w:szCs w:val="20"/>
              </w:rPr>
              <w:t xml:space="preserve">2018 </w:t>
            </w:r>
          </w:p>
        </w:tc>
      </w:tr>
      <w:tr w:rsidR="2E982E3F" w14:paraId="36437CBA" w14:textId="77777777" w:rsidTr="2E982E3F">
        <w:trPr>
          <w:trHeight w:val="855"/>
        </w:trPr>
        <w:tc>
          <w:tcPr>
            <w:tcW w:w="9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329E2B0" w14:textId="6B5AC779" w:rsidR="2E982E3F" w:rsidRDefault="2E982E3F" w:rsidP="2E982E3F">
            <w:pPr>
              <w:spacing w:after="160" w:line="276" w:lineRule="auto"/>
              <w:rPr>
                <w:rFonts w:ascii="Aptos" w:eastAsia="Aptos" w:hAnsi="Aptos" w:cs="Aptos"/>
                <w:sz w:val="20"/>
                <w:szCs w:val="20"/>
              </w:rPr>
            </w:pPr>
            <w:r w:rsidRPr="2E982E3F">
              <w:rPr>
                <w:rFonts w:ascii="Aptos" w:eastAsia="Aptos" w:hAnsi="Aptos" w:cs="Aptos"/>
                <w:sz w:val="20"/>
                <w:szCs w:val="20"/>
              </w:rPr>
              <w:lastRenderedPageBreak/>
              <w:t xml:space="preserve">7 </w:t>
            </w:r>
          </w:p>
        </w:tc>
        <w:tc>
          <w:tcPr>
            <w:tcW w:w="43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F8F9BF2" w14:textId="1ABFF809" w:rsidR="2E982E3F" w:rsidRDefault="2E982E3F" w:rsidP="2E982E3F">
            <w:pPr>
              <w:spacing w:after="160" w:line="276" w:lineRule="auto"/>
              <w:rPr>
                <w:rFonts w:ascii="Aptos" w:eastAsia="Aptos" w:hAnsi="Aptos" w:cs="Aptos"/>
                <w:sz w:val="20"/>
                <w:szCs w:val="20"/>
              </w:rPr>
            </w:pPr>
            <w:r w:rsidRPr="2E982E3F">
              <w:rPr>
                <w:rFonts w:ascii="Aptos" w:eastAsia="Aptos" w:hAnsi="Aptos" w:cs="Aptos"/>
                <w:sz w:val="20"/>
                <w:szCs w:val="20"/>
              </w:rPr>
              <w:t xml:space="preserve">Valle Verde Zona Franca S.A.S </w:t>
            </w:r>
          </w:p>
        </w:tc>
        <w:tc>
          <w:tcPr>
            <w:tcW w:w="261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98CE37E" w14:textId="51D29738" w:rsidR="2E982E3F" w:rsidRDefault="2E982E3F" w:rsidP="2E982E3F">
            <w:pPr>
              <w:spacing w:after="160" w:line="276" w:lineRule="auto"/>
              <w:rPr>
                <w:rFonts w:ascii="Aptos" w:eastAsia="Aptos" w:hAnsi="Aptos" w:cs="Aptos"/>
                <w:sz w:val="20"/>
                <w:szCs w:val="20"/>
              </w:rPr>
            </w:pPr>
            <w:r w:rsidRPr="2E982E3F">
              <w:rPr>
                <w:rFonts w:ascii="Aptos" w:eastAsia="Aptos" w:hAnsi="Aptos" w:cs="Aptos"/>
                <w:sz w:val="20"/>
                <w:szCs w:val="20"/>
              </w:rPr>
              <w:t xml:space="preserve">Industrial de Bienes y Servicios </w:t>
            </w:r>
          </w:p>
        </w:tc>
        <w:tc>
          <w:tcPr>
            <w:tcW w:w="158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159C607" w14:textId="6CB22CFF" w:rsidR="2E982E3F" w:rsidRDefault="2E982E3F" w:rsidP="2E982E3F">
            <w:pPr>
              <w:spacing w:after="160" w:line="276" w:lineRule="auto"/>
              <w:rPr>
                <w:rFonts w:ascii="Aptos" w:eastAsia="Aptos" w:hAnsi="Aptos" w:cs="Aptos"/>
                <w:sz w:val="20"/>
                <w:szCs w:val="20"/>
              </w:rPr>
            </w:pPr>
            <w:r w:rsidRPr="2E982E3F">
              <w:rPr>
                <w:rFonts w:ascii="Aptos" w:eastAsia="Aptos" w:hAnsi="Aptos" w:cs="Aptos"/>
                <w:sz w:val="20"/>
                <w:szCs w:val="20"/>
              </w:rPr>
              <w:t xml:space="preserve">2020 </w:t>
            </w:r>
          </w:p>
        </w:tc>
      </w:tr>
      <w:tr w:rsidR="2E982E3F" w14:paraId="23B02551" w14:textId="77777777" w:rsidTr="2E982E3F">
        <w:trPr>
          <w:trHeight w:val="585"/>
        </w:trPr>
        <w:tc>
          <w:tcPr>
            <w:tcW w:w="9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54B84E2C" w14:textId="643AF334" w:rsidR="2E982E3F" w:rsidRDefault="2E982E3F" w:rsidP="2E982E3F">
            <w:pPr>
              <w:spacing w:after="160" w:line="276" w:lineRule="auto"/>
              <w:rPr>
                <w:rFonts w:ascii="Aptos" w:eastAsia="Aptos" w:hAnsi="Aptos" w:cs="Aptos"/>
                <w:sz w:val="20"/>
                <w:szCs w:val="20"/>
              </w:rPr>
            </w:pPr>
            <w:r w:rsidRPr="2E982E3F">
              <w:rPr>
                <w:rFonts w:ascii="Aptos" w:eastAsia="Aptos" w:hAnsi="Aptos" w:cs="Aptos"/>
                <w:sz w:val="20"/>
                <w:szCs w:val="20"/>
              </w:rPr>
              <w:t xml:space="preserve">4 </w:t>
            </w:r>
          </w:p>
        </w:tc>
        <w:tc>
          <w:tcPr>
            <w:tcW w:w="43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F6CDD73" w14:textId="1ED78413" w:rsidR="2E982E3F" w:rsidRDefault="2E982E3F" w:rsidP="2E982E3F">
            <w:pPr>
              <w:spacing w:after="160" w:line="276" w:lineRule="auto"/>
              <w:rPr>
                <w:rFonts w:ascii="Aptos" w:eastAsia="Aptos" w:hAnsi="Aptos" w:cs="Aptos"/>
                <w:sz w:val="20"/>
                <w:szCs w:val="20"/>
              </w:rPr>
            </w:pPr>
            <w:r w:rsidRPr="2E982E3F">
              <w:rPr>
                <w:rFonts w:ascii="Aptos" w:eastAsia="Aptos" w:hAnsi="Aptos" w:cs="Aptos"/>
                <w:sz w:val="20"/>
                <w:szCs w:val="20"/>
              </w:rPr>
              <w:t xml:space="preserve">Medialco Zona Franca S.A.S </w:t>
            </w:r>
          </w:p>
        </w:tc>
        <w:tc>
          <w:tcPr>
            <w:tcW w:w="261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14E37CC" w14:textId="2A5FC8E1" w:rsidR="2E982E3F" w:rsidRDefault="2E982E3F" w:rsidP="2E982E3F">
            <w:pPr>
              <w:spacing w:after="160" w:line="276" w:lineRule="auto"/>
              <w:rPr>
                <w:rFonts w:ascii="Aptos" w:eastAsia="Aptos" w:hAnsi="Aptos" w:cs="Aptos"/>
                <w:sz w:val="20"/>
                <w:szCs w:val="20"/>
              </w:rPr>
            </w:pPr>
            <w:r w:rsidRPr="2E982E3F">
              <w:rPr>
                <w:rFonts w:ascii="Aptos" w:eastAsia="Aptos" w:hAnsi="Aptos" w:cs="Aptos"/>
                <w:sz w:val="20"/>
                <w:szCs w:val="20"/>
              </w:rPr>
              <w:t xml:space="preserve">Industrial de Servicios </w:t>
            </w:r>
          </w:p>
        </w:tc>
        <w:tc>
          <w:tcPr>
            <w:tcW w:w="158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9C16370" w14:textId="151BC67B" w:rsidR="2E982E3F" w:rsidRDefault="2E982E3F" w:rsidP="2E982E3F">
            <w:pPr>
              <w:spacing w:after="160" w:line="276" w:lineRule="auto"/>
              <w:rPr>
                <w:rFonts w:ascii="Aptos" w:eastAsia="Aptos" w:hAnsi="Aptos" w:cs="Aptos"/>
                <w:sz w:val="20"/>
                <w:szCs w:val="20"/>
              </w:rPr>
            </w:pPr>
            <w:r w:rsidRPr="2E982E3F">
              <w:rPr>
                <w:rFonts w:ascii="Aptos" w:eastAsia="Aptos" w:hAnsi="Aptos" w:cs="Aptos"/>
                <w:sz w:val="20"/>
                <w:szCs w:val="20"/>
              </w:rPr>
              <w:t xml:space="preserve">2021 </w:t>
            </w:r>
          </w:p>
        </w:tc>
      </w:tr>
      <w:tr w:rsidR="2E982E3F" w14:paraId="12D0B73B" w14:textId="77777777" w:rsidTr="2E982E3F">
        <w:trPr>
          <w:trHeight w:val="585"/>
        </w:trPr>
        <w:tc>
          <w:tcPr>
            <w:tcW w:w="9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5E500899" w14:textId="356383E5" w:rsidR="2E982E3F" w:rsidRDefault="2E982E3F" w:rsidP="2E982E3F">
            <w:pPr>
              <w:spacing w:after="160" w:line="276" w:lineRule="auto"/>
              <w:rPr>
                <w:rFonts w:ascii="Aptos" w:eastAsia="Aptos" w:hAnsi="Aptos" w:cs="Aptos"/>
                <w:sz w:val="20"/>
                <w:szCs w:val="20"/>
              </w:rPr>
            </w:pPr>
            <w:r w:rsidRPr="2E982E3F">
              <w:rPr>
                <w:rFonts w:ascii="Aptos" w:eastAsia="Aptos" w:hAnsi="Aptos" w:cs="Aptos"/>
                <w:sz w:val="20"/>
                <w:szCs w:val="20"/>
              </w:rPr>
              <w:t xml:space="preserve">8 </w:t>
            </w:r>
          </w:p>
        </w:tc>
        <w:tc>
          <w:tcPr>
            <w:tcW w:w="43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08C82ED" w14:textId="63AD955E" w:rsidR="2E982E3F" w:rsidRDefault="2E982E3F" w:rsidP="2E982E3F">
            <w:pPr>
              <w:spacing w:after="160" w:line="276" w:lineRule="auto"/>
              <w:rPr>
                <w:rFonts w:ascii="Aptos" w:eastAsia="Aptos" w:hAnsi="Aptos" w:cs="Aptos"/>
                <w:sz w:val="20"/>
                <w:szCs w:val="20"/>
              </w:rPr>
            </w:pPr>
            <w:r w:rsidRPr="2E982E3F">
              <w:rPr>
                <w:rFonts w:ascii="Aptos" w:eastAsia="Aptos" w:hAnsi="Aptos" w:cs="Aptos"/>
                <w:sz w:val="20"/>
                <w:szCs w:val="20"/>
              </w:rPr>
              <w:t xml:space="preserve">Almacenamiento, Servicios y Logísticas Zomac S.A.S </w:t>
            </w:r>
          </w:p>
        </w:tc>
        <w:tc>
          <w:tcPr>
            <w:tcW w:w="261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512C658" w14:textId="44E41132" w:rsidR="2E982E3F" w:rsidRDefault="2E982E3F" w:rsidP="2E982E3F">
            <w:pPr>
              <w:spacing w:after="160" w:line="276" w:lineRule="auto"/>
              <w:rPr>
                <w:rFonts w:ascii="Aptos" w:eastAsia="Aptos" w:hAnsi="Aptos" w:cs="Aptos"/>
                <w:sz w:val="20"/>
                <w:szCs w:val="20"/>
              </w:rPr>
            </w:pPr>
            <w:r w:rsidRPr="2E982E3F">
              <w:rPr>
                <w:rFonts w:ascii="Aptos" w:eastAsia="Aptos" w:hAnsi="Aptos" w:cs="Aptos"/>
                <w:sz w:val="20"/>
                <w:szCs w:val="20"/>
              </w:rPr>
              <w:t xml:space="preserve">Usuario Comercial </w:t>
            </w:r>
          </w:p>
        </w:tc>
        <w:tc>
          <w:tcPr>
            <w:tcW w:w="158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5CC8BDE1" w14:textId="69512F66" w:rsidR="2E982E3F" w:rsidRDefault="2E982E3F" w:rsidP="2E982E3F">
            <w:pPr>
              <w:spacing w:after="160" w:line="276" w:lineRule="auto"/>
              <w:rPr>
                <w:rFonts w:ascii="Aptos" w:eastAsia="Aptos" w:hAnsi="Aptos" w:cs="Aptos"/>
                <w:sz w:val="20"/>
                <w:szCs w:val="20"/>
              </w:rPr>
            </w:pPr>
            <w:r w:rsidRPr="2E982E3F">
              <w:rPr>
                <w:rFonts w:ascii="Aptos" w:eastAsia="Aptos" w:hAnsi="Aptos" w:cs="Aptos"/>
                <w:sz w:val="20"/>
                <w:szCs w:val="20"/>
              </w:rPr>
              <w:t xml:space="preserve">2022 </w:t>
            </w:r>
          </w:p>
        </w:tc>
      </w:tr>
      <w:tr w:rsidR="2E982E3F" w14:paraId="5B5C33E8" w14:textId="77777777" w:rsidTr="2E982E3F">
        <w:trPr>
          <w:trHeight w:val="585"/>
        </w:trPr>
        <w:tc>
          <w:tcPr>
            <w:tcW w:w="9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5E58930" w14:textId="467B0F98" w:rsidR="2E982E3F" w:rsidRDefault="2E982E3F" w:rsidP="2E982E3F">
            <w:pPr>
              <w:spacing w:after="160" w:line="276" w:lineRule="auto"/>
              <w:rPr>
                <w:rFonts w:ascii="Aptos" w:eastAsia="Aptos" w:hAnsi="Aptos" w:cs="Aptos"/>
                <w:sz w:val="20"/>
                <w:szCs w:val="20"/>
              </w:rPr>
            </w:pPr>
            <w:r w:rsidRPr="2E982E3F">
              <w:rPr>
                <w:rFonts w:ascii="Aptos" w:eastAsia="Aptos" w:hAnsi="Aptos" w:cs="Aptos"/>
                <w:sz w:val="20"/>
                <w:szCs w:val="20"/>
              </w:rPr>
              <w:t xml:space="preserve">3 </w:t>
            </w:r>
          </w:p>
        </w:tc>
        <w:tc>
          <w:tcPr>
            <w:tcW w:w="43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4E1D11B" w14:textId="2F819D68" w:rsidR="2E982E3F" w:rsidRDefault="2E982E3F" w:rsidP="2E982E3F">
            <w:pPr>
              <w:spacing w:after="160" w:line="276" w:lineRule="auto"/>
              <w:rPr>
                <w:rFonts w:ascii="Aptos" w:eastAsia="Aptos" w:hAnsi="Aptos" w:cs="Aptos"/>
                <w:sz w:val="20"/>
                <w:szCs w:val="20"/>
              </w:rPr>
            </w:pPr>
            <w:r w:rsidRPr="2E982E3F">
              <w:rPr>
                <w:rFonts w:ascii="Aptos" w:eastAsia="Aptos" w:hAnsi="Aptos" w:cs="Aptos"/>
                <w:sz w:val="20"/>
                <w:szCs w:val="20"/>
              </w:rPr>
              <w:t xml:space="preserve">UNLAB Zona Franca S.A.S. </w:t>
            </w:r>
          </w:p>
        </w:tc>
        <w:tc>
          <w:tcPr>
            <w:tcW w:w="261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02C5791" w14:textId="51D8935F" w:rsidR="2E982E3F" w:rsidRDefault="2E982E3F" w:rsidP="2E982E3F">
            <w:pPr>
              <w:spacing w:after="160" w:line="276" w:lineRule="auto"/>
              <w:rPr>
                <w:rFonts w:ascii="Aptos" w:eastAsia="Aptos" w:hAnsi="Aptos" w:cs="Aptos"/>
                <w:sz w:val="20"/>
                <w:szCs w:val="20"/>
              </w:rPr>
            </w:pPr>
            <w:r w:rsidRPr="2E982E3F">
              <w:rPr>
                <w:rFonts w:ascii="Aptos" w:eastAsia="Aptos" w:hAnsi="Aptos" w:cs="Aptos"/>
                <w:sz w:val="20"/>
                <w:szCs w:val="20"/>
              </w:rPr>
              <w:t xml:space="preserve">Industrial de Servicios </w:t>
            </w:r>
          </w:p>
        </w:tc>
        <w:tc>
          <w:tcPr>
            <w:tcW w:w="158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5DC5EA2" w14:textId="6922FEBE" w:rsidR="2E982E3F" w:rsidRDefault="2E982E3F" w:rsidP="2E982E3F">
            <w:pPr>
              <w:spacing w:after="160" w:line="276" w:lineRule="auto"/>
              <w:rPr>
                <w:rFonts w:ascii="Aptos" w:eastAsia="Aptos" w:hAnsi="Aptos" w:cs="Aptos"/>
                <w:sz w:val="20"/>
                <w:szCs w:val="20"/>
              </w:rPr>
            </w:pPr>
            <w:r w:rsidRPr="2E982E3F">
              <w:rPr>
                <w:rFonts w:ascii="Aptos" w:eastAsia="Aptos" w:hAnsi="Aptos" w:cs="Aptos"/>
                <w:sz w:val="20"/>
                <w:szCs w:val="20"/>
              </w:rPr>
              <w:t>2023</w:t>
            </w:r>
          </w:p>
        </w:tc>
      </w:tr>
    </w:tbl>
    <w:p w14:paraId="4EC1AF07" w14:textId="4FDF5262" w:rsidR="171B1BF8" w:rsidRDefault="171B1BF8" w:rsidP="2E982E3F">
      <w:pPr>
        <w:jc w:val="both"/>
      </w:pPr>
    </w:p>
    <w:p w14:paraId="7C02FEC6" w14:textId="341CD22D" w:rsidR="171B1BF8" w:rsidRDefault="171B1BF8" w:rsidP="171B1BF8">
      <w:pPr>
        <w:jc w:val="both"/>
      </w:pPr>
    </w:p>
    <w:p w14:paraId="745C7DCF" w14:textId="0642E33D" w:rsidR="45510F36" w:rsidRDefault="45510F36" w:rsidP="171B1BF8">
      <w:pPr>
        <w:jc w:val="both"/>
      </w:pPr>
      <w:r>
        <w:t xml:space="preserve">A su vez, el crecimiento económico y agroindustrial fortalece su incidencia desde otros sectores como el cacao, la ganadería y el turismo, lo que implica tensiones y cambios en el uso del suelo, valorización del suelo estratégico y expansión urbana acelerada entre los corredores viales y rurales de los municipios de Carepa, Apartadó, Turbo y Necoclí (Cámara de Comercio de Medellín para Antioquia, 2024). </w:t>
      </w:r>
    </w:p>
    <w:p w14:paraId="509B677A" w14:textId="77777777" w:rsidR="000D0114" w:rsidRDefault="000D0114" w:rsidP="25517371">
      <w:pPr>
        <w:jc w:val="both"/>
        <w:rPr>
          <w:highlight w:val="yellow"/>
        </w:rPr>
      </w:pPr>
    </w:p>
    <w:p w14:paraId="192DF587" w14:textId="36856CE5" w:rsidR="000D0114" w:rsidRDefault="003F2146" w:rsidP="25517371">
      <w:pPr>
        <w:jc w:val="both"/>
      </w:pPr>
      <w:r>
        <w:t>Un ejemplo que permite evidenciar la articulación del capital público y privado alrededor de una de las iniciativas priorizadas por el MIT es</w:t>
      </w:r>
      <w:r w:rsidR="000D0114" w:rsidRPr="00321A96">
        <w:t xml:space="preserve"> el </w:t>
      </w:r>
      <w:r w:rsidR="000D0114" w:rsidRPr="003F2146">
        <w:rPr>
          <w:b/>
          <w:bCs/>
        </w:rPr>
        <w:t>proyecto de alcantarillado de Nueva Colonia</w:t>
      </w:r>
      <w:r>
        <w:rPr>
          <w:b/>
          <w:bCs/>
        </w:rPr>
        <w:t xml:space="preserve">. </w:t>
      </w:r>
      <w:r w:rsidRPr="003F2146">
        <w:t>Este</w:t>
      </w:r>
      <w:r w:rsidR="000D0114" w:rsidRPr="00321A96">
        <w:t xml:space="preserve"> es el proyecto de mayor presupuesto en la historia de Obras por impuestos en la línea de inversión de acueducto y alcantarillado, con una aprobación de 112 mil millones de pesos, de los cuales EPM aporta 15 mil millones de pesos. Esta obra es posible gracias a la articulación de Aguas Regionales EPM, Alcaldía del Distrito de Turbo, Bancolombia, Banafrut, Bioplanta para el Desarrollo, Clínica Panamericana, Fundación Grupo Social, Gobernación de Antioquia, Greenland, Micro Inversiones, Proantioquia, Puerto Antioquia, Seguros Sura, Smartfit, Unibán y EPM.</w:t>
      </w:r>
      <w:sdt>
        <w:sdtPr>
          <w:id w:val="311143130"/>
          <w:citation/>
        </w:sdtPr>
        <w:sdtContent>
          <w:r w:rsidR="0007006F" w:rsidRPr="00321A96">
            <w:fldChar w:fldCharType="begin"/>
          </w:r>
          <w:r w:rsidR="0007006F" w:rsidRPr="00321A96">
            <w:rPr>
              <w:lang w:val="es-ES"/>
            </w:rPr>
            <w:instrText xml:space="preserve"> CITATION Gru25 \l 3082 </w:instrText>
          </w:r>
          <w:r w:rsidR="0007006F" w:rsidRPr="00321A96">
            <w:fldChar w:fldCharType="separate"/>
          </w:r>
          <w:r w:rsidR="0007006F" w:rsidRPr="00321A96">
            <w:rPr>
              <w:noProof/>
              <w:lang w:val="es-ES"/>
            </w:rPr>
            <w:t xml:space="preserve"> (Grupo EPM, 2025)</w:t>
          </w:r>
          <w:r w:rsidR="0007006F" w:rsidRPr="00321A96">
            <w:fldChar w:fldCharType="end"/>
          </w:r>
        </w:sdtContent>
      </w:sdt>
    </w:p>
    <w:p w14:paraId="5F04F018" w14:textId="77777777" w:rsidR="003F2146" w:rsidRDefault="003F2146" w:rsidP="25517371">
      <w:pPr>
        <w:jc w:val="both"/>
      </w:pPr>
    </w:p>
    <w:p w14:paraId="0D076798" w14:textId="4951A92F" w:rsidR="007C7A43" w:rsidRDefault="003F2146" w:rsidP="007C7A43">
      <w:pPr>
        <w:jc w:val="both"/>
        <w:rPr>
          <w:highlight w:val="yellow"/>
        </w:rPr>
      </w:pPr>
      <w:r w:rsidRPr="00A6104C">
        <w:rPr>
          <w:highlight w:val="yellow"/>
        </w:rPr>
        <w:t xml:space="preserve">Se suma en este panorama </w:t>
      </w:r>
      <w:r w:rsidR="00B77CAB" w:rsidRPr="00A6104C">
        <w:rPr>
          <w:highlight w:val="yellow"/>
        </w:rPr>
        <w:t xml:space="preserve">iniciativas como </w:t>
      </w:r>
      <w:r w:rsidR="00912A56" w:rsidRPr="00A6104C">
        <w:rPr>
          <w:highlight w:val="yellow"/>
        </w:rPr>
        <w:t>ProUrabá liderada por Proantioquia</w:t>
      </w:r>
      <w:r w:rsidR="000A296D" w:rsidRPr="00A6104C">
        <w:rPr>
          <w:highlight w:val="yellow"/>
        </w:rPr>
        <w:t xml:space="preserve"> que </w:t>
      </w:r>
      <w:r w:rsidR="007C7A43" w:rsidRPr="00A6104C">
        <w:rPr>
          <w:highlight w:val="yellow"/>
        </w:rPr>
        <w:t>inicia</w:t>
      </w:r>
      <w:r w:rsidR="000A296D" w:rsidRPr="00A6104C">
        <w:rPr>
          <w:highlight w:val="yellow"/>
        </w:rPr>
        <w:t xml:space="preserve"> su operación en 2019…</w:t>
      </w:r>
      <w:r w:rsidR="00A212CA" w:rsidRPr="00A6104C">
        <w:rPr>
          <w:rFonts w:ascii="Lucida Sans Unicode" w:hAnsi="Lucida Sans Unicode" w:cs="Lucida Sans Unicode"/>
          <w:highlight w:val="yellow"/>
        </w:rPr>
        <w:t xml:space="preserve"> </w:t>
      </w:r>
      <w:r w:rsidR="00A212CA" w:rsidRPr="00A6104C">
        <w:rPr>
          <w:highlight w:val="yellow"/>
        </w:rPr>
        <w:t>la estrategia se estructura en seis proyectos clave, organizados en tres catalizadores productivos y tres habilitadores institucionales y soci</w:t>
      </w:r>
      <w:r w:rsidR="00A212CA" w:rsidRPr="00A6104C">
        <w:rPr>
          <w:highlight w:val="yellow"/>
        </w:rPr>
        <w:t>ales</w:t>
      </w:r>
      <w:r w:rsidR="007E1002" w:rsidRPr="00A6104C">
        <w:rPr>
          <w:highlight w:val="yellow"/>
        </w:rPr>
        <w:t xml:space="preserve">. </w:t>
      </w:r>
    </w:p>
    <w:p w14:paraId="69A11FAD" w14:textId="3518A1E4" w:rsidR="00A6104C" w:rsidRPr="00A6104C" w:rsidRDefault="00A6104C" w:rsidP="00A6104C">
      <w:pPr>
        <w:numPr>
          <w:ilvl w:val="0"/>
          <w:numId w:val="37"/>
        </w:numPr>
        <w:jc w:val="both"/>
        <w:rPr>
          <w:highlight w:val="yellow"/>
        </w:rPr>
      </w:pPr>
      <w:r w:rsidRPr="00A6104C">
        <w:rPr>
          <w:highlight w:val="yellow"/>
        </w:rPr>
        <w:t>Conectividad y logística de clase mundial. Impulsar un sistema portuario integrado, consolidar corredores logísticos con el interior del país y desarrollar infraestructura estratégica para el comercio internacional.</w:t>
      </w:r>
    </w:p>
    <w:p w14:paraId="65492D20" w14:textId="77777777" w:rsidR="00A6104C" w:rsidRPr="00A6104C" w:rsidRDefault="00A6104C" w:rsidP="00A6104C">
      <w:pPr>
        <w:numPr>
          <w:ilvl w:val="0"/>
          <w:numId w:val="37"/>
        </w:numPr>
        <w:jc w:val="both"/>
        <w:rPr>
          <w:highlight w:val="yellow"/>
        </w:rPr>
      </w:pPr>
      <w:r w:rsidRPr="00A6104C">
        <w:rPr>
          <w:highlight w:val="yellow"/>
        </w:rPr>
        <w:t>Clúster agroindustrial competitivo y diversificado. Fortalecer la agroindustria mediante innovación, desarrollo de nuevas cadenas productivas y proyectos como un distrito de riego multipropósito que aumente la productividad agrícola.</w:t>
      </w:r>
    </w:p>
    <w:p w14:paraId="43551970" w14:textId="77777777" w:rsidR="00A6104C" w:rsidRPr="00A6104C" w:rsidRDefault="00A6104C" w:rsidP="00A6104C">
      <w:pPr>
        <w:numPr>
          <w:ilvl w:val="0"/>
          <w:numId w:val="37"/>
        </w:numPr>
        <w:jc w:val="both"/>
        <w:rPr>
          <w:highlight w:val="yellow"/>
        </w:rPr>
      </w:pPr>
      <w:r w:rsidRPr="00A6104C">
        <w:rPr>
          <w:highlight w:val="yellow"/>
        </w:rPr>
        <w:t>Urabá como epicentro turístico sostenible del Caribe colombiano. Impulsar el turismo de naturaleza y playa en destinos como Necoclí, Arboletes, Mutatá y Capurganá, fortaleciendo la infraestructura turística y la promoción regional.</w:t>
      </w:r>
    </w:p>
    <w:p w14:paraId="32BDBE59" w14:textId="77777777" w:rsidR="00A6104C" w:rsidRPr="00A6104C" w:rsidRDefault="00A6104C" w:rsidP="00A6104C">
      <w:pPr>
        <w:jc w:val="both"/>
        <w:rPr>
          <w:highlight w:val="yellow"/>
        </w:rPr>
      </w:pPr>
      <w:r w:rsidRPr="00A6104C">
        <w:rPr>
          <w:highlight w:val="yellow"/>
        </w:rPr>
        <w:t>Habilitadores del desarrollo territorial</w:t>
      </w:r>
    </w:p>
    <w:p w14:paraId="343C1BF2" w14:textId="77777777" w:rsidR="00A6104C" w:rsidRPr="00A6104C" w:rsidRDefault="00A6104C" w:rsidP="00A6104C">
      <w:pPr>
        <w:numPr>
          <w:ilvl w:val="0"/>
          <w:numId w:val="38"/>
        </w:numPr>
        <w:jc w:val="both"/>
        <w:rPr>
          <w:highlight w:val="yellow"/>
        </w:rPr>
      </w:pPr>
      <w:r w:rsidRPr="00A6104C">
        <w:rPr>
          <w:highlight w:val="yellow"/>
        </w:rPr>
        <w:lastRenderedPageBreak/>
        <w:t>Talento humano para las nuevas vocaciones productivas.</w:t>
      </w:r>
      <w:r w:rsidRPr="00A6104C">
        <w:rPr>
          <w:highlight w:val="yellow"/>
        </w:rPr>
        <w:br/>
        <w:t>Programas masivos de formación técnica, bilingüismo y educación conectados con las necesidades del sector productivo.</w:t>
      </w:r>
    </w:p>
    <w:p w14:paraId="0108F4ED" w14:textId="77777777" w:rsidR="00A6104C" w:rsidRPr="00A6104C" w:rsidRDefault="00A6104C" w:rsidP="00A6104C">
      <w:pPr>
        <w:numPr>
          <w:ilvl w:val="0"/>
          <w:numId w:val="38"/>
        </w:numPr>
        <w:jc w:val="both"/>
        <w:rPr>
          <w:highlight w:val="yellow"/>
        </w:rPr>
      </w:pPr>
      <w:r w:rsidRPr="00A6104C">
        <w:rPr>
          <w:highlight w:val="yellow"/>
        </w:rPr>
        <w:t>Planeación urbana y cierre de brechas sociales. Desarrollo de un Plan Maestro de ordenamiento territorial para el eje urbano de Urabá y proyectos de infraestructura social que mejoren la calidad de vida de sus habitantes.</w:t>
      </w:r>
    </w:p>
    <w:p w14:paraId="4FA8CBB0" w14:textId="77777777" w:rsidR="00A6104C" w:rsidRPr="00A6104C" w:rsidRDefault="00A6104C" w:rsidP="00A6104C">
      <w:pPr>
        <w:numPr>
          <w:ilvl w:val="0"/>
          <w:numId w:val="38"/>
        </w:numPr>
        <w:jc w:val="both"/>
        <w:rPr>
          <w:highlight w:val="yellow"/>
        </w:rPr>
      </w:pPr>
      <w:r w:rsidRPr="00A6104C">
        <w:rPr>
          <w:highlight w:val="yellow"/>
        </w:rPr>
        <w:t>Gobernanza regional y articulación institucional. Consolidación de una alianza público-privada que articule a más de 25 actores del territorio y fortalezca la institucionalidad regional para impulsar proyectos estratégicos.</w:t>
      </w:r>
    </w:p>
    <w:p w14:paraId="583CD3F3" w14:textId="5CD45573" w:rsidR="45510F36" w:rsidRDefault="45510F36" w:rsidP="171B1BF8">
      <w:pPr>
        <w:jc w:val="both"/>
      </w:pPr>
    </w:p>
    <w:p w14:paraId="4D417ADF" w14:textId="2741EAD1" w:rsidR="4D5D46B6" w:rsidRDefault="431B65CA" w:rsidP="1CF00106">
      <w:pPr>
        <w:spacing w:line="259" w:lineRule="auto"/>
        <w:jc w:val="both"/>
      </w:pPr>
      <w:r w:rsidRPr="03672ADE">
        <w:rPr>
          <w:rFonts w:ascii="Aptos" w:eastAsia="Aptos" w:hAnsi="Aptos" w:cs="Aptos"/>
        </w:rPr>
        <w:t>Estas inversiones económicas de diversas empresas presentes en la región se configuran como una apuesta por la creación conjunta de valor, al poner en la agenda de diálogo asuntos que, aunque responden a intereses particulares, también convergen en preocupaciones compartidas. Esto resulta especialmente relevante en territorios que mantienen una relación permanente y directa con el desarrollo de megaproyectos de infraestructura.</w:t>
      </w:r>
    </w:p>
    <w:p w14:paraId="444272C0" w14:textId="5DA109DF" w:rsidR="3EDAB806" w:rsidRDefault="3EDAB806" w:rsidP="3EDAB806">
      <w:pPr>
        <w:jc w:val="both"/>
      </w:pPr>
    </w:p>
    <w:p w14:paraId="69EC4D75" w14:textId="2686068B" w:rsidR="45510F36" w:rsidRDefault="45510F36" w:rsidP="171B1BF8">
      <w:pPr>
        <w:jc w:val="both"/>
        <w:rPr>
          <w:b/>
          <w:bCs/>
        </w:rPr>
      </w:pPr>
      <w:r w:rsidRPr="171B1BF8">
        <w:rPr>
          <w:b/>
          <w:bCs/>
        </w:rPr>
        <w:t>Que ha pasado con las comunidades</w:t>
      </w:r>
    </w:p>
    <w:p w14:paraId="5456C5A0" w14:textId="6A27AF66" w:rsidR="45510F36" w:rsidRDefault="45510F36" w:rsidP="171B1BF8">
      <w:pPr>
        <w:jc w:val="both"/>
      </w:pPr>
      <w:r>
        <w:t>El crecimiento regional y la proyección de Urabá como región logística y portuaria han generado nuevas disputas territoriales, especialmente con comunidades étnicas y campesinas. Esto se debe a que varios de los proyectos de infraestructura previstos, puertos, vías, expansión urbana y redes de servicios públicos, inciden directamente sobre territorios colectivos, zonas en procesos de restitución de tierras y áreas con presencia histórica de comunidades indígenas y consejos comunitarios</w:t>
      </w:r>
      <w:r w:rsidR="178A2EBC">
        <w:t xml:space="preserve"> (</w:t>
      </w:r>
      <w:r w:rsidR="5F65E191">
        <w:t>Ilsa</w:t>
      </w:r>
      <w:r w:rsidR="178A2EBC">
        <w:t>, 2025)</w:t>
      </w:r>
      <w:r>
        <w:t xml:space="preserve">. </w:t>
      </w:r>
    </w:p>
    <w:p w14:paraId="715DCFF1" w14:textId="0B401D94" w:rsidR="171B1BF8" w:rsidRDefault="171B1BF8" w:rsidP="171B1BF8">
      <w:pPr>
        <w:jc w:val="both"/>
      </w:pPr>
    </w:p>
    <w:p w14:paraId="3D4B1C9C" w14:textId="5F443281" w:rsidR="45510F36" w:rsidRDefault="45510F36" w:rsidP="171B1BF8">
      <w:pPr>
        <w:jc w:val="both"/>
      </w:pPr>
      <w:r>
        <w:t>En este contexto, las comunidades adquieren mayor visibilidad y capacidad de incidencia en los escenarios de planeación del desarrollo</w:t>
      </w:r>
      <w:r w:rsidR="00AD3FCF">
        <w:t xml:space="preserve"> </w:t>
      </w:r>
      <w:r>
        <w:t xml:space="preserve">y de expansión urbana. Ya no se trata únicamente de población usuaria de servicios públicos, sino de actores con capacidad de interlocución, exigibilidad de derechos y participación en consultas, licenciamientos ambientales y procesos de ordenamiento territorial. </w:t>
      </w:r>
    </w:p>
    <w:p w14:paraId="6FED9D7C" w14:textId="0E0FB8BF" w:rsidR="171B1BF8" w:rsidRDefault="171B1BF8" w:rsidP="171B1BF8">
      <w:pPr>
        <w:jc w:val="both"/>
      </w:pPr>
    </w:p>
    <w:p w14:paraId="7EF3224C" w14:textId="1A477C08" w:rsidR="45510F36" w:rsidRDefault="45510F36" w:rsidP="171B1BF8">
      <w:pPr>
        <w:jc w:val="both"/>
      </w:pPr>
      <w:r>
        <w:t>De manera paralela, el fortalecimiento organizativo comunitario ha venido acompañado de la presencia y acompañamiento de organizaciones no gubernamentales y agencias de cooperación como el PNUD,</w:t>
      </w:r>
      <w:r w:rsidRPr="522BD4FC">
        <w:rPr>
          <w:b/>
        </w:rPr>
        <w:t xml:space="preserve"> </w:t>
      </w:r>
      <w:r>
        <w:t>CEPAC Urabá,</w:t>
      </w:r>
      <w:r w:rsidR="4FA0FD4C">
        <w:t xml:space="preserve"> Fundación Forjando Futuro,</w:t>
      </w:r>
      <w:r>
        <w:t xml:space="preserve"> Fundación Mi Sangre</w:t>
      </w:r>
      <w:r w:rsidR="0CC736CE">
        <w:t>, World Wide Fund for Nature (WWF</w:t>
      </w:r>
      <w:r w:rsidR="393DBD2B">
        <w:t xml:space="preserve">) </w:t>
      </w:r>
      <w:r>
        <w:t>y Fundación Natura, entre otras. Estas entidades han promovido procesos de formación, liderazgo, gobernanza territorial y participación, orientados a que las comunidades incidan en las agendas políticas, económicas, sociales y ambientales de la región</w:t>
      </w:r>
      <w:r w:rsidR="1F11CBC4">
        <w:t xml:space="preserve"> y el bajo Atrato, Chocó</w:t>
      </w:r>
      <w:r>
        <w:t xml:space="preserve">. </w:t>
      </w:r>
    </w:p>
    <w:p w14:paraId="2F28A2F0" w14:textId="63063A65" w:rsidR="171B1BF8" w:rsidRDefault="171B1BF8" w:rsidP="171B1BF8">
      <w:pPr>
        <w:jc w:val="both"/>
      </w:pPr>
    </w:p>
    <w:p w14:paraId="0946F101" w14:textId="3D7FF9AB" w:rsidR="45510F36" w:rsidRDefault="45510F36" w:rsidP="2E982E3F">
      <w:pPr>
        <w:jc w:val="both"/>
      </w:pPr>
      <w:r>
        <w:t xml:space="preserve">Así, las comunidades transitan de una posición predominantemente pasiva como receptoras de servicios a un rol activo dentro de los escenarios políticos y técnicos que evalúan y condicionan el modelo territorial emergente. En este escenario, se vuelve </w:t>
      </w:r>
      <w:r>
        <w:lastRenderedPageBreak/>
        <w:t>estratégico el trabajo articulado que gestiona el MIT, en la medida en que propone modelos integradores de relación entre empresa, sociedad y sector público. Su intervención se posiciona bajo lógicas de gobernanza colaborativa, convergencia de intereses y construcción de acuerdos en to</w:t>
      </w:r>
      <w:r w:rsidR="001821F7">
        <w:t>+</w:t>
      </w:r>
      <w:r>
        <w:t xml:space="preserve">rno a las proyecciones de desarrollo regional. </w:t>
      </w:r>
    </w:p>
    <w:p w14:paraId="2EDB38D1" w14:textId="4E05EE98" w:rsidR="2E982E3F" w:rsidRDefault="2E982E3F" w:rsidP="2E982E3F">
      <w:pPr>
        <w:jc w:val="both"/>
      </w:pPr>
    </w:p>
    <w:p w14:paraId="36EFA5D9" w14:textId="37B30D0D" w:rsidR="6522FC42" w:rsidRDefault="321CFD52" w:rsidP="30AC1458">
      <w:pPr>
        <w:jc w:val="both"/>
        <w:rPr>
          <w:rFonts w:ascii="Aptos" w:eastAsia="Aptos" w:hAnsi="Aptos" w:cs="Aptos"/>
        </w:rPr>
      </w:pPr>
      <w:r w:rsidRPr="2E982E3F">
        <w:rPr>
          <w:rFonts w:ascii="Aptos" w:eastAsia="Aptos" w:hAnsi="Aptos" w:cs="Aptos"/>
        </w:rPr>
        <w:t>A su vez, se garantizó la prestación para aproximadamente 2.800 familias, con la ampliación y cobertura necesarios dentro de esta expansión comercial y urbana</w:t>
      </w:r>
      <w:r w:rsidR="57288B40" w:rsidRPr="2E982E3F">
        <w:rPr>
          <w:rFonts w:ascii="Aptos" w:eastAsia="Aptos" w:hAnsi="Aptos" w:cs="Aptos"/>
        </w:rPr>
        <w:t xml:space="preserve"> (EPM, s.f.)</w:t>
      </w:r>
      <w:r w:rsidR="0038E13B" w:rsidRPr="2E982E3F">
        <w:rPr>
          <w:rFonts w:ascii="Aptos" w:eastAsia="Aptos" w:hAnsi="Aptos" w:cs="Aptos"/>
        </w:rPr>
        <w:t xml:space="preserve"> </w:t>
      </w:r>
    </w:p>
    <w:p w14:paraId="4FB3D573" w14:textId="7EF5AE28" w:rsidR="69CBDEC4" w:rsidRDefault="69CBDEC4" w:rsidP="14955C0C">
      <w:pPr>
        <w:jc w:val="both"/>
        <w:rPr>
          <w:rFonts w:ascii="Aptos" w:eastAsia="Aptos" w:hAnsi="Aptos" w:cs="Aptos"/>
        </w:rPr>
      </w:pPr>
      <w:r w:rsidRPr="14955C0C">
        <w:rPr>
          <w:rFonts w:ascii="Aptos" w:eastAsia="Aptos" w:hAnsi="Aptos" w:cs="Aptos"/>
        </w:rPr>
        <w:t>La compañía lidera también la Mesa de Plataformas de Innovación Social,</w:t>
      </w:r>
      <w:r w:rsidR="46E4B921" w:rsidRPr="14955C0C">
        <w:rPr>
          <w:rFonts w:ascii="Aptos" w:eastAsia="Aptos" w:hAnsi="Aptos" w:cs="Aptos"/>
        </w:rPr>
        <w:t xml:space="preserve"> creada para impulsar iniciativas con enfoque social, destacándose “ciudadanía”, </w:t>
      </w:r>
      <w:r w:rsidR="19BE85D9" w:rsidRPr="14955C0C">
        <w:rPr>
          <w:rFonts w:ascii="Aptos" w:eastAsia="Aptos" w:hAnsi="Aptos" w:cs="Aptos"/>
        </w:rPr>
        <w:t>una estrategia enfocada en promover la etica y la corresponsabilidad social, necesarios en tiempos de</w:t>
      </w:r>
      <w:r w:rsidR="628A3C21" w:rsidRPr="14955C0C">
        <w:rPr>
          <w:rFonts w:ascii="Aptos" w:eastAsia="Aptos" w:hAnsi="Aptos" w:cs="Aptos"/>
        </w:rPr>
        <w:t xml:space="preserve"> crisis economica, sociales y de salud pública en la región.</w:t>
      </w:r>
    </w:p>
    <w:p w14:paraId="773A2DC2" w14:textId="07E2D571" w:rsidR="30AC1458" w:rsidRDefault="30AC1458" w:rsidP="30AC1458">
      <w:pPr>
        <w:jc w:val="both"/>
        <w:rPr>
          <w:rFonts w:ascii="Aptos" w:eastAsia="Aptos" w:hAnsi="Aptos" w:cs="Aptos"/>
        </w:rPr>
      </w:pPr>
    </w:p>
    <w:p w14:paraId="42986709" w14:textId="3CD917C2" w:rsidR="7ABCFB5D" w:rsidRDefault="7ABCFB5D" w:rsidP="30AC1458">
      <w:pPr>
        <w:jc w:val="both"/>
        <w:rPr>
          <w:rFonts w:ascii="Aptos" w:eastAsia="Aptos" w:hAnsi="Aptos" w:cs="Aptos"/>
        </w:rPr>
      </w:pPr>
      <w:r w:rsidRPr="30AC1458">
        <w:rPr>
          <w:rFonts w:ascii="Aptos" w:eastAsia="Aptos" w:hAnsi="Aptos" w:cs="Aptos"/>
        </w:rPr>
        <w:t xml:space="preserve">Por otro lado, EPM se convierte en un miembro en la red de aliados en </w:t>
      </w:r>
      <w:r w:rsidR="7FCD4584" w:rsidRPr="30AC1458">
        <w:rPr>
          <w:rFonts w:ascii="Aptos" w:eastAsia="Aptos" w:hAnsi="Aptos" w:cs="Aptos"/>
        </w:rPr>
        <w:t>el Programa</w:t>
      </w:r>
      <w:r w:rsidRPr="30AC1458">
        <w:rPr>
          <w:rFonts w:ascii="Aptos" w:eastAsia="Aptos" w:hAnsi="Aptos" w:cs="Aptos"/>
        </w:rPr>
        <w:t xml:space="preserve"> de Desarrollo con Enfoque Territorial (PDET) de Urabá, </w:t>
      </w:r>
      <w:r w:rsidR="326C8FA6" w:rsidRPr="30AC1458">
        <w:rPr>
          <w:rFonts w:ascii="Aptos" w:eastAsia="Aptos" w:hAnsi="Aptos" w:cs="Aptos"/>
        </w:rPr>
        <w:t xml:space="preserve">evidenciando su inserción en escenarios de construcción de paz, reconocimiento de derechos comunitarios y desarrollo rural. </w:t>
      </w:r>
      <w:r w:rsidR="5E7F25C1" w:rsidRPr="30AC1458">
        <w:rPr>
          <w:rFonts w:ascii="Aptos" w:eastAsia="Aptos" w:hAnsi="Aptos" w:cs="Aptos"/>
        </w:rPr>
        <w:t xml:space="preserve"> Su aporte se orienta en la formulación de proyectos y acompañamiento técnico, transformando las </w:t>
      </w:r>
      <w:r w:rsidR="419BC48A" w:rsidRPr="30AC1458">
        <w:rPr>
          <w:rFonts w:ascii="Aptos" w:eastAsia="Aptos" w:hAnsi="Aptos" w:cs="Aptos"/>
        </w:rPr>
        <w:t>condiciones de vida en territorios vulnerables.</w:t>
      </w:r>
    </w:p>
    <w:p w14:paraId="49566F8A" w14:textId="1A97858E" w:rsidR="2E982E3F" w:rsidRDefault="2E982E3F" w:rsidP="2E982E3F">
      <w:pPr>
        <w:jc w:val="both"/>
      </w:pPr>
    </w:p>
    <w:p w14:paraId="6DE3458F" w14:textId="2648B67A" w:rsidR="00C439EC" w:rsidRDefault="00C439EC" w:rsidP="2E982E3F">
      <w:pPr>
        <w:jc w:val="both"/>
      </w:pPr>
      <w:r w:rsidRPr="00C439EC">
        <w:rPr>
          <w:highlight w:val="yellow"/>
        </w:rPr>
        <w:t>Agregar como elemento que se ha transformado los indicadores de confianza en las instituciones.</w:t>
      </w:r>
      <w:r>
        <w:t xml:space="preserve"> </w:t>
      </w:r>
    </w:p>
    <w:p w14:paraId="1A0EF512" w14:textId="13DCF071" w:rsidR="2E982E3F" w:rsidRDefault="2E982E3F" w:rsidP="2E982E3F">
      <w:pPr>
        <w:jc w:val="both"/>
      </w:pPr>
    </w:p>
    <w:p w14:paraId="23995E1C" w14:textId="482BDD51" w:rsidR="28FCDEDF" w:rsidRDefault="28FCDEDF" w:rsidP="171B1BF8">
      <w:pPr>
        <w:jc w:val="both"/>
        <w:rPr>
          <w:rFonts w:ascii="Aptos" w:eastAsia="Aptos" w:hAnsi="Aptos" w:cs="Aptos"/>
          <w:b/>
          <w:bCs/>
        </w:rPr>
      </w:pPr>
      <w:r w:rsidRPr="171B1BF8">
        <w:rPr>
          <w:rFonts w:ascii="Aptos" w:eastAsia="Aptos" w:hAnsi="Aptos" w:cs="Aptos"/>
          <w:b/>
          <w:bCs/>
        </w:rPr>
        <w:t>Rol de las autoridades ambientales</w:t>
      </w:r>
    </w:p>
    <w:p w14:paraId="43020CE1" w14:textId="3FD82AA9" w:rsidR="28FCDEDF" w:rsidRDefault="28FCDEDF" w:rsidP="171B1BF8">
      <w:pPr>
        <w:jc w:val="both"/>
      </w:pPr>
      <w:r w:rsidRPr="171B1BF8">
        <w:rPr>
          <w:rFonts w:ascii="Aptos" w:eastAsia="Aptos" w:hAnsi="Aptos" w:cs="Aptos"/>
        </w:rPr>
        <w:t xml:space="preserve"> </w:t>
      </w:r>
    </w:p>
    <w:p w14:paraId="2B329B97" w14:textId="5DB9F234" w:rsidR="28FCDEDF" w:rsidRDefault="28FCDEDF" w:rsidP="54AA427B">
      <w:pPr>
        <w:jc w:val="both"/>
        <w:rPr>
          <w:rFonts w:ascii="Aptos" w:eastAsia="Aptos" w:hAnsi="Aptos" w:cs="Aptos"/>
        </w:rPr>
      </w:pPr>
      <w:r w:rsidRPr="54AA427B">
        <w:rPr>
          <w:rFonts w:ascii="Aptos" w:eastAsia="Aptos" w:hAnsi="Aptos" w:cs="Aptos"/>
        </w:rPr>
        <w:t>Bajo este panorama, las áreas ambientales</w:t>
      </w:r>
      <w:r w:rsidR="2FEAAB69" w:rsidRPr="54AA427B">
        <w:rPr>
          <w:rFonts w:ascii="Aptos" w:eastAsia="Aptos" w:hAnsi="Aptos" w:cs="Aptos"/>
        </w:rPr>
        <w:t xml:space="preserve">, </w:t>
      </w:r>
      <w:r w:rsidRPr="54AA427B">
        <w:rPr>
          <w:rFonts w:ascii="Aptos" w:eastAsia="Aptos" w:hAnsi="Aptos" w:cs="Aptos"/>
        </w:rPr>
        <w:t>incluidos los Distritos Regionales de Manejo Integrado (DRMI) y demás áreas protegidas de la regió</w:t>
      </w:r>
      <w:r w:rsidR="06EB581C" w:rsidRPr="54AA427B">
        <w:rPr>
          <w:rFonts w:ascii="Aptos" w:eastAsia="Aptos" w:hAnsi="Aptos" w:cs="Aptos"/>
        </w:rPr>
        <w:t xml:space="preserve">n, </w:t>
      </w:r>
      <w:r w:rsidRPr="54AA427B">
        <w:rPr>
          <w:rFonts w:ascii="Aptos" w:eastAsia="Aptos" w:hAnsi="Aptos" w:cs="Aptos"/>
        </w:rPr>
        <w:t>adquieren mayor relevancia dentro del modelo de desarrollo emergente de Urabá</w:t>
      </w:r>
      <w:r w:rsidR="0084640A">
        <w:rPr>
          <w:rFonts w:ascii="Aptos" w:eastAsia="Aptos" w:hAnsi="Aptos" w:cs="Aptos"/>
        </w:rPr>
        <w:t xml:space="preserve"> en los últimos 10 años</w:t>
      </w:r>
      <w:r w:rsidRPr="54AA427B">
        <w:rPr>
          <w:rFonts w:ascii="Aptos" w:eastAsia="Aptos" w:hAnsi="Aptos" w:cs="Aptos"/>
        </w:rPr>
        <w:t>. Estas zonas enfrentan dinámicas de presión similares a las que experimentan las comunidades étnicas y campesinas, debido al crecimiento poblacional, la expansión urbana y la consolidación de infraestructura estratégica asociada al modelo portuario y logístico</w:t>
      </w:r>
      <w:r w:rsidR="2472EB2C" w:rsidRPr="54AA427B">
        <w:rPr>
          <w:rFonts w:ascii="Aptos" w:eastAsia="Aptos" w:hAnsi="Aptos" w:cs="Aptos"/>
        </w:rPr>
        <w:t xml:space="preserve"> (</w:t>
      </w:r>
      <w:r w:rsidR="5C00A5C7" w:rsidRPr="4E942376">
        <w:rPr>
          <w:rFonts w:ascii="Aptos" w:eastAsia="Aptos" w:hAnsi="Aptos" w:cs="Aptos"/>
        </w:rPr>
        <w:t>Corpourabá, Cordupaz, &amp; Grupo E3, 2017</w:t>
      </w:r>
      <w:r w:rsidR="2472EB2C" w:rsidRPr="54AA427B">
        <w:rPr>
          <w:rFonts w:ascii="Aptos" w:eastAsia="Aptos" w:hAnsi="Aptos" w:cs="Aptos"/>
        </w:rPr>
        <w:t>)</w:t>
      </w:r>
      <w:r w:rsidRPr="54AA427B">
        <w:rPr>
          <w:rFonts w:ascii="Aptos" w:eastAsia="Aptos" w:hAnsi="Aptos" w:cs="Aptos"/>
        </w:rPr>
        <w:t>.</w:t>
      </w:r>
    </w:p>
    <w:p w14:paraId="4D4EF0F3" w14:textId="74EBF31C" w:rsidR="28FCDEDF" w:rsidRDefault="28FCDEDF" w:rsidP="171B1BF8">
      <w:pPr>
        <w:jc w:val="both"/>
      </w:pPr>
      <w:r w:rsidRPr="171B1BF8">
        <w:rPr>
          <w:rFonts w:ascii="Aptos" w:eastAsia="Aptos" w:hAnsi="Aptos" w:cs="Aptos"/>
        </w:rPr>
        <w:t xml:space="preserve"> </w:t>
      </w:r>
    </w:p>
    <w:p w14:paraId="53FFA2FB" w14:textId="336E21E7" w:rsidR="28FCDEDF" w:rsidRDefault="28FCDEDF" w:rsidP="171B1BF8">
      <w:pPr>
        <w:jc w:val="both"/>
        <w:rPr>
          <w:rFonts w:ascii="Aptos" w:eastAsia="Aptos" w:hAnsi="Aptos" w:cs="Aptos"/>
        </w:rPr>
      </w:pPr>
      <w:r w:rsidRPr="54AA427B">
        <w:rPr>
          <w:rFonts w:ascii="Aptos" w:eastAsia="Aptos" w:hAnsi="Aptos" w:cs="Aptos"/>
        </w:rPr>
        <w:t>El aumento de la demanda hídrica, la transformación del uso del suelo y la intervención sobre ecosistemas estratégicos obligan a las autoridades ambientales a fortalecer sus capacidades de seguimiento, control y planificación. Se intensifican particularmente las acciones dirigidas a la protección de fuentes hídricas, ecosistemas de manglar, zonas costeras y especies en riesgo, elementos fundamentales para la sostenibilidad ecológica y la estabilidad socioambiental de la región</w:t>
      </w:r>
      <w:r w:rsidR="2295F392" w:rsidRPr="54AA427B">
        <w:rPr>
          <w:rFonts w:ascii="Aptos" w:eastAsia="Aptos" w:hAnsi="Aptos" w:cs="Aptos"/>
        </w:rPr>
        <w:t xml:space="preserve"> (</w:t>
      </w:r>
      <w:r w:rsidR="2CF4E75E" w:rsidRPr="4E942376">
        <w:rPr>
          <w:rFonts w:ascii="Aptos" w:eastAsia="Aptos" w:hAnsi="Aptos" w:cs="Aptos"/>
        </w:rPr>
        <w:t>Corpourabá, Cordupaz, &amp; Grupo E3, 2017</w:t>
      </w:r>
      <w:r w:rsidR="2295F392" w:rsidRPr="54AA427B">
        <w:rPr>
          <w:rFonts w:ascii="Aptos" w:eastAsia="Aptos" w:hAnsi="Aptos" w:cs="Aptos"/>
        </w:rPr>
        <w:t>)</w:t>
      </w:r>
      <w:r w:rsidRPr="54AA427B">
        <w:rPr>
          <w:rFonts w:ascii="Aptos" w:eastAsia="Aptos" w:hAnsi="Aptos" w:cs="Aptos"/>
        </w:rPr>
        <w:t>.</w:t>
      </w:r>
    </w:p>
    <w:p w14:paraId="340FDC89" w14:textId="7F9CB7C5" w:rsidR="28FCDEDF" w:rsidRDefault="28FCDEDF" w:rsidP="171B1BF8">
      <w:pPr>
        <w:jc w:val="both"/>
      </w:pPr>
      <w:r w:rsidRPr="171B1BF8">
        <w:rPr>
          <w:rFonts w:ascii="Aptos" w:eastAsia="Aptos" w:hAnsi="Aptos" w:cs="Aptos"/>
        </w:rPr>
        <w:t xml:space="preserve"> </w:t>
      </w:r>
    </w:p>
    <w:p w14:paraId="3F812894" w14:textId="7E3DAA1C" w:rsidR="28FCDEDF" w:rsidRDefault="28FCDEDF" w:rsidP="171B1BF8">
      <w:pPr>
        <w:jc w:val="both"/>
      </w:pPr>
      <w:r w:rsidRPr="171B1BF8">
        <w:rPr>
          <w:rFonts w:ascii="Aptos" w:eastAsia="Aptos" w:hAnsi="Aptos" w:cs="Aptos"/>
        </w:rPr>
        <w:t xml:space="preserve">En este escenario, entidades como Corpourabá asumen un rol central en la gestión ambiental territorial, liderando la implementación de instrumentos de obligatorio cumplimiento y promoviendo agendas de articulación regional. Entre estos instrumentos se destacan el </w:t>
      </w:r>
      <w:r w:rsidRPr="00F8320F">
        <w:rPr>
          <w:rFonts w:ascii="Aptos" w:eastAsia="Aptos" w:hAnsi="Aptos" w:cs="Aptos"/>
          <w:highlight w:val="yellow"/>
        </w:rPr>
        <w:t>Plan de Gestión Ambiental Regional (PGAR) 2012–2024 y su proyección 2026–2037</w:t>
      </w:r>
      <w:r w:rsidRPr="171B1BF8">
        <w:rPr>
          <w:rFonts w:ascii="Aptos" w:eastAsia="Aptos" w:hAnsi="Aptos" w:cs="Aptos"/>
        </w:rPr>
        <w:t xml:space="preserve">, así como apuestas estratégicas como el </w:t>
      </w:r>
      <w:r w:rsidRPr="00F8320F">
        <w:rPr>
          <w:rFonts w:ascii="Aptos" w:eastAsia="Aptos" w:hAnsi="Aptos" w:cs="Aptos"/>
          <w:highlight w:val="yellow"/>
        </w:rPr>
        <w:t>Plan Clima y Paz 2040</w:t>
      </w:r>
      <w:r w:rsidRPr="171B1BF8">
        <w:rPr>
          <w:rFonts w:ascii="Aptos" w:eastAsia="Aptos" w:hAnsi="Aptos" w:cs="Aptos"/>
        </w:rPr>
        <w:t xml:space="preserve">. Estos marcos se </w:t>
      </w:r>
      <w:r w:rsidRPr="171B1BF8">
        <w:rPr>
          <w:rFonts w:ascii="Aptos" w:eastAsia="Aptos" w:hAnsi="Aptos" w:cs="Aptos"/>
        </w:rPr>
        <w:lastRenderedPageBreak/>
        <w:t>articulan con los planes de ordenamiento territorial y con los instrumentos de planificación departamental y nacional, configurando un entramado normativo que condiciona y orienta la inversión pública y privada.</w:t>
      </w:r>
    </w:p>
    <w:p w14:paraId="57377813" w14:textId="3B8C125A" w:rsidR="28FCDEDF" w:rsidRDefault="28FCDEDF" w:rsidP="171B1BF8">
      <w:pPr>
        <w:jc w:val="both"/>
      </w:pPr>
      <w:r w:rsidRPr="171B1BF8">
        <w:rPr>
          <w:rFonts w:ascii="Aptos" w:eastAsia="Aptos" w:hAnsi="Aptos" w:cs="Aptos"/>
        </w:rPr>
        <w:t xml:space="preserve"> </w:t>
      </w:r>
    </w:p>
    <w:p w14:paraId="2F68AB6F" w14:textId="104503DA" w:rsidR="28FCDEDF" w:rsidRDefault="28FCDEDF" w:rsidP="171B1BF8">
      <w:pPr>
        <w:jc w:val="both"/>
        <w:rPr>
          <w:rFonts w:ascii="Aptos" w:eastAsia="Aptos" w:hAnsi="Aptos" w:cs="Aptos"/>
        </w:rPr>
      </w:pPr>
      <w:r w:rsidRPr="171B1BF8">
        <w:rPr>
          <w:rFonts w:ascii="Aptos" w:eastAsia="Aptos" w:hAnsi="Aptos" w:cs="Aptos"/>
        </w:rPr>
        <w:t>Adicionalmente, el territorio cuenta con la presencia de entidades de carácter investigativo y de política ambiental como el Instituto de Investigación de Recursos Biológicos Alexander von Humboldt, INVEMAR, el Ministerio de Ambiente y Desarrollo Sostenible</w:t>
      </w:r>
      <w:r w:rsidR="7286EDC7" w:rsidRPr="171B1BF8">
        <w:rPr>
          <w:rFonts w:ascii="Aptos" w:eastAsia="Aptos" w:hAnsi="Aptos" w:cs="Aptos"/>
        </w:rPr>
        <w:t xml:space="preserve">, </w:t>
      </w:r>
      <w:r w:rsidR="7286EDC7">
        <w:t>La Autoridad Nacional de Licencias Ambientales (ANLA)</w:t>
      </w:r>
      <w:r w:rsidRPr="171B1BF8">
        <w:rPr>
          <w:rFonts w:ascii="Aptos" w:eastAsia="Aptos" w:hAnsi="Aptos" w:cs="Aptos"/>
        </w:rPr>
        <w:t xml:space="preserve"> y el Sistema de Parques Nacionales Naturales, que aportan conocimiento técnico, lineamientos regulatorios y seguimiento a ecosistemas estratégicos.</w:t>
      </w:r>
    </w:p>
    <w:p w14:paraId="412A5C43" w14:textId="3EE4D1ED" w:rsidR="28FCDEDF" w:rsidRDefault="28FCDEDF" w:rsidP="171B1BF8">
      <w:pPr>
        <w:jc w:val="both"/>
      </w:pPr>
      <w:r w:rsidRPr="171B1BF8">
        <w:rPr>
          <w:rFonts w:ascii="Aptos" w:eastAsia="Aptos" w:hAnsi="Aptos" w:cs="Aptos"/>
        </w:rPr>
        <w:t xml:space="preserve"> </w:t>
      </w:r>
    </w:p>
    <w:p w14:paraId="21B4A405" w14:textId="209CC7A1" w:rsidR="36A88027" w:rsidRDefault="36A88027" w:rsidP="34CA803B">
      <w:pPr>
        <w:jc w:val="both"/>
        <w:rPr>
          <w:rFonts w:ascii="Aptos" w:eastAsia="Aptos" w:hAnsi="Aptos" w:cs="Aptos"/>
        </w:rPr>
      </w:pPr>
      <w:r w:rsidRPr="34CA803B">
        <w:rPr>
          <w:rFonts w:ascii="Aptos" w:eastAsia="Aptos" w:hAnsi="Aptos" w:cs="Aptos"/>
        </w:rPr>
        <w:t xml:space="preserve">En concordancia con el crecimiento y mutación </w:t>
      </w:r>
      <w:r w:rsidR="06C6F9BA" w:rsidRPr="34CA803B">
        <w:rPr>
          <w:rFonts w:ascii="Aptos" w:eastAsia="Aptos" w:hAnsi="Aptos" w:cs="Aptos"/>
        </w:rPr>
        <w:t>económica,</w:t>
      </w:r>
      <w:r w:rsidRPr="34CA803B">
        <w:rPr>
          <w:rFonts w:ascii="Aptos" w:eastAsia="Aptos" w:hAnsi="Aptos" w:cs="Aptos"/>
        </w:rPr>
        <w:t xml:space="preserve"> así como la expansión urbana, EPM h</w:t>
      </w:r>
      <w:r w:rsidR="50F7DDF9" w:rsidRPr="34CA803B">
        <w:rPr>
          <w:rFonts w:ascii="Aptos" w:eastAsia="Aptos" w:hAnsi="Aptos" w:cs="Aptos"/>
        </w:rPr>
        <w:t xml:space="preserve">a liderado proyectos </w:t>
      </w:r>
      <w:r w:rsidR="69E421E7" w:rsidRPr="34CA803B">
        <w:rPr>
          <w:rFonts w:ascii="Aptos" w:eastAsia="Aptos" w:hAnsi="Aptos" w:cs="Aptos"/>
        </w:rPr>
        <w:t xml:space="preserve">que le </w:t>
      </w:r>
      <w:r w:rsidR="005AF117" w:rsidRPr="34CA803B">
        <w:rPr>
          <w:rFonts w:ascii="Aptos" w:eastAsia="Aptos" w:hAnsi="Aptos" w:cs="Aptos"/>
        </w:rPr>
        <w:t xml:space="preserve">apuntan a la conservación, cuidado y protección de fuentes hídricas, bosques y </w:t>
      </w:r>
      <w:r w:rsidR="376ACC92" w:rsidRPr="34CA803B">
        <w:rPr>
          <w:rFonts w:ascii="Aptos" w:eastAsia="Aptos" w:hAnsi="Aptos" w:cs="Aptos"/>
        </w:rPr>
        <w:t>especies en riesgo</w:t>
      </w:r>
      <w:r w:rsidR="44ED5A49" w:rsidRPr="34CA803B">
        <w:rPr>
          <w:rFonts w:ascii="Aptos" w:eastAsia="Aptos" w:hAnsi="Aptos" w:cs="Aptos"/>
        </w:rPr>
        <w:t>, con fuerte interacción con comunidades campesinas y étnicas</w:t>
      </w:r>
      <w:r w:rsidR="063C84DD" w:rsidRPr="34CA803B">
        <w:rPr>
          <w:rFonts w:ascii="Aptos" w:eastAsia="Aptos" w:hAnsi="Aptos" w:cs="Aptos"/>
        </w:rPr>
        <w:t>. Estos proyectos se realizan de manera mancomunada con las autoridades ambientales, especialmente de orden regional como Corpourabá.</w:t>
      </w:r>
    </w:p>
    <w:p w14:paraId="6B1FAA71" w14:textId="261B913A" w:rsidR="34CA803B" w:rsidRDefault="34CA803B" w:rsidP="34CA803B">
      <w:pPr>
        <w:jc w:val="both"/>
        <w:rPr>
          <w:rFonts w:ascii="Aptos" w:eastAsia="Aptos" w:hAnsi="Aptos" w:cs="Aptos"/>
        </w:rPr>
      </w:pPr>
    </w:p>
    <w:p w14:paraId="7D8806EB" w14:textId="59F6EDB8" w:rsidR="600996C6" w:rsidRDefault="1AAFD66F" w:rsidP="34CA803B">
      <w:pPr>
        <w:jc w:val="both"/>
        <w:rPr>
          <w:rFonts w:ascii="Aptos" w:eastAsia="Aptos" w:hAnsi="Aptos" w:cs="Aptos"/>
        </w:rPr>
      </w:pPr>
      <w:r w:rsidRPr="6ADF915F">
        <w:rPr>
          <w:rFonts w:ascii="Aptos" w:eastAsia="Aptos" w:hAnsi="Aptos" w:cs="Aptos"/>
        </w:rPr>
        <w:t xml:space="preserve">Por ejemplo, a través del programa </w:t>
      </w:r>
      <w:r w:rsidRPr="00EF2579">
        <w:rPr>
          <w:rFonts w:ascii="Aptos" w:eastAsia="Aptos" w:hAnsi="Aptos" w:cs="Aptos"/>
          <w:highlight w:val="yellow"/>
        </w:rPr>
        <w:t>Banc02</w:t>
      </w:r>
      <w:r w:rsidRPr="6ADF915F">
        <w:rPr>
          <w:rFonts w:ascii="Aptos" w:eastAsia="Aptos" w:hAnsi="Aptos" w:cs="Aptos"/>
        </w:rPr>
        <w:t xml:space="preserve"> en alianza con Corpourabá, se acompaña un total de 86 familias en la restauración y conservación </w:t>
      </w:r>
      <w:r w:rsidR="03E67674" w:rsidRPr="6ADF915F">
        <w:rPr>
          <w:rFonts w:ascii="Aptos" w:eastAsia="Aptos" w:hAnsi="Aptos" w:cs="Aptos"/>
        </w:rPr>
        <w:t>de 1.270</w:t>
      </w:r>
      <w:r w:rsidRPr="6ADF915F">
        <w:rPr>
          <w:rFonts w:ascii="Aptos" w:eastAsia="Aptos" w:hAnsi="Aptos" w:cs="Aptos"/>
        </w:rPr>
        <w:t xml:space="preserve"> hectáreas de cuencas hídricas</w:t>
      </w:r>
      <w:r w:rsidR="529BEC5F" w:rsidRPr="6ADF915F">
        <w:rPr>
          <w:rFonts w:ascii="Aptos" w:eastAsia="Aptos" w:hAnsi="Aptos" w:cs="Aptos"/>
        </w:rPr>
        <w:t>, inversión superior a los 900 millones</w:t>
      </w:r>
      <w:r w:rsidR="00F357B3">
        <w:rPr>
          <w:rFonts w:ascii="Aptos" w:eastAsia="Aptos" w:hAnsi="Aptos" w:cs="Aptos"/>
        </w:rPr>
        <w:t xml:space="preserve"> de pesos</w:t>
      </w:r>
      <w:r w:rsidR="48F09E40" w:rsidRPr="6ADF915F">
        <w:rPr>
          <w:rFonts w:ascii="Aptos" w:eastAsia="Aptos" w:hAnsi="Aptos" w:cs="Aptos"/>
        </w:rPr>
        <w:t xml:space="preserve">. Esta apuesta </w:t>
      </w:r>
      <w:r w:rsidR="3316D16E" w:rsidRPr="6ADF915F">
        <w:rPr>
          <w:rFonts w:ascii="Aptos" w:eastAsia="Aptos" w:hAnsi="Aptos" w:cs="Aptos"/>
        </w:rPr>
        <w:t xml:space="preserve">garantiza la conservación ambiental desde los niveles comunitarios y genera aportes económicos para </w:t>
      </w:r>
      <w:r w:rsidR="31EA45F7" w:rsidRPr="6ADF915F">
        <w:rPr>
          <w:rFonts w:ascii="Aptos" w:eastAsia="Aptos" w:hAnsi="Aptos" w:cs="Aptos"/>
        </w:rPr>
        <w:t>el sostenimiento de las familias campesinas y étnicas.</w:t>
      </w:r>
      <w:r w:rsidR="008B1A0B">
        <w:rPr>
          <w:rFonts w:ascii="Aptos" w:eastAsia="Aptos" w:hAnsi="Aptos" w:cs="Aptos"/>
        </w:rPr>
        <w:t xml:space="preserve"> </w:t>
      </w:r>
      <w:r w:rsidR="00B85002">
        <w:rPr>
          <w:rFonts w:ascii="Aptos" w:eastAsia="Aptos" w:hAnsi="Aptos" w:cs="Aptos"/>
        </w:rPr>
        <w:t xml:space="preserve"> </w:t>
      </w:r>
    </w:p>
    <w:p w14:paraId="499304BD" w14:textId="05A05202" w:rsidR="34CA803B" w:rsidRDefault="34CA803B" w:rsidP="34CA803B">
      <w:pPr>
        <w:jc w:val="both"/>
        <w:rPr>
          <w:rFonts w:ascii="Aptos" w:eastAsia="Aptos" w:hAnsi="Aptos" w:cs="Aptos"/>
        </w:rPr>
      </w:pPr>
    </w:p>
    <w:p w14:paraId="4471AE28" w14:textId="488B4CD3" w:rsidR="34CA803B" w:rsidRDefault="385C2ADF" w:rsidP="6ADF915F">
      <w:pPr>
        <w:jc w:val="both"/>
        <w:rPr>
          <w:rFonts w:ascii="Aptos" w:eastAsia="Aptos" w:hAnsi="Aptos" w:cs="Aptos"/>
        </w:rPr>
      </w:pPr>
      <w:r w:rsidRPr="2E982E3F">
        <w:rPr>
          <w:rFonts w:ascii="Aptos" w:eastAsia="Aptos" w:hAnsi="Aptos" w:cs="Aptos"/>
        </w:rPr>
        <w:t>Para septiembre del 2023, 147 familias del resguardo indígena Ibudó Las Playas de Apartadó</w:t>
      </w:r>
      <w:r w:rsidR="4DCBBD58" w:rsidRPr="2E982E3F">
        <w:rPr>
          <w:rFonts w:ascii="Aptos" w:eastAsia="Aptos" w:hAnsi="Aptos" w:cs="Aptos"/>
        </w:rPr>
        <w:t xml:space="preserve">, </w:t>
      </w:r>
      <w:r w:rsidR="4FF9DF0B" w:rsidRPr="2E982E3F">
        <w:rPr>
          <w:rFonts w:ascii="Aptos" w:eastAsia="Aptos" w:hAnsi="Aptos" w:cs="Aptos"/>
        </w:rPr>
        <w:t>en convenio con Corpourab</w:t>
      </w:r>
      <w:r w:rsidR="00F357B3">
        <w:rPr>
          <w:rFonts w:ascii="Aptos" w:eastAsia="Aptos" w:hAnsi="Aptos" w:cs="Aptos"/>
        </w:rPr>
        <w:t xml:space="preserve">á y </w:t>
      </w:r>
      <w:r w:rsidR="4FF9DF0B" w:rsidRPr="2E982E3F">
        <w:rPr>
          <w:rFonts w:ascii="Aptos" w:eastAsia="Aptos" w:hAnsi="Aptos" w:cs="Aptos"/>
        </w:rPr>
        <w:t xml:space="preserve">Aguas Regionales de </w:t>
      </w:r>
      <w:r w:rsidR="00367205" w:rsidRPr="2E982E3F">
        <w:rPr>
          <w:rFonts w:ascii="Aptos" w:eastAsia="Aptos" w:hAnsi="Aptos" w:cs="Aptos"/>
        </w:rPr>
        <w:t xml:space="preserve">Urabá, </w:t>
      </w:r>
      <w:r w:rsidR="00367205">
        <w:rPr>
          <w:rFonts w:ascii="Aptos" w:eastAsia="Aptos" w:hAnsi="Aptos" w:cs="Aptos"/>
        </w:rPr>
        <w:t>participan en un programa de protección de</w:t>
      </w:r>
      <w:r w:rsidR="049AFB98" w:rsidRPr="2E982E3F">
        <w:rPr>
          <w:rFonts w:ascii="Aptos" w:eastAsia="Aptos" w:hAnsi="Aptos" w:cs="Aptos"/>
        </w:rPr>
        <w:t xml:space="preserve"> 100 hectáreas adicionales,</w:t>
      </w:r>
      <w:r w:rsidR="00367205">
        <w:rPr>
          <w:rFonts w:ascii="Aptos" w:eastAsia="Aptos" w:hAnsi="Aptos" w:cs="Aptos"/>
        </w:rPr>
        <w:t xml:space="preserve"> para</w:t>
      </w:r>
      <w:r w:rsidR="049AFB98" w:rsidRPr="2E982E3F">
        <w:rPr>
          <w:rFonts w:ascii="Aptos" w:eastAsia="Aptos" w:hAnsi="Aptos" w:cs="Aptos"/>
        </w:rPr>
        <w:t xml:space="preserve"> la conservación del bosque en la Serranía del Abibe, principal fuente hídrica en la r</w:t>
      </w:r>
      <w:r w:rsidR="60377F34" w:rsidRPr="2E982E3F">
        <w:rPr>
          <w:rFonts w:ascii="Aptos" w:eastAsia="Aptos" w:hAnsi="Aptos" w:cs="Aptos"/>
        </w:rPr>
        <w:t>egión</w:t>
      </w:r>
      <w:r w:rsidR="0385ADD4" w:rsidRPr="2E982E3F">
        <w:rPr>
          <w:rFonts w:ascii="Aptos" w:eastAsia="Aptos" w:hAnsi="Aptos" w:cs="Aptos"/>
        </w:rPr>
        <w:t xml:space="preserve"> (EPM, 2023)</w:t>
      </w:r>
      <w:r w:rsidR="60377F34" w:rsidRPr="2E982E3F">
        <w:rPr>
          <w:rFonts w:ascii="Aptos" w:eastAsia="Aptos" w:hAnsi="Aptos" w:cs="Aptos"/>
        </w:rPr>
        <w:t xml:space="preserve">. </w:t>
      </w:r>
    </w:p>
    <w:p w14:paraId="311B462C" w14:textId="655ADA11" w:rsidR="34CA803B" w:rsidRDefault="625486AC" w:rsidP="6ADF915F">
      <w:pPr>
        <w:spacing w:before="240" w:after="240"/>
        <w:jc w:val="both"/>
      </w:pPr>
      <w:r w:rsidRPr="6ADF915F">
        <w:rPr>
          <w:rFonts w:ascii="Aptos" w:eastAsia="Aptos" w:hAnsi="Aptos" w:cs="Aptos"/>
        </w:rPr>
        <w:t xml:space="preserve">Bajo este mismo convenio se incluyen un total de 55 familias provenientes de Apartadó, Chigorodó, Mutatá y Turbo, quienes participan en la conservación de 817 hectáreas de bosque natural a través del esquema de Pago por Servicios Ambientales (PSA). Esta inversión, que supera los 859 millones de pesos, apuesta no solo a la restauración ecológica, sino también al fortalecimiento de la participación y la soberanía comunitaria en el cuidado de ecosistemas estratégicos para el </w:t>
      </w:r>
      <w:r w:rsidR="00FA218E" w:rsidRPr="6ADF915F">
        <w:rPr>
          <w:rFonts w:ascii="Aptos" w:eastAsia="Aptos" w:hAnsi="Aptos" w:cs="Aptos"/>
        </w:rPr>
        <w:t>territorio</w:t>
      </w:r>
      <w:r w:rsidR="00FA218E">
        <w:rPr>
          <w:rFonts w:ascii="Aptos" w:eastAsia="Aptos" w:hAnsi="Aptos" w:cs="Aptos"/>
        </w:rPr>
        <w:t>.</w:t>
      </w:r>
    </w:p>
    <w:p w14:paraId="47E1B48F" w14:textId="40AB4306" w:rsidR="34CA803B" w:rsidRDefault="625486AC" w:rsidP="6ADF915F">
      <w:pPr>
        <w:spacing w:before="240" w:after="240"/>
        <w:jc w:val="both"/>
      </w:pPr>
      <w:r w:rsidRPr="2E982E3F">
        <w:rPr>
          <w:rFonts w:ascii="Aptos" w:eastAsia="Aptos" w:hAnsi="Aptos" w:cs="Aptos"/>
        </w:rPr>
        <w:t>Asimismo, se señala que entre 2019 y 2024, un total de 28 familias de Apartadó y Turbo se beneficiaron de compensaciones ambientales asociadas a la infraestructura eléctrica, también bajo el esquema de PSA. Estas acciones permitieron la protección de 349,67 hectáreas en la Serranía del Abibe, orientadas principalmente a la conservación de las cuencas de los ríos León y Mulatos.</w:t>
      </w:r>
    </w:p>
    <w:p w14:paraId="3A888AB7" w14:textId="3AAC8926" w:rsidR="74B27AB5" w:rsidRDefault="74B27AB5" w:rsidP="2E982E3F">
      <w:pPr>
        <w:rPr>
          <w:b/>
          <w:bCs/>
        </w:rPr>
      </w:pPr>
      <w:r w:rsidRPr="2E982E3F">
        <w:rPr>
          <w:b/>
          <w:bCs/>
        </w:rPr>
        <w:t xml:space="preserve">CUEES </w:t>
      </w:r>
    </w:p>
    <w:p w14:paraId="31575B48" w14:textId="0461EC9B" w:rsidR="74B27AB5" w:rsidRDefault="74B27AB5" w:rsidP="2E982E3F">
      <w:pPr>
        <w:spacing w:before="240" w:after="240"/>
        <w:jc w:val="both"/>
      </w:pPr>
      <w:r w:rsidRPr="2E982E3F">
        <w:rPr>
          <w:rFonts w:ascii="Aptos" w:eastAsia="Aptos" w:hAnsi="Aptos" w:cs="Aptos"/>
        </w:rPr>
        <w:lastRenderedPageBreak/>
        <w:t>Una de las instancias identificadas en el territorio como plataforma de relacionamiento y articulación de procesos de transformación territorial es el CUEES (Comité Universidad-Empresa-Estado). Desde 2007, liderado por la Universidad de Antioquia, el CUEES se ha consolidado como un espacio clave para el desarrollo y la ejecución de diversas propuestas que involucran a empresas, academia, Estado y comunidades del territorio.</w:t>
      </w:r>
    </w:p>
    <w:p w14:paraId="08ACFFEC" w14:textId="5E11C7A2" w:rsidR="74B27AB5" w:rsidRDefault="74B27AB5" w:rsidP="2E982E3F">
      <w:pPr>
        <w:spacing w:before="240" w:after="240"/>
        <w:jc w:val="both"/>
        <w:rPr>
          <w:rFonts w:ascii="Aptos" w:eastAsia="Aptos" w:hAnsi="Aptos" w:cs="Aptos"/>
          <w:highlight w:val="green"/>
        </w:rPr>
      </w:pPr>
      <w:r w:rsidRPr="2E982E3F">
        <w:rPr>
          <w:rFonts w:ascii="Aptos" w:eastAsia="Aptos" w:hAnsi="Aptos" w:cs="Aptos"/>
          <w:highlight w:val="green"/>
        </w:rPr>
        <w:t xml:space="preserve">En este marco, el Grupo EPM asumió la presidencia del CUEES en </w:t>
      </w:r>
      <w:commentRangeStart w:id="5"/>
      <w:r w:rsidRPr="2E982E3F">
        <w:rPr>
          <w:rFonts w:ascii="Aptos" w:eastAsia="Aptos" w:hAnsi="Aptos" w:cs="Aptos"/>
          <w:highlight w:val="green"/>
        </w:rPr>
        <w:t>2017</w:t>
      </w:r>
      <w:commentRangeEnd w:id="5"/>
      <w:r w:rsidR="00CB4EE3" w:rsidRPr="2E982E3F">
        <w:rPr>
          <w:rStyle w:val="Refdecomentario"/>
          <w:rFonts w:ascii="Aptos" w:eastAsia="Aptos" w:hAnsi="Aptos" w:cs="Aptos"/>
          <w:sz w:val="24"/>
          <w:szCs w:val="24"/>
          <w:highlight w:val="green"/>
        </w:rPr>
        <w:commentReference w:id="5"/>
      </w:r>
      <w:r w:rsidRPr="2E982E3F">
        <w:rPr>
          <w:rFonts w:ascii="Aptos" w:eastAsia="Aptos" w:hAnsi="Aptos" w:cs="Aptos"/>
          <w:highlight w:val="green"/>
        </w:rPr>
        <w:t>, posteriormente integró las diferentes mesas como la plataforma de innovación social , desde estás instancias y participación se han impulsado logros importantes como los Acuerdos Estratégicos de Ciencia, Tecnología, Innovación y Emprendimiento (CTIE) con la Secretaría de Productividad y Competitividad de Antioquia, la formulación del Plan CTIE y el Pincel (Plan Integral Nueva Colonia: Equidad y Legalidad) instrumento que actualmente permite la ejecución de proyectos relevantes en la región, como el acueducto de Nueva Colonia, desarrollado a través del mecanismo de Obras por Impuestos con la participación de empresas como Puerto Antioquia, Argos y, por supuesto, EPM. Asimismo, se destaca el rol protagónico del CUEES en la formulación del Plan de Desarrollo con Enfoque Territorial (PDET) (EPM, 2021).</w:t>
      </w:r>
    </w:p>
    <w:p w14:paraId="647B8874" w14:textId="6B72474D" w:rsidR="74B27AB5" w:rsidRDefault="74B27AB5" w:rsidP="2E982E3F">
      <w:pPr>
        <w:spacing w:before="240" w:after="240"/>
        <w:jc w:val="both"/>
        <w:rPr>
          <w:rFonts w:ascii="Aptos" w:eastAsia="Aptos" w:hAnsi="Aptos" w:cs="Aptos"/>
          <w:highlight w:val="green"/>
        </w:rPr>
      </w:pPr>
      <w:r w:rsidRPr="2E982E3F">
        <w:rPr>
          <w:rFonts w:ascii="Aptos" w:eastAsia="Aptos" w:hAnsi="Aptos" w:cs="Aptos"/>
          <w:highlight w:val="green"/>
        </w:rPr>
        <w:t>Sumado a esto, las plenarias se descentralizaron con el fin de promover la participación de los diferentes actores a nivel regional. Asimismo, se realizó un aporte significativo en la movilización y protección de la ciudadanía durante la pasada pandemia, contribuyendo a la gestión del laboratorio para pruebas de COVID-19 en Urabá y al desarrollo de campañas como #UrabáCuidaAUrabá, difundidas a través de diversos medios de comunicación regionales (EPM, 2026).</w:t>
      </w:r>
    </w:p>
    <w:p w14:paraId="45129D24" w14:textId="2028E360" w:rsidR="74B27AB5" w:rsidRDefault="74B27AB5" w:rsidP="2E982E3F">
      <w:pPr>
        <w:spacing w:before="240" w:after="240"/>
        <w:jc w:val="both"/>
        <w:rPr>
          <w:rFonts w:ascii="Aptos" w:eastAsia="Aptos" w:hAnsi="Aptos" w:cs="Aptos"/>
          <w:highlight w:val="green"/>
        </w:rPr>
      </w:pPr>
      <w:r w:rsidRPr="2E982E3F">
        <w:rPr>
          <w:rFonts w:ascii="Aptos" w:eastAsia="Aptos" w:hAnsi="Aptos" w:cs="Aptos"/>
          <w:highlight w:val="green"/>
        </w:rPr>
        <w:t>Estos aportes y gestiones evidencian la articulación y el potencial de acción colectiva que surge del trabajo conjunto entre distintos actores, así como el liderazgo regional de EPM, haciendo visible el papel de la compañía más allá de sus aportes técnicos u operativos.</w:t>
      </w:r>
    </w:p>
    <w:p w14:paraId="3976A933" w14:textId="22095D06" w:rsidR="28FCDEDF" w:rsidRDefault="28FCDEDF" w:rsidP="00E56AAB">
      <w:pPr>
        <w:ind w:left="720" w:hanging="720"/>
        <w:jc w:val="both"/>
      </w:pPr>
      <w:r w:rsidRPr="171B1BF8">
        <w:rPr>
          <w:rFonts w:ascii="Aptos" w:eastAsia="Aptos" w:hAnsi="Aptos" w:cs="Aptos"/>
        </w:rPr>
        <w:t>En este contexto, la inversión y el desarrollo promovidos a través del MIT no se insertan en un escenario neutro, sino que deben dialogar con las presiones existentes sobre recursos hídricos, suelos y ecosistemas costeros. Esto implica que la articulación territorial promovida por el MIT también atraviesa dimensiones regulatorias, ambientales y de sostenibilidad, convirtiendo a las autoridades ambientales en actores clave dentro del sistema de gobernanza regional.</w:t>
      </w:r>
    </w:p>
    <w:p w14:paraId="371CEACA" w14:textId="04A13CFF" w:rsidR="5C656C71" w:rsidRDefault="00656B99" w:rsidP="2E982E3F">
      <w:pPr>
        <w:pStyle w:val="Ttulo3"/>
        <w:jc w:val="both"/>
        <w:rPr>
          <w:rFonts w:ascii="Aptos" w:eastAsia="Aptos" w:hAnsi="Aptos" w:cs="Aptos"/>
        </w:rPr>
      </w:pPr>
      <w:bookmarkStart w:id="6" w:name="_Toc223587471"/>
      <w:r>
        <w:t>Análisis de relación de actores actualmente</w:t>
      </w:r>
      <w:bookmarkEnd w:id="6"/>
    </w:p>
    <w:p w14:paraId="1311B1F4" w14:textId="1940E6DA" w:rsidR="3628AEA2" w:rsidRDefault="3628AEA2" w:rsidP="6ADF915F">
      <w:pPr>
        <w:spacing w:before="240" w:after="240"/>
        <w:jc w:val="both"/>
      </w:pPr>
      <w:r w:rsidRPr="6ADF915F">
        <w:rPr>
          <w:rFonts w:ascii="Aptos" w:eastAsia="Aptos" w:hAnsi="Aptos" w:cs="Aptos"/>
        </w:rPr>
        <w:t>La identificación, clasificación y relacionamiento con los distintos actores, entendidos como grupos de interés desde la perspectiva de EPM, han experimentado una transformación significativa, con implicaciones directas en la economía regional, la gestión de conflictos y la incorporación de nuevas agendas de planeación nacional en el territorio.</w:t>
      </w:r>
    </w:p>
    <w:p w14:paraId="42B68B34" w14:textId="1A233A3E" w:rsidR="3628AEA2" w:rsidRDefault="3628AEA2" w:rsidP="6ADF915F">
      <w:pPr>
        <w:spacing w:before="240" w:after="240"/>
        <w:jc w:val="both"/>
      </w:pPr>
      <w:r w:rsidRPr="6ADF915F">
        <w:rPr>
          <w:rFonts w:ascii="Aptos" w:eastAsia="Aptos" w:hAnsi="Aptos" w:cs="Aptos"/>
        </w:rPr>
        <w:lastRenderedPageBreak/>
        <w:t>En este apartado se propone, por tanto, revisar y ajustar los criterios definidos previamente a partir de la caracterización de relacionamientos, la cual estableció niveles, acciones, estrategias de comunicación y otros mecanismos de interacción con los diferentes grupos de interés. El objetivo es proyectar de manera general el relacionamiento del MIT de cara al estado actual del territorio y a los escenarios futuros de la región.</w:t>
      </w:r>
    </w:p>
    <w:p w14:paraId="735C2783" w14:textId="010F9488" w:rsidR="7FC713B0" w:rsidRDefault="63E7C276" w:rsidP="56725856">
      <w:pPr>
        <w:pStyle w:val="Prrafodelista"/>
        <w:numPr>
          <w:ilvl w:val="0"/>
          <w:numId w:val="36"/>
        </w:numPr>
        <w:jc w:val="both"/>
        <w:rPr>
          <w:rFonts w:ascii="Aptos" w:eastAsia="Aptos" w:hAnsi="Aptos" w:cs="Aptos"/>
        </w:rPr>
      </w:pPr>
      <w:r w:rsidRPr="56725856">
        <w:rPr>
          <w:b/>
          <w:bCs/>
        </w:rPr>
        <w:t>Colaborar:</w:t>
      </w:r>
      <w:r>
        <w:t xml:space="preserve">  </w:t>
      </w:r>
      <w:r w:rsidR="51AAD360" w:rsidRPr="56725856">
        <w:rPr>
          <w:rFonts w:ascii="Aptos" w:eastAsia="Aptos" w:hAnsi="Aptos" w:cs="Aptos"/>
        </w:rPr>
        <w:t xml:space="preserve">Si bien, en este nivel las organizaciones del Estado se posicionan como actores principales debido a su capacidad de gestión y planeación territorial, también emergen actores cuya acción se relaciona principalmente con el cuidado y la preservación de los ecosistemas </w:t>
      </w:r>
      <w:r w:rsidR="13DA7313" w:rsidRPr="125B0324">
        <w:rPr>
          <w:rFonts w:ascii="Aptos" w:eastAsia="Aptos" w:hAnsi="Aptos" w:cs="Aptos"/>
        </w:rPr>
        <w:t xml:space="preserve">ambientales </w:t>
      </w:r>
      <w:r w:rsidR="51AAD360" w:rsidRPr="125B0324">
        <w:rPr>
          <w:rFonts w:ascii="Aptos" w:eastAsia="Aptos" w:hAnsi="Aptos" w:cs="Aptos"/>
        </w:rPr>
        <w:t>estratégicos</w:t>
      </w:r>
      <w:r w:rsidR="51AAD360" w:rsidRPr="56725856">
        <w:rPr>
          <w:rFonts w:ascii="Aptos" w:eastAsia="Aptos" w:hAnsi="Aptos" w:cs="Aptos"/>
        </w:rPr>
        <w:t xml:space="preserve"> de la región. Estos ecosistemas</w:t>
      </w:r>
      <w:r w:rsidR="50F6E3D6" w:rsidRPr="125B0324">
        <w:rPr>
          <w:rFonts w:ascii="Aptos" w:eastAsia="Aptos" w:hAnsi="Aptos" w:cs="Aptos"/>
        </w:rPr>
        <w:t xml:space="preserve"> ambientales</w:t>
      </w:r>
      <w:r w:rsidR="51AAD360" w:rsidRPr="56725856">
        <w:rPr>
          <w:rFonts w:ascii="Aptos" w:eastAsia="Aptos" w:hAnsi="Aptos" w:cs="Aptos"/>
        </w:rPr>
        <w:t xml:space="preserve"> actualmente enfrentan altos niveles de presión y tensión derivados del crecimiento poblacional, la expansión urbana y el desarrollo de infraestructura, lo que hace necesario fortalecer alianzas estratégicas con entidades ambientales y científicas como Corpourabá, el Instituto Humboldt, el Ministerio de Ambiente y Desarrollo Sostenible y Parques Nacionales Naturales de Colombia.</w:t>
      </w:r>
    </w:p>
    <w:p w14:paraId="039D5A36" w14:textId="3A19DC3C" w:rsidR="7FC713B0" w:rsidRDefault="51AAD360" w:rsidP="56725856">
      <w:pPr>
        <w:pStyle w:val="Prrafodelista"/>
        <w:spacing w:after="160" w:line="276" w:lineRule="auto"/>
        <w:jc w:val="both"/>
        <w:rPr>
          <w:rFonts w:ascii="Aptos" w:eastAsia="Aptos" w:hAnsi="Aptos" w:cs="Aptos"/>
        </w:rPr>
      </w:pPr>
      <w:r w:rsidRPr="56725856">
        <w:rPr>
          <w:rFonts w:ascii="Aptos" w:eastAsia="Aptos" w:hAnsi="Aptos" w:cs="Aptos"/>
        </w:rPr>
        <w:t xml:space="preserve"> </w:t>
      </w:r>
    </w:p>
    <w:p w14:paraId="4EE88FE8" w14:textId="750C1FE9" w:rsidR="7FC713B0" w:rsidRDefault="5D029896" w:rsidP="56725856">
      <w:pPr>
        <w:pStyle w:val="Prrafodelista"/>
        <w:spacing w:after="160" w:line="276" w:lineRule="auto"/>
        <w:jc w:val="both"/>
        <w:rPr>
          <w:rFonts w:ascii="Aptos" w:eastAsia="Aptos" w:hAnsi="Aptos" w:cs="Aptos"/>
        </w:rPr>
      </w:pPr>
      <w:r w:rsidRPr="56725856">
        <w:rPr>
          <w:rFonts w:ascii="Aptos" w:eastAsia="Aptos" w:hAnsi="Aptos" w:cs="Aptos"/>
        </w:rPr>
        <w:t xml:space="preserve">A su vez, los actores de orden </w:t>
      </w:r>
      <w:r w:rsidR="51AAD360" w:rsidRPr="56725856">
        <w:rPr>
          <w:rFonts w:ascii="Aptos" w:eastAsia="Aptos" w:hAnsi="Aptos" w:cs="Aptos"/>
        </w:rPr>
        <w:t>económico adquieren un papel prioritario debido a</w:t>
      </w:r>
      <w:r w:rsidRPr="56725856">
        <w:rPr>
          <w:rFonts w:ascii="Aptos" w:eastAsia="Aptos" w:hAnsi="Aptos" w:cs="Aptos"/>
        </w:rPr>
        <w:t xml:space="preserve"> la naturaleza de sus </w:t>
      </w:r>
      <w:r w:rsidR="51AAD360" w:rsidRPr="56725856">
        <w:rPr>
          <w:rFonts w:ascii="Aptos" w:eastAsia="Aptos" w:hAnsi="Aptos" w:cs="Aptos"/>
        </w:rPr>
        <w:t>procesos</w:t>
      </w:r>
      <w:r w:rsidRPr="56725856">
        <w:rPr>
          <w:rFonts w:ascii="Aptos" w:eastAsia="Aptos" w:hAnsi="Aptos" w:cs="Aptos"/>
        </w:rPr>
        <w:t xml:space="preserve"> de expansión comercial y urbana, </w:t>
      </w:r>
      <w:r w:rsidR="51AAD360" w:rsidRPr="56725856">
        <w:rPr>
          <w:rFonts w:ascii="Aptos" w:eastAsia="Aptos" w:hAnsi="Aptos" w:cs="Aptos"/>
        </w:rPr>
        <w:t xml:space="preserve">así como por su capacidad de destinar </w:t>
      </w:r>
      <w:r w:rsidRPr="56725856">
        <w:rPr>
          <w:rFonts w:ascii="Aptos" w:eastAsia="Aptos" w:hAnsi="Aptos" w:cs="Aptos"/>
        </w:rPr>
        <w:t xml:space="preserve">recursos </w:t>
      </w:r>
      <w:r w:rsidR="51AAD360" w:rsidRPr="56725856">
        <w:rPr>
          <w:rFonts w:ascii="Aptos" w:eastAsia="Aptos" w:hAnsi="Aptos" w:cs="Aptos"/>
        </w:rPr>
        <w:t xml:space="preserve">económicos </w:t>
      </w:r>
      <w:r w:rsidRPr="56725856">
        <w:rPr>
          <w:rFonts w:ascii="Aptos" w:eastAsia="Aptos" w:hAnsi="Aptos" w:cs="Aptos"/>
        </w:rPr>
        <w:t xml:space="preserve">con </w:t>
      </w:r>
      <w:r w:rsidR="51AAD360" w:rsidRPr="56725856">
        <w:rPr>
          <w:rFonts w:ascii="Aptos" w:eastAsia="Aptos" w:hAnsi="Aptos" w:cs="Aptos"/>
        </w:rPr>
        <w:t>enfoques sociales, ambientales y étnicos, además de su</w:t>
      </w:r>
      <w:r w:rsidR="225FE66B" w:rsidRPr="56725856">
        <w:rPr>
          <w:rFonts w:ascii="Aptos" w:eastAsia="Aptos" w:hAnsi="Aptos" w:cs="Aptos"/>
        </w:rPr>
        <w:t xml:space="preserve"> posibilidad de </w:t>
      </w:r>
      <w:r w:rsidR="51AAD360" w:rsidRPr="56725856">
        <w:rPr>
          <w:rFonts w:ascii="Aptos" w:eastAsia="Aptos" w:hAnsi="Aptos" w:cs="Aptos"/>
        </w:rPr>
        <w:t xml:space="preserve">apalancamiento financiero a través de la </w:t>
      </w:r>
      <w:r w:rsidR="225FE66B" w:rsidRPr="56725856">
        <w:rPr>
          <w:rFonts w:ascii="Aptos" w:eastAsia="Aptos" w:hAnsi="Aptos" w:cs="Aptos"/>
        </w:rPr>
        <w:t>banca internacional</w:t>
      </w:r>
      <w:r w:rsidR="51AAD360" w:rsidRPr="56725856">
        <w:rPr>
          <w:rFonts w:ascii="Aptos" w:eastAsia="Aptos" w:hAnsi="Aptos" w:cs="Aptos"/>
        </w:rPr>
        <w:t>. Entre estos actores se destacan</w:t>
      </w:r>
      <w:r w:rsidR="0783678B" w:rsidRPr="56725856">
        <w:rPr>
          <w:rFonts w:ascii="Aptos" w:eastAsia="Aptos" w:hAnsi="Aptos" w:cs="Aptos"/>
        </w:rPr>
        <w:t xml:space="preserve"> Augura, Uniban, Banacol, Zona Franca Urabá, </w:t>
      </w:r>
      <w:r w:rsidR="51AAD360" w:rsidRPr="56725856">
        <w:rPr>
          <w:rFonts w:ascii="Aptos" w:eastAsia="Aptos" w:hAnsi="Aptos" w:cs="Aptos"/>
        </w:rPr>
        <w:t xml:space="preserve">la </w:t>
      </w:r>
      <w:r w:rsidR="0783678B" w:rsidRPr="56725856">
        <w:rPr>
          <w:rFonts w:ascii="Aptos" w:eastAsia="Aptos" w:hAnsi="Aptos" w:cs="Aptos"/>
        </w:rPr>
        <w:t xml:space="preserve">Cámara de Comercio de Urabá, Camacol, Fenalco, Puerto Antioquia y </w:t>
      </w:r>
      <w:r w:rsidR="51AAD360" w:rsidRPr="56725856">
        <w:rPr>
          <w:rFonts w:ascii="Aptos" w:eastAsia="Aptos" w:hAnsi="Aptos" w:cs="Aptos"/>
        </w:rPr>
        <w:t xml:space="preserve">diversas </w:t>
      </w:r>
      <w:r w:rsidR="0783678B" w:rsidRPr="56725856">
        <w:rPr>
          <w:rFonts w:ascii="Aptos" w:eastAsia="Aptos" w:hAnsi="Aptos" w:cs="Aptos"/>
        </w:rPr>
        <w:t>empresas de infraestructura.</w:t>
      </w:r>
    </w:p>
    <w:p w14:paraId="6494782F" w14:textId="05204F8C" w:rsidR="6ADF915F" w:rsidRDefault="6ADF915F" w:rsidP="6ADF915F">
      <w:pPr>
        <w:jc w:val="both"/>
      </w:pPr>
    </w:p>
    <w:p w14:paraId="12510E1F" w14:textId="7B028DA2" w:rsidR="63E7C276" w:rsidRDefault="63E7C276" w:rsidP="6ADF915F">
      <w:pPr>
        <w:pStyle w:val="Prrafodelista"/>
        <w:numPr>
          <w:ilvl w:val="0"/>
          <w:numId w:val="36"/>
        </w:numPr>
        <w:jc w:val="both"/>
      </w:pPr>
      <w:r w:rsidRPr="56725856">
        <w:rPr>
          <w:b/>
          <w:bCs/>
        </w:rPr>
        <w:t>Participar</w:t>
      </w:r>
      <w:r>
        <w:t>:</w:t>
      </w:r>
      <w:r w:rsidR="3E081183">
        <w:t xml:space="preserve"> </w:t>
      </w:r>
    </w:p>
    <w:p w14:paraId="7F5BD8E0" w14:textId="269B763B" w:rsidR="0426DCFC" w:rsidRDefault="0426DCFC" w:rsidP="56725856">
      <w:pPr>
        <w:pStyle w:val="Prrafodelista"/>
        <w:jc w:val="both"/>
      </w:pPr>
      <w:r>
        <w:t>En este nivel se mantiene el relacionamiento con los diferentes gremios sectoriales, la fuerza pública, las organizaciones multilaterales, así como con contratistas y proveedores. Sin embargo, tal como se expone en el apartado anterior, se deberá profundizar en el trabajo con las comunidades étnicas, campesinas, comunitarias y sociales, así como con sus liderazgos territoriales.</w:t>
      </w:r>
    </w:p>
    <w:p w14:paraId="0C4770B7" w14:textId="3EFD85A5" w:rsidR="0426DCFC" w:rsidRDefault="0426DCFC" w:rsidP="56725856">
      <w:pPr>
        <w:pStyle w:val="Prrafodelista"/>
        <w:jc w:val="both"/>
      </w:pPr>
      <w:r>
        <w:t>Lo anterior con el fin de anticipar posibles escenarios asociados a consultas previas, procesos de restitución de tierras, sentencias o actos administrativos que puedan frenar o suspender proyectos de infraestructura, especialmente aquellos relacionados con ecosistemas ambientales estratégicos o con dinámicas de expansión urbana.</w:t>
      </w:r>
    </w:p>
    <w:p w14:paraId="47791897" w14:textId="32874228" w:rsidR="0426DCFC" w:rsidRDefault="0426DCFC" w:rsidP="56725856">
      <w:pPr>
        <w:pStyle w:val="Prrafodelista"/>
        <w:jc w:val="both"/>
      </w:pPr>
      <w:r>
        <w:t>En este sentido, se plantea fortalecer un modelo de participación abierto al diálogo, orientado a la corresponsabilidad y a la construcción de confianza entre las comunidades, las instituciones y los actores involucrados en el desarrollo territorial.</w:t>
      </w:r>
    </w:p>
    <w:p w14:paraId="4B6273C8" w14:textId="319874BE" w:rsidR="56725856" w:rsidRDefault="56725856" w:rsidP="56725856">
      <w:pPr>
        <w:jc w:val="both"/>
      </w:pPr>
    </w:p>
    <w:p w14:paraId="0E28E1CF" w14:textId="117D005E" w:rsidR="63E7C276" w:rsidRDefault="63E7C276" w:rsidP="6ADF915F">
      <w:pPr>
        <w:pStyle w:val="Prrafodelista"/>
        <w:numPr>
          <w:ilvl w:val="0"/>
          <w:numId w:val="36"/>
        </w:numPr>
        <w:jc w:val="both"/>
      </w:pPr>
      <w:r w:rsidRPr="7ED49503">
        <w:rPr>
          <w:b/>
          <w:bCs/>
        </w:rPr>
        <w:t>Consultar</w:t>
      </w:r>
      <w:r>
        <w:t>:</w:t>
      </w:r>
      <w:r w:rsidR="42D83338">
        <w:t xml:space="preserve"> </w:t>
      </w:r>
      <w:r w:rsidR="7A47EB4D" w:rsidRPr="7ED49503">
        <w:t xml:space="preserve">La pertinencia del relacionamiento con los concejos municipales, la Asamblea Departamental y los ministerios del orden nacional se mantiene, haciendo </w:t>
      </w:r>
      <w:r w:rsidR="7A47EB4D" w:rsidRPr="7ED49503">
        <w:lastRenderedPageBreak/>
        <w:t>énfasis en la presencia cada vez más permanente de estas últimas entidades en la región, lo que posibilita una mayor cercanía con la realidad territorial. Esto permite integrar de manera conjunta variables de carácter ambiental, social y de ordenamiento territorial en los procesos de planeación y toma de decisiones.</w:t>
      </w:r>
    </w:p>
    <w:p w14:paraId="7AF0F70B" w14:textId="6E0EBDA2" w:rsidR="63E7C276" w:rsidRDefault="63E7C276" w:rsidP="6ADF915F">
      <w:pPr>
        <w:pStyle w:val="Prrafodelista"/>
        <w:numPr>
          <w:ilvl w:val="0"/>
          <w:numId w:val="36"/>
        </w:numPr>
        <w:jc w:val="both"/>
      </w:pPr>
      <w:r w:rsidRPr="7ED49503">
        <w:rPr>
          <w:b/>
          <w:bCs/>
        </w:rPr>
        <w:t>Informar</w:t>
      </w:r>
      <w:r>
        <w:t>:</w:t>
      </w:r>
      <w:r w:rsidR="34332856">
        <w:t xml:space="preserve"> </w:t>
      </w:r>
      <w:r w:rsidR="34332856" w:rsidRPr="7ED49503">
        <w:t>En este nivel se mantienen las personerías municipales, la Policía Ambiental y los medios de comunicación regionales. Sin embargo, las tensiones políticas, sociales y ambientales se presentan con un nivel de riesgo alto, lo que puede afectar la reputación organizacional y poner en debate la proyección territorial del MIT, especialmente en temas relacionados con la gestión del agua y la sostenibilidad ambiental.</w:t>
      </w:r>
    </w:p>
    <w:p w14:paraId="176A866E" w14:textId="7B2C33C2" w:rsidR="63E7C276" w:rsidRDefault="63E7C276" w:rsidP="6ADF915F">
      <w:pPr>
        <w:pStyle w:val="Prrafodelista"/>
        <w:numPr>
          <w:ilvl w:val="0"/>
          <w:numId w:val="36"/>
        </w:numPr>
        <w:jc w:val="both"/>
      </w:pPr>
      <w:r w:rsidRPr="7ED49503">
        <w:rPr>
          <w:b/>
          <w:bCs/>
        </w:rPr>
        <w:t>Hacer un seguimiento:</w:t>
      </w:r>
      <w:r>
        <w:t xml:space="preserve">  </w:t>
      </w:r>
      <w:r w:rsidR="7C354699">
        <w:t>se propone la continuidad de las entidades regulatorias CRA, CREG UPME, Superintendencia de Servicios Públicos.</w:t>
      </w:r>
      <w:r w:rsidR="0641F764">
        <w:t xml:space="preserve"> No obstante, el crecimiento del sistema eléctrico e hídrico condiciona variables de regulación que deben revisarse con especial cuidado. </w:t>
      </w:r>
    </w:p>
    <w:p w14:paraId="4A00B3DC" w14:textId="475B4712" w:rsidR="63E7C276" w:rsidRDefault="63E7C276" w:rsidP="7ED49503">
      <w:pPr>
        <w:pStyle w:val="Prrafodelista"/>
        <w:numPr>
          <w:ilvl w:val="0"/>
          <w:numId w:val="36"/>
        </w:numPr>
        <w:jc w:val="both"/>
      </w:pPr>
      <w:r w:rsidRPr="7ED49503">
        <w:rPr>
          <w:b/>
          <w:bCs/>
        </w:rPr>
        <w:t xml:space="preserve">Mantenerse pasivo: </w:t>
      </w:r>
      <w:r>
        <w:t xml:space="preserve"> </w:t>
      </w:r>
      <w:r w:rsidR="1B974A02">
        <w:t>Bajo este nivel se nombran explícitamente las organizaciones no gubernamentales ambientales (ONG). No obstante, esta clasificación requiere un análisis crítico a la luz de las coyunturas actuales en la región. Organizaciones como Fundación Natura y World Wide Fund for Nature (WWF</w:t>
      </w:r>
      <w:r w:rsidR="4112E5DA">
        <w:t>), así</w:t>
      </w:r>
      <w:r w:rsidR="1B974A02">
        <w:t xml:space="preserve"> como otras plataformas presentes en el territorio, cuentan con una creciente incidencia, capacidad de gestión y reconocimiento institucional en los debates ambientales y territoriales. </w:t>
      </w:r>
    </w:p>
    <w:p w14:paraId="45778279" w14:textId="3E57B777" w:rsidR="1B974A02" w:rsidRDefault="1B974A02" w:rsidP="7ED49503">
      <w:pPr>
        <w:pStyle w:val="Prrafodelista"/>
        <w:jc w:val="both"/>
      </w:pPr>
      <w:r>
        <w:t xml:space="preserve">En este sentido, mantener una relación estrictamente pasiva con estos actores podría generar riesgos jurídicos, sociales o reputacionales. Si bien los conflictos actuales no involucran de manera directa a EPM, la proyección del MIT en la región hace necesario replantear este tipo de relacionamientos, especialmente frente a escenarios futuros en los que las agendas ambientales, la protección de ecosistemas </w:t>
      </w:r>
      <w:r w:rsidR="0E7B9920">
        <w:t xml:space="preserve">ambientales </w:t>
      </w:r>
      <w:r>
        <w:t>estratégicos y las dinámicas de inversión territorial puedan generar tensiones o demandas de mayor participación por parte de estas organizaciones.</w:t>
      </w:r>
    </w:p>
    <w:p w14:paraId="58177DFF" w14:textId="14E5381E" w:rsidR="6ADF915F" w:rsidRDefault="6ADF915F" w:rsidP="6ADF915F">
      <w:pPr>
        <w:jc w:val="both"/>
      </w:pPr>
    </w:p>
    <w:p w14:paraId="1BA79107" w14:textId="46C9FF09" w:rsidR="1BAA7B6E" w:rsidRDefault="5969C68A" w:rsidP="2E982E3F">
      <w:pPr>
        <w:rPr>
          <w:rFonts w:ascii="Aptos" w:eastAsia="Aptos" w:hAnsi="Aptos" w:cs="Aptos"/>
        </w:rPr>
      </w:pPr>
      <w:r w:rsidRPr="2E982E3F">
        <w:rPr>
          <w:rFonts w:ascii="Aptos" w:eastAsia="Aptos" w:hAnsi="Aptos" w:cs="Aptos"/>
        </w:rPr>
        <w:t>Qué tanto las acciones de EPM han dado respuesta a las expectativas mapeadas en el excel de 2024 ¿Estas están asociadas a negocios y filiales de Grupo EPM puntuales?</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126"/>
        <w:gridCol w:w="1473"/>
        <w:gridCol w:w="2677"/>
        <w:gridCol w:w="3054"/>
      </w:tblGrid>
      <w:tr w:rsidR="620FE543" w14:paraId="7402E433" w14:textId="77777777" w:rsidTr="620FE543">
        <w:trPr>
          <w:trHeight w:val="300"/>
        </w:trPr>
        <w:tc>
          <w:tcPr>
            <w:tcW w:w="2130" w:type="dxa"/>
            <w:vAlign w:val="center"/>
          </w:tcPr>
          <w:p w14:paraId="3BE9CF35" w14:textId="5B247B18" w:rsidR="620FE543" w:rsidRDefault="620FE543" w:rsidP="620FE543">
            <w:pPr>
              <w:jc w:val="center"/>
              <w:rPr>
                <w:b/>
                <w:bCs/>
                <w:sz w:val="20"/>
                <w:szCs w:val="20"/>
              </w:rPr>
            </w:pPr>
            <w:r w:rsidRPr="620FE543">
              <w:rPr>
                <w:b/>
                <w:bCs/>
                <w:sz w:val="20"/>
                <w:szCs w:val="20"/>
              </w:rPr>
              <w:t>Proyecto / Programa</w:t>
            </w:r>
          </w:p>
        </w:tc>
        <w:tc>
          <w:tcPr>
            <w:tcW w:w="1474" w:type="dxa"/>
            <w:vAlign w:val="center"/>
          </w:tcPr>
          <w:p w14:paraId="411DE053" w14:textId="178F3CAB" w:rsidR="620FE543" w:rsidRDefault="620FE543" w:rsidP="620FE543">
            <w:pPr>
              <w:jc w:val="center"/>
              <w:rPr>
                <w:b/>
                <w:bCs/>
                <w:sz w:val="20"/>
                <w:szCs w:val="20"/>
              </w:rPr>
            </w:pPr>
            <w:r w:rsidRPr="620FE543">
              <w:rPr>
                <w:b/>
                <w:bCs/>
                <w:sz w:val="20"/>
                <w:szCs w:val="20"/>
              </w:rPr>
              <w:t>Negocio</w:t>
            </w:r>
          </w:p>
        </w:tc>
        <w:tc>
          <w:tcPr>
            <w:tcW w:w="2688" w:type="dxa"/>
            <w:vAlign w:val="center"/>
          </w:tcPr>
          <w:p w14:paraId="5F8D0A31" w14:textId="3B32A4BD" w:rsidR="620FE543" w:rsidRDefault="620FE543" w:rsidP="620FE543">
            <w:pPr>
              <w:jc w:val="center"/>
              <w:rPr>
                <w:b/>
                <w:bCs/>
                <w:sz w:val="20"/>
                <w:szCs w:val="20"/>
              </w:rPr>
            </w:pPr>
            <w:r w:rsidRPr="620FE543">
              <w:rPr>
                <w:b/>
                <w:bCs/>
                <w:sz w:val="20"/>
                <w:szCs w:val="20"/>
              </w:rPr>
              <w:t>Grupo de interés al que le apunta</w:t>
            </w:r>
          </w:p>
        </w:tc>
        <w:tc>
          <w:tcPr>
            <w:tcW w:w="3068" w:type="dxa"/>
            <w:vAlign w:val="center"/>
          </w:tcPr>
          <w:p w14:paraId="1B277C2C" w14:textId="6F7781CF" w:rsidR="620FE543" w:rsidRDefault="620FE543" w:rsidP="620FE543">
            <w:pPr>
              <w:jc w:val="center"/>
              <w:rPr>
                <w:b/>
                <w:bCs/>
                <w:sz w:val="20"/>
                <w:szCs w:val="20"/>
              </w:rPr>
            </w:pPr>
            <w:r w:rsidRPr="620FE543">
              <w:rPr>
                <w:b/>
                <w:bCs/>
                <w:sz w:val="20"/>
                <w:szCs w:val="20"/>
              </w:rPr>
              <w:t>Expectativa</w:t>
            </w:r>
          </w:p>
        </w:tc>
      </w:tr>
      <w:tr w:rsidR="620FE543" w14:paraId="4B2FD757" w14:textId="77777777" w:rsidTr="620FE543">
        <w:trPr>
          <w:trHeight w:val="300"/>
        </w:trPr>
        <w:tc>
          <w:tcPr>
            <w:tcW w:w="2130" w:type="dxa"/>
            <w:vAlign w:val="center"/>
          </w:tcPr>
          <w:p w14:paraId="15D939E2" w14:textId="3BA162C1" w:rsidR="620FE543" w:rsidRDefault="620FE543" w:rsidP="620FE543">
            <w:pPr>
              <w:rPr>
                <w:sz w:val="20"/>
                <w:szCs w:val="20"/>
              </w:rPr>
            </w:pPr>
            <w:r w:rsidRPr="620FE543">
              <w:rPr>
                <w:sz w:val="20"/>
                <w:szCs w:val="20"/>
              </w:rPr>
              <w:t>PTAR Turbo</w:t>
            </w:r>
          </w:p>
        </w:tc>
        <w:tc>
          <w:tcPr>
            <w:tcW w:w="1474" w:type="dxa"/>
            <w:vAlign w:val="center"/>
          </w:tcPr>
          <w:p w14:paraId="6D31F016" w14:textId="67FE4EE8" w:rsidR="620FE543" w:rsidRDefault="620FE543" w:rsidP="620FE543">
            <w:pPr>
              <w:rPr>
                <w:sz w:val="20"/>
                <w:szCs w:val="20"/>
              </w:rPr>
            </w:pPr>
            <w:r w:rsidRPr="620FE543">
              <w:rPr>
                <w:sz w:val="20"/>
                <w:szCs w:val="20"/>
              </w:rPr>
              <w:t>Agua y saneamiento</w:t>
            </w:r>
          </w:p>
        </w:tc>
        <w:tc>
          <w:tcPr>
            <w:tcW w:w="2688" w:type="dxa"/>
            <w:vAlign w:val="center"/>
          </w:tcPr>
          <w:p w14:paraId="4C5379DA" w14:textId="3C52BE7A" w:rsidR="620FE543" w:rsidRDefault="620FE543" w:rsidP="620FE543">
            <w:pPr>
              <w:rPr>
                <w:sz w:val="20"/>
                <w:szCs w:val="20"/>
              </w:rPr>
            </w:pPr>
            <w:r w:rsidRPr="620FE543">
              <w:rPr>
                <w:sz w:val="20"/>
                <w:szCs w:val="20"/>
              </w:rPr>
              <w:t>Comunidad urbana, autoridades ambientales, MinVivienda</w:t>
            </w:r>
          </w:p>
        </w:tc>
        <w:tc>
          <w:tcPr>
            <w:tcW w:w="3068" w:type="dxa"/>
            <w:vAlign w:val="center"/>
          </w:tcPr>
          <w:p w14:paraId="67E8C131" w14:textId="4E0AC02D" w:rsidR="620FE543" w:rsidRDefault="620FE543" w:rsidP="620FE543">
            <w:pPr>
              <w:rPr>
                <w:sz w:val="20"/>
                <w:szCs w:val="20"/>
              </w:rPr>
            </w:pPr>
            <w:r w:rsidRPr="620FE543">
              <w:rPr>
                <w:sz w:val="20"/>
                <w:szCs w:val="20"/>
              </w:rPr>
              <w:t>Reducir contaminación y mejorar saneamiento básico</w:t>
            </w:r>
          </w:p>
        </w:tc>
      </w:tr>
      <w:tr w:rsidR="620FE543" w14:paraId="6BBD82C7" w14:textId="77777777" w:rsidTr="620FE543">
        <w:trPr>
          <w:trHeight w:val="300"/>
        </w:trPr>
        <w:tc>
          <w:tcPr>
            <w:tcW w:w="2130" w:type="dxa"/>
            <w:vAlign w:val="center"/>
          </w:tcPr>
          <w:p w14:paraId="249661B9" w14:textId="40BEDC2A" w:rsidR="620FE543" w:rsidRDefault="620FE543" w:rsidP="620FE543">
            <w:pPr>
              <w:rPr>
                <w:sz w:val="20"/>
                <w:szCs w:val="20"/>
              </w:rPr>
            </w:pPr>
            <w:r w:rsidRPr="620FE543">
              <w:rPr>
                <w:sz w:val="20"/>
                <w:szCs w:val="20"/>
              </w:rPr>
              <w:t>Alcantarillado Nueva Colonia (Obras por Impuestos)</w:t>
            </w:r>
          </w:p>
        </w:tc>
        <w:tc>
          <w:tcPr>
            <w:tcW w:w="1474" w:type="dxa"/>
            <w:vAlign w:val="center"/>
          </w:tcPr>
          <w:p w14:paraId="11C59D25" w14:textId="1A790C41" w:rsidR="620FE543" w:rsidRDefault="620FE543" w:rsidP="620FE543">
            <w:pPr>
              <w:rPr>
                <w:sz w:val="20"/>
                <w:szCs w:val="20"/>
              </w:rPr>
            </w:pPr>
            <w:r w:rsidRPr="620FE543">
              <w:rPr>
                <w:sz w:val="20"/>
                <w:szCs w:val="20"/>
              </w:rPr>
              <w:t>Agua y saneamiento</w:t>
            </w:r>
          </w:p>
        </w:tc>
        <w:tc>
          <w:tcPr>
            <w:tcW w:w="2688" w:type="dxa"/>
            <w:vAlign w:val="center"/>
          </w:tcPr>
          <w:p w14:paraId="5C2D777E" w14:textId="05A33B64" w:rsidR="620FE543" w:rsidRDefault="620FE543" w:rsidP="620FE543">
            <w:pPr>
              <w:rPr>
                <w:sz w:val="20"/>
                <w:szCs w:val="20"/>
              </w:rPr>
            </w:pPr>
            <w:r w:rsidRPr="620FE543">
              <w:rPr>
                <w:sz w:val="20"/>
                <w:szCs w:val="20"/>
              </w:rPr>
              <w:t>Comunidades periurbanas, sector privado aliado</w:t>
            </w:r>
          </w:p>
        </w:tc>
        <w:tc>
          <w:tcPr>
            <w:tcW w:w="3068" w:type="dxa"/>
            <w:vAlign w:val="center"/>
          </w:tcPr>
          <w:p w14:paraId="28A529D3" w14:textId="097AC10D" w:rsidR="620FE543" w:rsidRDefault="620FE543" w:rsidP="620FE543">
            <w:pPr>
              <w:rPr>
                <w:sz w:val="20"/>
                <w:szCs w:val="20"/>
              </w:rPr>
            </w:pPr>
            <w:r w:rsidRPr="620FE543">
              <w:rPr>
                <w:sz w:val="20"/>
                <w:szCs w:val="20"/>
              </w:rPr>
              <w:t>Cerrar brechas en saneamiento y mejorar salud pública</w:t>
            </w:r>
          </w:p>
        </w:tc>
      </w:tr>
      <w:tr w:rsidR="620FE543" w14:paraId="1443F308" w14:textId="77777777" w:rsidTr="620FE543">
        <w:trPr>
          <w:trHeight w:val="300"/>
        </w:trPr>
        <w:tc>
          <w:tcPr>
            <w:tcW w:w="2130" w:type="dxa"/>
            <w:vAlign w:val="center"/>
          </w:tcPr>
          <w:p w14:paraId="532F8436" w14:textId="7CE232E7" w:rsidR="620FE543" w:rsidRDefault="620FE543" w:rsidP="620FE543">
            <w:pPr>
              <w:rPr>
                <w:sz w:val="20"/>
                <w:szCs w:val="20"/>
              </w:rPr>
            </w:pPr>
            <w:r w:rsidRPr="620FE543">
              <w:rPr>
                <w:sz w:val="20"/>
                <w:szCs w:val="20"/>
              </w:rPr>
              <w:t>Proyecto SABLE (nuevas fuentes Río León)</w:t>
            </w:r>
          </w:p>
        </w:tc>
        <w:tc>
          <w:tcPr>
            <w:tcW w:w="1474" w:type="dxa"/>
            <w:vAlign w:val="center"/>
          </w:tcPr>
          <w:p w14:paraId="1235C84B" w14:textId="4531257D" w:rsidR="620FE543" w:rsidRDefault="620FE543" w:rsidP="620FE543">
            <w:pPr>
              <w:rPr>
                <w:sz w:val="20"/>
                <w:szCs w:val="20"/>
              </w:rPr>
            </w:pPr>
            <w:r w:rsidRPr="620FE543">
              <w:rPr>
                <w:sz w:val="20"/>
                <w:szCs w:val="20"/>
              </w:rPr>
              <w:t>Agua y saneamiento</w:t>
            </w:r>
          </w:p>
        </w:tc>
        <w:tc>
          <w:tcPr>
            <w:tcW w:w="2688" w:type="dxa"/>
            <w:vAlign w:val="center"/>
          </w:tcPr>
          <w:p w14:paraId="5969DCA4" w14:textId="3525DFBA" w:rsidR="620FE543" w:rsidRDefault="620FE543" w:rsidP="620FE543">
            <w:pPr>
              <w:rPr>
                <w:sz w:val="20"/>
                <w:szCs w:val="20"/>
              </w:rPr>
            </w:pPr>
            <w:r w:rsidRPr="620FE543">
              <w:rPr>
                <w:sz w:val="20"/>
                <w:szCs w:val="20"/>
              </w:rPr>
              <w:t>Usuarios de Turbo, Apartadó y Carepa</w:t>
            </w:r>
          </w:p>
        </w:tc>
        <w:tc>
          <w:tcPr>
            <w:tcW w:w="3068" w:type="dxa"/>
            <w:vAlign w:val="center"/>
          </w:tcPr>
          <w:p w14:paraId="1C460A72" w14:textId="037256EB" w:rsidR="620FE543" w:rsidRDefault="620FE543" w:rsidP="620FE543">
            <w:pPr>
              <w:rPr>
                <w:sz w:val="20"/>
                <w:szCs w:val="20"/>
              </w:rPr>
            </w:pPr>
            <w:r w:rsidRPr="620FE543">
              <w:rPr>
                <w:sz w:val="20"/>
                <w:szCs w:val="20"/>
              </w:rPr>
              <w:t>Garantizar abastecimiento de agua a largo plazo (243.000 usuarios)</w:t>
            </w:r>
          </w:p>
        </w:tc>
      </w:tr>
      <w:tr w:rsidR="620FE543" w14:paraId="77817262" w14:textId="77777777" w:rsidTr="620FE543">
        <w:trPr>
          <w:trHeight w:val="300"/>
        </w:trPr>
        <w:tc>
          <w:tcPr>
            <w:tcW w:w="2130" w:type="dxa"/>
            <w:vAlign w:val="center"/>
          </w:tcPr>
          <w:p w14:paraId="4521679A" w14:textId="67A32628" w:rsidR="620FE543" w:rsidRDefault="620FE543" w:rsidP="620FE543">
            <w:pPr>
              <w:rPr>
                <w:sz w:val="20"/>
                <w:szCs w:val="20"/>
              </w:rPr>
            </w:pPr>
            <w:r w:rsidRPr="620FE543">
              <w:rPr>
                <w:sz w:val="20"/>
                <w:szCs w:val="20"/>
              </w:rPr>
              <w:t>Soluciones de potabilización en escuelas rurales</w:t>
            </w:r>
          </w:p>
        </w:tc>
        <w:tc>
          <w:tcPr>
            <w:tcW w:w="1474" w:type="dxa"/>
            <w:vAlign w:val="center"/>
          </w:tcPr>
          <w:p w14:paraId="1453A007" w14:textId="4B8AFDD7" w:rsidR="620FE543" w:rsidRDefault="620FE543" w:rsidP="620FE543">
            <w:pPr>
              <w:rPr>
                <w:sz w:val="20"/>
                <w:szCs w:val="20"/>
              </w:rPr>
            </w:pPr>
            <w:r w:rsidRPr="620FE543">
              <w:rPr>
                <w:sz w:val="20"/>
                <w:szCs w:val="20"/>
              </w:rPr>
              <w:t>Agua / Social</w:t>
            </w:r>
          </w:p>
        </w:tc>
        <w:tc>
          <w:tcPr>
            <w:tcW w:w="2688" w:type="dxa"/>
            <w:vAlign w:val="center"/>
          </w:tcPr>
          <w:p w14:paraId="76B88769" w14:textId="5A5E2203" w:rsidR="620FE543" w:rsidRDefault="620FE543" w:rsidP="620FE543">
            <w:pPr>
              <w:rPr>
                <w:sz w:val="20"/>
                <w:szCs w:val="20"/>
              </w:rPr>
            </w:pPr>
            <w:r w:rsidRPr="620FE543">
              <w:rPr>
                <w:sz w:val="20"/>
                <w:szCs w:val="20"/>
              </w:rPr>
              <w:t>Estudiantes rurales</w:t>
            </w:r>
          </w:p>
        </w:tc>
        <w:tc>
          <w:tcPr>
            <w:tcW w:w="3068" w:type="dxa"/>
            <w:vAlign w:val="center"/>
          </w:tcPr>
          <w:p w14:paraId="278013E3" w14:textId="3F1BC2C0" w:rsidR="620FE543" w:rsidRDefault="620FE543" w:rsidP="620FE543">
            <w:pPr>
              <w:rPr>
                <w:sz w:val="20"/>
                <w:szCs w:val="20"/>
              </w:rPr>
            </w:pPr>
            <w:r w:rsidRPr="620FE543">
              <w:rPr>
                <w:sz w:val="20"/>
                <w:szCs w:val="20"/>
              </w:rPr>
              <w:t>Acceso a agua segura y permanencia escolar</w:t>
            </w:r>
          </w:p>
        </w:tc>
      </w:tr>
      <w:tr w:rsidR="620FE543" w14:paraId="7F8D07C9" w14:textId="77777777" w:rsidTr="620FE543">
        <w:trPr>
          <w:trHeight w:val="300"/>
        </w:trPr>
        <w:tc>
          <w:tcPr>
            <w:tcW w:w="2130" w:type="dxa"/>
            <w:vAlign w:val="center"/>
          </w:tcPr>
          <w:p w14:paraId="019B4D6E" w14:textId="39C410D9" w:rsidR="620FE543" w:rsidRDefault="620FE543" w:rsidP="620FE543">
            <w:pPr>
              <w:rPr>
                <w:sz w:val="20"/>
                <w:szCs w:val="20"/>
              </w:rPr>
            </w:pPr>
            <w:r w:rsidRPr="620FE543">
              <w:rPr>
                <w:sz w:val="20"/>
                <w:szCs w:val="20"/>
              </w:rPr>
              <w:lastRenderedPageBreak/>
              <w:t>Programa Agua para la Educación</w:t>
            </w:r>
          </w:p>
        </w:tc>
        <w:tc>
          <w:tcPr>
            <w:tcW w:w="1474" w:type="dxa"/>
            <w:vAlign w:val="center"/>
          </w:tcPr>
          <w:p w14:paraId="0C2600AD" w14:textId="0EFF43EE" w:rsidR="620FE543" w:rsidRDefault="620FE543" w:rsidP="620FE543">
            <w:pPr>
              <w:rPr>
                <w:sz w:val="20"/>
                <w:szCs w:val="20"/>
              </w:rPr>
            </w:pPr>
            <w:r w:rsidRPr="620FE543">
              <w:rPr>
                <w:sz w:val="20"/>
                <w:szCs w:val="20"/>
              </w:rPr>
              <w:t>Social / Agua</w:t>
            </w:r>
          </w:p>
        </w:tc>
        <w:tc>
          <w:tcPr>
            <w:tcW w:w="2688" w:type="dxa"/>
            <w:vAlign w:val="center"/>
          </w:tcPr>
          <w:p w14:paraId="11D35D7C" w14:textId="59704CBB" w:rsidR="620FE543" w:rsidRDefault="620FE543" w:rsidP="620FE543">
            <w:pPr>
              <w:rPr>
                <w:sz w:val="20"/>
                <w:szCs w:val="20"/>
              </w:rPr>
            </w:pPr>
            <w:r w:rsidRPr="620FE543">
              <w:rPr>
                <w:sz w:val="20"/>
                <w:szCs w:val="20"/>
              </w:rPr>
              <w:t>Comunidad educativa rural</w:t>
            </w:r>
          </w:p>
        </w:tc>
        <w:tc>
          <w:tcPr>
            <w:tcW w:w="3068" w:type="dxa"/>
            <w:vAlign w:val="center"/>
          </w:tcPr>
          <w:p w14:paraId="2E34C9CE" w14:textId="3FE84E0D" w:rsidR="620FE543" w:rsidRDefault="620FE543" w:rsidP="620FE543">
            <w:pPr>
              <w:rPr>
                <w:sz w:val="20"/>
                <w:szCs w:val="20"/>
              </w:rPr>
            </w:pPr>
            <w:r w:rsidRPr="620FE543">
              <w:rPr>
                <w:sz w:val="20"/>
                <w:szCs w:val="20"/>
              </w:rPr>
              <w:t>Cultura del agua y fortalecimiento comunitario</w:t>
            </w:r>
          </w:p>
        </w:tc>
      </w:tr>
      <w:tr w:rsidR="620FE543" w14:paraId="335608AB" w14:textId="77777777" w:rsidTr="620FE543">
        <w:trPr>
          <w:trHeight w:val="300"/>
        </w:trPr>
        <w:tc>
          <w:tcPr>
            <w:tcW w:w="2130" w:type="dxa"/>
            <w:vAlign w:val="center"/>
          </w:tcPr>
          <w:p w14:paraId="17D18919" w14:textId="01069289" w:rsidR="620FE543" w:rsidRDefault="620FE543" w:rsidP="620FE543">
            <w:pPr>
              <w:rPr>
                <w:sz w:val="20"/>
                <w:szCs w:val="20"/>
              </w:rPr>
            </w:pPr>
            <w:r w:rsidRPr="620FE543">
              <w:rPr>
                <w:sz w:val="20"/>
                <w:szCs w:val="20"/>
              </w:rPr>
              <w:t>Alianza protección hídrica (multiactor)</w:t>
            </w:r>
          </w:p>
        </w:tc>
        <w:tc>
          <w:tcPr>
            <w:tcW w:w="1474" w:type="dxa"/>
            <w:vAlign w:val="center"/>
          </w:tcPr>
          <w:p w14:paraId="35174C67" w14:textId="73C88FE8" w:rsidR="620FE543" w:rsidRDefault="620FE543" w:rsidP="620FE543">
            <w:pPr>
              <w:rPr>
                <w:sz w:val="20"/>
                <w:szCs w:val="20"/>
              </w:rPr>
            </w:pPr>
            <w:r w:rsidRPr="620FE543">
              <w:rPr>
                <w:sz w:val="20"/>
                <w:szCs w:val="20"/>
              </w:rPr>
              <w:t>Ambiental / Institucional</w:t>
            </w:r>
          </w:p>
        </w:tc>
        <w:tc>
          <w:tcPr>
            <w:tcW w:w="2688" w:type="dxa"/>
            <w:vAlign w:val="center"/>
          </w:tcPr>
          <w:p w14:paraId="29351374" w14:textId="7832983A" w:rsidR="620FE543" w:rsidRDefault="620FE543" w:rsidP="620FE543">
            <w:pPr>
              <w:rPr>
                <w:sz w:val="20"/>
                <w:szCs w:val="20"/>
              </w:rPr>
            </w:pPr>
            <w:r w:rsidRPr="620FE543">
              <w:rPr>
                <w:sz w:val="20"/>
                <w:szCs w:val="20"/>
              </w:rPr>
              <w:t>Empresas, Estado, ONG, comunidades</w:t>
            </w:r>
          </w:p>
        </w:tc>
        <w:tc>
          <w:tcPr>
            <w:tcW w:w="3068" w:type="dxa"/>
            <w:vAlign w:val="center"/>
          </w:tcPr>
          <w:p w14:paraId="67F2BAB9" w14:textId="3933254F" w:rsidR="620FE543" w:rsidRDefault="620FE543" w:rsidP="620FE543">
            <w:pPr>
              <w:rPr>
                <w:sz w:val="20"/>
                <w:szCs w:val="20"/>
              </w:rPr>
            </w:pPr>
            <w:r w:rsidRPr="620FE543">
              <w:rPr>
                <w:sz w:val="20"/>
                <w:szCs w:val="20"/>
              </w:rPr>
              <w:t>Protección de cuencas y sostenibilidad del recurso hídrico</w:t>
            </w:r>
          </w:p>
        </w:tc>
      </w:tr>
      <w:tr w:rsidR="620FE543" w14:paraId="25F8A36E" w14:textId="77777777" w:rsidTr="620FE543">
        <w:trPr>
          <w:trHeight w:val="300"/>
        </w:trPr>
        <w:tc>
          <w:tcPr>
            <w:tcW w:w="2130" w:type="dxa"/>
            <w:vAlign w:val="center"/>
          </w:tcPr>
          <w:p w14:paraId="20735988" w14:textId="03206BB1" w:rsidR="620FE543" w:rsidRDefault="620FE543" w:rsidP="620FE543">
            <w:pPr>
              <w:rPr>
                <w:sz w:val="20"/>
                <w:szCs w:val="20"/>
              </w:rPr>
            </w:pPr>
            <w:r w:rsidRPr="620FE543">
              <w:rPr>
                <w:sz w:val="20"/>
                <w:szCs w:val="20"/>
              </w:rPr>
              <w:t>Subestación Arboletes (ampliación)</w:t>
            </w:r>
          </w:p>
        </w:tc>
        <w:tc>
          <w:tcPr>
            <w:tcW w:w="1474" w:type="dxa"/>
            <w:vAlign w:val="center"/>
          </w:tcPr>
          <w:p w14:paraId="0B77A533" w14:textId="4D1EB5A1" w:rsidR="620FE543" w:rsidRDefault="620FE543" w:rsidP="620FE543">
            <w:pPr>
              <w:rPr>
                <w:sz w:val="20"/>
                <w:szCs w:val="20"/>
              </w:rPr>
            </w:pPr>
            <w:r w:rsidRPr="620FE543">
              <w:rPr>
                <w:sz w:val="20"/>
                <w:szCs w:val="20"/>
              </w:rPr>
              <w:t>Energía</w:t>
            </w:r>
          </w:p>
        </w:tc>
        <w:tc>
          <w:tcPr>
            <w:tcW w:w="2688" w:type="dxa"/>
            <w:vAlign w:val="center"/>
          </w:tcPr>
          <w:p w14:paraId="73C977A6" w14:textId="7CD1162A" w:rsidR="620FE543" w:rsidRDefault="620FE543" w:rsidP="620FE543">
            <w:pPr>
              <w:rPr>
                <w:sz w:val="20"/>
                <w:szCs w:val="20"/>
              </w:rPr>
            </w:pPr>
            <w:r w:rsidRPr="620FE543">
              <w:rPr>
                <w:sz w:val="20"/>
                <w:szCs w:val="20"/>
              </w:rPr>
              <w:t>Comunidades rurales y urbanas</w:t>
            </w:r>
          </w:p>
        </w:tc>
        <w:tc>
          <w:tcPr>
            <w:tcW w:w="3068" w:type="dxa"/>
            <w:vAlign w:val="center"/>
          </w:tcPr>
          <w:p w14:paraId="1F00449E" w14:textId="0E454AD3" w:rsidR="620FE543" w:rsidRDefault="620FE543" w:rsidP="620FE543">
            <w:pPr>
              <w:rPr>
                <w:sz w:val="20"/>
                <w:szCs w:val="20"/>
              </w:rPr>
            </w:pPr>
            <w:r w:rsidRPr="620FE543">
              <w:rPr>
                <w:sz w:val="20"/>
                <w:szCs w:val="20"/>
              </w:rPr>
              <w:t>Mejorar calidad y cobertura del servicio</w:t>
            </w:r>
          </w:p>
        </w:tc>
      </w:tr>
      <w:tr w:rsidR="620FE543" w14:paraId="51C4C3C1" w14:textId="77777777" w:rsidTr="620FE543">
        <w:trPr>
          <w:trHeight w:val="300"/>
        </w:trPr>
        <w:tc>
          <w:tcPr>
            <w:tcW w:w="2130" w:type="dxa"/>
            <w:vAlign w:val="center"/>
          </w:tcPr>
          <w:p w14:paraId="680133A9" w14:textId="1A1436CC" w:rsidR="620FE543" w:rsidRDefault="620FE543" w:rsidP="620FE543">
            <w:pPr>
              <w:rPr>
                <w:sz w:val="20"/>
                <w:szCs w:val="20"/>
              </w:rPr>
            </w:pPr>
            <w:r w:rsidRPr="620FE543">
              <w:rPr>
                <w:sz w:val="20"/>
                <w:szCs w:val="20"/>
              </w:rPr>
              <w:t>Subestación Carepa (normalización y expansión)</w:t>
            </w:r>
          </w:p>
        </w:tc>
        <w:tc>
          <w:tcPr>
            <w:tcW w:w="1474" w:type="dxa"/>
            <w:vAlign w:val="center"/>
          </w:tcPr>
          <w:p w14:paraId="67018B16" w14:textId="1BB09C8D" w:rsidR="620FE543" w:rsidRDefault="620FE543" w:rsidP="620FE543">
            <w:pPr>
              <w:rPr>
                <w:sz w:val="20"/>
                <w:szCs w:val="20"/>
              </w:rPr>
            </w:pPr>
            <w:r w:rsidRPr="620FE543">
              <w:rPr>
                <w:sz w:val="20"/>
                <w:szCs w:val="20"/>
              </w:rPr>
              <w:t>Energía</w:t>
            </w:r>
          </w:p>
        </w:tc>
        <w:tc>
          <w:tcPr>
            <w:tcW w:w="2688" w:type="dxa"/>
            <w:vAlign w:val="center"/>
          </w:tcPr>
          <w:p w14:paraId="48D55765" w14:textId="3A99C2F2" w:rsidR="620FE543" w:rsidRDefault="620FE543" w:rsidP="620FE543">
            <w:pPr>
              <w:rPr>
                <w:sz w:val="20"/>
                <w:szCs w:val="20"/>
              </w:rPr>
            </w:pPr>
            <w:r w:rsidRPr="620FE543">
              <w:rPr>
                <w:sz w:val="20"/>
                <w:szCs w:val="20"/>
              </w:rPr>
              <w:t>Usuarios urbanos y rurales</w:t>
            </w:r>
          </w:p>
        </w:tc>
        <w:tc>
          <w:tcPr>
            <w:tcW w:w="3068" w:type="dxa"/>
            <w:vAlign w:val="center"/>
          </w:tcPr>
          <w:p w14:paraId="6627E15D" w14:textId="6E6455C1" w:rsidR="620FE543" w:rsidRDefault="620FE543" w:rsidP="620FE543">
            <w:pPr>
              <w:rPr>
                <w:sz w:val="20"/>
                <w:szCs w:val="20"/>
              </w:rPr>
            </w:pPr>
            <w:r w:rsidRPr="620FE543">
              <w:rPr>
                <w:sz w:val="20"/>
                <w:szCs w:val="20"/>
              </w:rPr>
              <w:t>Aumentar capacidad y confiabilidad energética</w:t>
            </w:r>
          </w:p>
        </w:tc>
      </w:tr>
      <w:tr w:rsidR="620FE543" w14:paraId="48F03EBE" w14:textId="77777777" w:rsidTr="620FE543">
        <w:trPr>
          <w:trHeight w:val="300"/>
        </w:trPr>
        <w:tc>
          <w:tcPr>
            <w:tcW w:w="2130" w:type="dxa"/>
            <w:vAlign w:val="center"/>
          </w:tcPr>
          <w:p w14:paraId="0FEEC4A2" w14:textId="05E6B86E" w:rsidR="620FE543" w:rsidRDefault="620FE543" w:rsidP="620FE543">
            <w:pPr>
              <w:rPr>
                <w:sz w:val="20"/>
                <w:szCs w:val="20"/>
              </w:rPr>
            </w:pPr>
            <w:r w:rsidRPr="620FE543">
              <w:rPr>
                <w:sz w:val="20"/>
                <w:szCs w:val="20"/>
              </w:rPr>
              <w:t>Subestación Urabá (ampliación regional)</w:t>
            </w:r>
          </w:p>
        </w:tc>
        <w:tc>
          <w:tcPr>
            <w:tcW w:w="1474" w:type="dxa"/>
            <w:vAlign w:val="center"/>
          </w:tcPr>
          <w:p w14:paraId="6BBA6200" w14:textId="6760E2C0" w:rsidR="620FE543" w:rsidRDefault="620FE543" w:rsidP="620FE543">
            <w:pPr>
              <w:rPr>
                <w:sz w:val="20"/>
                <w:szCs w:val="20"/>
              </w:rPr>
            </w:pPr>
            <w:r w:rsidRPr="620FE543">
              <w:rPr>
                <w:sz w:val="20"/>
                <w:szCs w:val="20"/>
              </w:rPr>
              <w:t>Energía</w:t>
            </w:r>
          </w:p>
        </w:tc>
        <w:tc>
          <w:tcPr>
            <w:tcW w:w="2688" w:type="dxa"/>
            <w:vAlign w:val="center"/>
          </w:tcPr>
          <w:p w14:paraId="5C54C873" w14:textId="7BF01428" w:rsidR="620FE543" w:rsidRDefault="620FE543" w:rsidP="620FE543">
            <w:pPr>
              <w:rPr>
                <w:sz w:val="20"/>
                <w:szCs w:val="20"/>
              </w:rPr>
            </w:pPr>
            <w:r w:rsidRPr="620FE543">
              <w:rPr>
                <w:sz w:val="20"/>
                <w:szCs w:val="20"/>
              </w:rPr>
              <w:t>Región completa (industria y hogares)</w:t>
            </w:r>
          </w:p>
        </w:tc>
        <w:tc>
          <w:tcPr>
            <w:tcW w:w="3068" w:type="dxa"/>
            <w:vAlign w:val="center"/>
          </w:tcPr>
          <w:p w14:paraId="27C3220F" w14:textId="2AC21D61" w:rsidR="620FE543" w:rsidRDefault="620FE543" w:rsidP="620FE543">
            <w:pPr>
              <w:rPr>
                <w:sz w:val="20"/>
                <w:szCs w:val="20"/>
              </w:rPr>
            </w:pPr>
            <w:r w:rsidRPr="620FE543">
              <w:rPr>
                <w:sz w:val="20"/>
                <w:szCs w:val="20"/>
              </w:rPr>
              <w:t>Soportar crecimiento poblacional y económico</w:t>
            </w:r>
          </w:p>
        </w:tc>
      </w:tr>
      <w:tr w:rsidR="620FE543" w14:paraId="4A986FA9" w14:textId="77777777" w:rsidTr="620FE543">
        <w:trPr>
          <w:trHeight w:val="300"/>
        </w:trPr>
        <w:tc>
          <w:tcPr>
            <w:tcW w:w="2130" w:type="dxa"/>
            <w:vAlign w:val="center"/>
          </w:tcPr>
          <w:p w14:paraId="41ABCC22" w14:textId="33DE2006" w:rsidR="620FE543" w:rsidRDefault="620FE543" w:rsidP="620FE543">
            <w:pPr>
              <w:rPr>
                <w:sz w:val="20"/>
                <w:szCs w:val="20"/>
              </w:rPr>
            </w:pPr>
            <w:r w:rsidRPr="620FE543">
              <w:rPr>
                <w:sz w:val="20"/>
                <w:szCs w:val="20"/>
              </w:rPr>
              <w:t>Otras subestaciones y líneas (Zungo, conexiones)</w:t>
            </w:r>
          </w:p>
        </w:tc>
        <w:tc>
          <w:tcPr>
            <w:tcW w:w="1474" w:type="dxa"/>
            <w:vAlign w:val="center"/>
          </w:tcPr>
          <w:p w14:paraId="5382AFD4" w14:textId="45505F22" w:rsidR="620FE543" w:rsidRDefault="620FE543" w:rsidP="620FE543">
            <w:pPr>
              <w:rPr>
                <w:sz w:val="20"/>
                <w:szCs w:val="20"/>
              </w:rPr>
            </w:pPr>
            <w:r w:rsidRPr="620FE543">
              <w:rPr>
                <w:sz w:val="20"/>
                <w:szCs w:val="20"/>
              </w:rPr>
              <w:t>Energía</w:t>
            </w:r>
          </w:p>
        </w:tc>
        <w:tc>
          <w:tcPr>
            <w:tcW w:w="2688" w:type="dxa"/>
            <w:vAlign w:val="center"/>
          </w:tcPr>
          <w:p w14:paraId="34E507F2" w14:textId="7B77CA9C" w:rsidR="620FE543" w:rsidRDefault="620FE543" w:rsidP="620FE543">
            <w:pPr>
              <w:rPr>
                <w:sz w:val="20"/>
                <w:szCs w:val="20"/>
              </w:rPr>
            </w:pPr>
            <w:r w:rsidRPr="620FE543">
              <w:rPr>
                <w:sz w:val="20"/>
                <w:szCs w:val="20"/>
              </w:rPr>
              <w:t>Sistema regional, sector productivo</w:t>
            </w:r>
          </w:p>
        </w:tc>
        <w:tc>
          <w:tcPr>
            <w:tcW w:w="3068" w:type="dxa"/>
            <w:vAlign w:val="center"/>
          </w:tcPr>
          <w:p w14:paraId="7D834E85" w14:textId="7B991F1F" w:rsidR="620FE543" w:rsidRDefault="620FE543" w:rsidP="620FE543">
            <w:pPr>
              <w:rPr>
                <w:sz w:val="20"/>
                <w:szCs w:val="20"/>
              </w:rPr>
            </w:pPr>
            <w:r w:rsidRPr="620FE543">
              <w:rPr>
                <w:sz w:val="20"/>
                <w:szCs w:val="20"/>
              </w:rPr>
              <w:t>Fortalecer red eléctrica ante expansión portuaria</w:t>
            </w:r>
          </w:p>
        </w:tc>
      </w:tr>
      <w:tr w:rsidR="620FE543" w14:paraId="4D50DC97" w14:textId="77777777" w:rsidTr="620FE543">
        <w:trPr>
          <w:trHeight w:val="300"/>
        </w:trPr>
        <w:tc>
          <w:tcPr>
            <w:tcW w:w="2130" w:type="dxa"/>
            <w:vAlign w:val="center"/>
          </w:tcPr>
          <w:p w14:paraId="681DC3DC" w14:textId="7C740E6B" w:rsidR="620FE543" w:rsidRDefault="620FE543" w:rsidP="620FE543">
            <w:pPr>
              <w:rPr>
                <w:sz w:val="20"/>
                <w:szCs w:val="20"/>
              </w:rPr>
            </w:pPr>
            <w:r w:rsidRPr="620FE543">
              <w:rPr>
                <w:sz w:val="20"/>
                <w:szCs w:val="20"/>
              </w:rPr>
              <w:t>Gasificación rural (Zungo, Nueva Colonia)</w:t>
            </w:r>
          </w:p>
        </w:tc>
        <w:tc>
          <w:tcPr>
            <w:tcW w:w="1474" w:type="dxa"/>
            <w:vAlign w:val="center"/>
          </w:tcPr>
          <w:p w14:paraId="0D40029E" w14:textId="49177D13" w:rsidR="620FE543" w:rsidRDefault="620FE543" w:rsidP="620FE543">
            <w:pPr>
              <w:rPr>
                <w:sz w:val="20"/>
                <w:szCs w:val="20"/>
              </w:rPr>
            </w:pPr>
            <w:r w:rsidRPr="620FE543">
              <w:rPr>
                <w:sz w:val="20"/>
                <w:szCs w:val="20"/>
              </w:rPr>
              <w:t>Gas</w:t>
            </w:r>
          </w:p>
        </w:tc>
        <w:tc>
          <w:tcPr>
            <w:tcW w:w="2688" w:type="dxa"/>
            <w:vAlign w:val="center"/>
          </w:tcPr>
          <w:p w14:paraId="573E4320" w14:textId="3421C153" w:rsidR="620FE543" w:rsidRDefault="620FE543" w:rsidP="620FE543">
            <w:pPr>
              <w:rPr>
                <w:sz w:val="20"/>
                <w:szCs w:val="20"/>
              </w:rPr>
            </w:pPr>
            <w:r w:rsidRPr="620FE543">
              <w:rPr>
                <w:sz w:val="20"/>
                <w:szCs w:val="20"/>
              </w:rPr>
              <w:t>Comunidades rurales y alianzas público-privadas</w:t>
            </w:r>
          </w:p>
        </w:tc>
        <w:tc>
          <w:tcPr>
            <w:tcW w:w="3068" w:type="dxa"/>
            <w:vAlign w:val="center"/>
          </w:tcPr>
          <w:p w14:paraId="6C9C9CFC" w14:textId="795882BE" w:rsidR="620FE543" w:rsidRDefault="620FE543" w:rsidP="620FE543">
            <w:pPr>
              <w:rPr>
                <w:sz w:val="20"/>
                <w:szCs w:val="20"/>
              </w:rPr>
            </w:pPr>
            <w:r w:rsidRPr="620FE543">
              <w:rPr>
                <w:sz w:val="20"/>
                <w:szCs w:val="20"/>
              </w:rPr>
              <w:t>Inclusión energética con energías más limpias</w:t>
            </w:r>
          </w:p>
        </w:tc>
      </w:tr>
      <w:tr w:rsidR="620FE543" w14:paraId="2940F1D1" w14:textId="77777777" w:rsidTr="620FE543">
        <w:trPr>
          <w:trHeight w:val="300"/>
        </w:trPr>
        <w:tc>
          <w:tcPr>
            <w:tcW w:w="2130" w:type="dxa"/>
            <w:vAlign w:val="center"/>
          </w:tcPr>
          <w:p w14:paraId="35752B90" w14:textId="495148FA" w:rsidR="620FE543" w:rsidRDefault="620FE543" w:rsidP="620FE543">
            <w:pPr>
              <w:rPr>
                <w:sz w:val="20"/>
                <w:szCs w:val="20"/>
              </w:rPr>
            </w:pPr>
            <w:r w:rsidRPr="620FE543">
              <w:rPr>
                <w:sz w:val="20"/>
                <w:szCs w:val="20"/>
              </w:rPr>
              <w:t>Gas para industria (alianzas con Unibán y otros)</w:t>
            </w:r>
          </w:p>
        </w:tc>
        <w:tc>
          <w:tcPr>
            <w:tcW w:w="1474" w:type="dxa"/>
            <w:vAlign w:val="center"/>
          </w:tcPr>
          <w:p w14:paraId="353E1736" w14:textId="3F39BEC6" w:rsidR="620FE543" w:rsidRDefault="620FE543" w:rsidP="620FE543">
            <w:pPr>
              <w:rPr>
                <w:sz w:val="20"/>
                <w:szCs w:val="20"/>
              </w:rPr>
            </w:pPr>
            <w:r w:rsidRPr="620FE543">
              <w:rPr>
                <w:sz w:val="20"/>
                <w:szCs w:val="20"/>
              </w:rPr>
              <w:t>Gas</w:t>
            </w:r>
          </w:p>
        </w:tc>
        <w:tc>
          <w:tcPr>
            <w:tcW w:w="2688" w:type="dxa"/>
            <w:vAlign w:val="center"/>
          </w:tcPr>
          <w:p w14:paraId="7866CAA7" w14:textId="0933B829" w:rsidR="620FE543" w:rsidRDefault="620FE543" w:rsidP="620FE543">
            <w:pPr>
              <w:rPr>
                <w:sz w:val="20"/>
                <w:szCs w:val="20"/>
              </w:rPr>
            </w:pPr>
            <w:r w:rsidRPr="620FE543">
              <w:rPr>
                <w:sz w:val="20"/>
                <w:szCs w:val="20"/>
              </w:rPr>
              <w:t>Sector agroindustrial</w:t>
            </w:r>
          </w:p>
        </w:tc>
        <w:tc>
          <w:tcPr>
            <w:tcW w:w="3068" w:type="dxa"/>
            <w:vAlign w:val="center"/>
          </w:tcPr>
          <w:p w14:paraId="577DB772" w14:textId="5F129F6C" w:rsidR="620FE543" w:rsidRDefault="620FE543" w:rsidP="620FE543">
            <w:pPr>
              <w:rPr>
                <w:sz w:val="20"/>
                <w:szCs w:val="20"/>
              </w:rPr>
            </w:pPr>
            <w:r w:rsidRPr="620FE543">
              <w:rPr>
                <w:sz w:val="20"/>
                <w:szCs w:val="20"/>
              </w:rPr>
              <w:t>Competitividad productiva</w:t>
            </w:r>
          </w:p>
        </w:tc>
      </w:tr>
      <w:tr w:rsidR="620FE543" w14:paraId="552AA9F6" w14:textId="77777777" w:rsidTr="620FE543">
        <w:trPr>
          <w:trHeight w:val="300"/>
        </w:trPr>
        <w:tc>
          <w:tcPr>
            <w:tcW w:w="2130" w:type="dxa"/>
            <w:vAlign w:val="center"/>
          </w:tcPr>
          <w:p w14:paraId="02C09D63" w14:textId="51EDFAA2" w:rsidR="620FE543" w:rsidRDefault="620FE543" w:rsidP="620FE543">
            <w:pPr>
              <w:rPr>
                <w:sz w:val="20"/>
                <w:szCs w:val="20"/>
              </w:rPr>
            </w:pPr>
            <w:r w:rsidRPr="620FE543">
              <w:rPr>
                <w:sz w:val="20"/>
                <w:szCs w:val="20"/>
              </w:rPr>
              <w:t>Movilidad sostenible (fase de estructuración MIT)</w:t>
            </w:r>
          </w:p>
        </w:tc>
        <w:tc>
          <w:tcPr>
            <w:tcW w:w="1474" w:type="dxa"/>
            <w:vAlign w:val="center"/>
          </w:tcPr>
          <w:p w14:paraId="0A8952E3" w14:textId="72D98A6B" w:rsidR="620FE543" w:rsidRDefault="620FE543" w:rsidP="620FE543">
            <w:pPr>
              <w:rPr>
                <w:sz w:val="20"/>
                <w:szCs w:val="20"/>
              </w:rPr>
            </w:pPr>
            <w:r w:rsidRPr="620FE543">
              <w:rPr>
                <w:sz w:val="20"/>
                <w:szCs w:val="20"/>
              </w:rPr>
              <w:t>Energía / Transporte</w:t>
            </w:r>
          </w:p>
        </w:tc>
        <w:tc>
          <w:tcPr>
            <w:tcW w:w="2688" w:type="dxa"/>
            <w:vAlign w:val="center"/>
          </w:tcPr>
          <w:p w14:paraId="424264D4" w14:textId="4E945EB4" w:rsidR="620FE543" w:rsidRDefault="620FE543" w:rsidP="620FE543">
            <w:pPr>
              <w:rPr>
                <w:sz w:val="20"/>
                <w:szCs w:val="20"/>
              </w:rPr>
            </w:pPr>
            <w:r w:rsidRPr="620FE543">
              <w:rPr>
                <w:sz w:val="20"/>
                <w:szCs w:val="20"/>
              </w:rPr>
              <w:t>Región en general</w:t>
            </w:r>
          </w:p>
        </w:tc>
        <w:tc>
          <w:tcPr>
            <w:tcW w:w="3068" w:type="dxa"/>
            <w:vAlign w:val="center"/>
          </w:tcPr>
          <w:p w14:paraId="79ADF1FF" w14:textId="4C6B2A0D" w:rsidR="620FE543" w:rsidRDefault="620FE543" w:rsidP="620FE543">
            <w:pPr>
              <w:rPr>
                <w:sz w:val="20"/>
                <w:szCs w:val="20"/>
              </w:rPr>
            </w:pPr>
            <w:r w:rsidRPr="620FE543">
              <w:rPr>
                <w:sz w:val="20"/>
                <w:szCs w:val="20"/>
              </w:rPr>
              <w:t>Reducir impactos ambientales y mejorar conectividad</w:t>
            </w:r>
          </w:p>
        </w:tc>
      </w:tr>
      <w:tr w:rsidR="620FE543" w14:paraId="4834E53B" w14:textId="77777777" w:rsidTr="620FE543">
        <w:trPr>
          <w:trHeight w:val="300"/>
        </w:trPr>
        <w:tc>
          <w:tcPr>
            <w:tcW w:w="2130" w:type="dxa"/>
            <w:vAlign w:val="center"/>
          </w:tcPr>
          <w:p w14:paraId="6CEF4BA5" w14:textId="6D490915" w:rsidR="620FE543" w:rsidRDefault="620FE543" w:rsidP="620FE543">
            <w:pPr>
              <w:rPr>
                <w:sz w:val="20"/>
                <w:szCs w:val="20"/>
              </w:rPr>
            </w:pPr>
            <w:r w:rsidRPr="620FE543">
              <w:rPr>
                <w:sz w:val="20"/>
                <w:szCs w:val="20"/>
              </w:rPr>
              <w:t>Gobernanza del agua (alianzas y redes)</w:t>
            </w:r>
          </w:p>
        </w:tc>
        <w:tc>
          <w:tcPr>
            <w:tcW w:w="1474" w:type="dxa"/>
            <w:vAlign w:val="center"/>
          </w:tcPr>
          <w:p w14:paraId="2ED40859" w14:textId="7A24023B" w:rsidR="620FE543" w:rsidRDefault="620FE543" w:rsidP="620FE543">
            <w:pPr>
              <w:rPr>
                <w:sz w:val="20"/>
                <w:szCs w:val="20"/>
              </w:rPr>
            </w:pPr>
            <w:r w:rsidRPr="620FE543">
              <w:rPr>
                <w:sz w:val="20"/>
                <w:szCs w:val="20"/>
              </w:rPr>
              <w:t>Institucional</w:t>
            </w:r>
          </w:p>
        </w:tc>
        <w:tc>
          <w:tcPr>
            <w:tcW w:w="2688" w:type="dxa"/>
            <w:vAlign w:val="center"/>
          </w:tcPr>
          <w:p w14:paraId="1CB5DA46" w14:textId="67450CF1" w:rsidR="620FE543" w:rsidRDefault="620FE543" w:rsidP="620FE543">
            <w:pPr>
              <w:rPr>
                <w:sz w:val="20"/>
                <w:szCs w:val="20"/>
              </w:rPr>
            </w:pPr>
            <w:r w:rsidRPr="620FE543">
              <w:rPr>
                <w:sz w:val="20"/>
                <w:szCs w:val="20"/>
              </w:rPr>
              <w:t>Estado, empresas, comunidad</w:t>
            </w:r>
          </w:p>
        </w:tc>
        <w:tc>
          <w:tcPr>
            <w:tcW w:w="3068" w:type="dxa"/>
            <w:vAlign w:val="center"/>
          </w:tcPr>
          <w:p w14:paraId="13656A39" w14:textId="35FD5141" w:rsidR="620FE543" w:rsidRDefault="620FE543" w:rsidP="620FE543">
            <w:pPr>
              <w:rPr>
                <w:sz w:val="20"/>
                <w:szCs w:val="20"/>
              </w:rPr>
            </w:pPr>
            <w:r w:rsidRPr="620FE543">
              <w:rPr>
                <w:sz w:val="20"/>
                <w:szCs w:val="20"/>
              </w:rPr>
              <w:t>Articulación para gestión del recurso hídrico</w:t>
            </w:r>
          </w:p>
        </w:tc>
      </w:tr>
      <w:tr w:rsidR="620FE543" w14:paraId="498B87B3" w14:textId="77777777" w:rsidTr="620FE543">
        <w:trPr>
          <w:trHeight w:val="300"/>
        </w:trPr>
        <w:tc>
          <w:tcPr>
            <w:tcW w:w="2130" w:type="dxa"/>
            <w:vAlign w:val="center"/>
          </w:tcPr>
          <w:p w14:paraId="7B1774DC" w14:textId="196DD730" w:rsidR="620FE543" w:rsidRDefault="620FE543" w:rsidP="620FE543">
            <w:pPr>
              <w:rPr>
                <w:sz w:val="20"/>
                <w:szCs w:val="20"/>
              </w:rPr>
            </w:pPr>
            <w:r w:rsidRPr="620FE543">
              <w:rPr>
                <w:sz w:val="20"/>
                <w:szCs w:val="20"/>
              </w:rPr>
              <w:t>Articulación interinstitucional (MIT)</w:t>
            </w:r>
          </w:p>
        </w:tc>
        <w:tc>
          <w:tcPr>
            <w:tcW w:w="1474" w:type="dxa"/>
            <w:vAlign w:val="center"/>
          </w:tcPr>
          <w:p w14:paraId="783F0111" w14:textId="78C2BA49" w:rsidR="620FE543" w:rsidRDefault="620FE543" w:rsidP="620FE543">
            <w:pPr>
              <w:rPr>
                <w:sz w:val="20"/>
                <w:szCs w:val="20"/>
              </w:rPr>
            </w:pPr>
            <w:r w:rsidRPr="620FE543">
              <w:rPr>
                <w:sz w:val="20"/>
                <w:szCs w:val="20"/>
              </w:rPr>
              <w:t>Institucional</w:t>
            </w:r>
          </w:p>
        </w:tc>
        <w:tc>
          <w:tcPr>
            <w:tcW w:w="2688" w:type="dxa"/>
            <w:vAlign w:val="center"/>
          </w:tcPr>
          <w:p w14:paraId="1CB2E499" w14:textId="1FB0143D" w:rsidR="620FE543" w:rsidRDefault="620FE543" w:rsidP="620FE543">
            <w:pPr>
              <w:rPr>
                <w:sz w:val="20"/>
                <w:szCs w:val="20"/>
              </w:rPr>
            </w:pPr>
            <w:r w:rsidRPr="620FE543">
              <w:rPr>
                <w:sz w:val="20"/>
                <w:szCs w:val="20"/>
              </w:rPr>
              <w:t>Actores públicos y privados</w:t>
            </w:r>
          </w:p>
        </w:tc>
        <w:tc>
          <w:tcPr>
            <w:tcW w:w="3068" w:type="dxa"/>
            <w:vAlign w:val="center"/>
          </w:tcPr>
          <w:p w14:paraId="6CCB5022" w14:textId="52CC1750" w:rsidR="620FE543" w:rsidRDefault="620FE543" w:rsidP="620FE543">
            <w:pPr>
              <w:rPr>
                <w:sz w:val="20"/>
                <w:szCs w:val="20"/>
              </w:rPr>
            </w:pPr>
            <w:r w:rsidRPr="620FE543">
              <w:rPr>
                <w:sz w:val="20"/>
                <w:szCs w:val="20"/>
              </w:rPr>
              <w:t>Coordinación territorial y desarrollo regional</w:t>
            </w:r>
          </w:p>
        </w:tc>
      </w:tr>
      <w:tr w:rsidR="620FE543" w14:paraId="0503FC0C" w14:textId="77777777" w:rsidTr="620FE543">
        <w:trPr>
          <w:trHeight w:val="300"/>
        </w:trPr>
        <w:tc>
          <w:tcPr>
            <w:tcW w:w="2130" w:type="dxa"/>
            <w:vAlign w:val="center"/>
          </w:tcPr>
          <w:p w14:paraId="281C0FA5" w14:textId="7FE504B0" w:rsidR="620FE543" w:rsidRDefault="620FE543" w:rsidP="620FE543">
            <w:pPr>
              <w:rPr>
                <w:sz w:val="20"/>
                <w:szCs w:val="20"/>
              </w:rPr>
            </w:pPr>
            <w:r w:rsidRPr="620FE543">
              <w:rPr>
                <w:sz w:val="20"/>
                <w:szCs w:val="20"/>
              </w:rPr>
              <w:t>Educación y procesos culturales</w:t>
            </w:r>
          </w:p>
        </w:tc>
        <w:tc>
          <w:tcPr>
            <w:tcW w:w="1474" w:type="dxa"/>
            <w:vAlign w:val="center"/>
          </w:tcPr>
          <w:p w14:paraId="09EB31DE" w14:textId="60E72CE9" w:rsidR="620FE543" w:rsidRDefault="620FE543" w:rsidP="620FE543">
            <w:pPr>
              <w:rPr>
                <w:sz w:val="20"/>
                <w:szCs w:val="20"/>
              </w:rPr>
            </w:pPr>
            <w:r w:rsidRPr="620FE543">
              <w:rPr>
                <w:sz w:val="20"/>
                <w:szCs w:val="20"/>
              </w:rPr>
              <w:t>Social</w:t>
            </w:r>
          </w:p>
        </w:tc>
        <w:tc>
          <w:tcPr>
            <w:tcW w:w="2688" w:type="dxa"/>
            <w:vAlign w:val="center"/>
          </w:tcPr>
          <w:p w14:paraId="3F892F62" w14:textId="7E66A2B9" w:rsidR="620FE543" w:rsidRDefault="620FE543" w:rsidP="620FE543">
            <w:pPr>
              <w:rPr>
                <w:sz w:val="20"/>
                <w:szCs w:val="20"/>
              </w:rPr>
            </w:pPr>
            <w:r w:rsidRPr="620FE543">
              <w:rPr>
                <w:sz w:val="20"/>
                <w:szCs w:val="20"/>
              </w:rPr>
              <w:t>Comunidad en general</w:t>
            </w:r>
          </w:p>
        </w:tc>
        <w:tc>
          <w:tcPr>
            <w:tcW w:w="3068" w:type="dxa"/>
            <w:vAlign w:val="center"/>
          </w:tcPr>
          <w:p w14:paraId="368B686B" w14:textId="6C1C5821" w:rsidR="620FE543" w:rsidRDefault="620FE543" w:rsidP="620FE543">
            <w:pPr>
              <w:rPr>
                <w:sz w:val="20"/>
                <w:szCs w:val="20"/>
              </w:rPr>
            </w:pPr>
            <w:r w:rsidRPr="620FE543">
              <w:rPr>
                <w:sz w:val="20"/>
                <w:szCs w:val="20"/>
              </w:rPr>
              <w:t>Apropiación del territorio y uso responsable de servicios</w:t>
            </w:r>
          </w:p>
        </w:tc>
      </w:tr>
      <w:tr w:rsidR="620FE543" w14:paraId="09F2B99F" w14:textId="77777777" w:rsidTr="620FE543">
        <w:trPr>
          <w:trHeight w:val="300"/>
        </w:trPr>
        <w:tc>
          <w:tcPr>
            <w:tcW w:w="2130" w:type="dxa"/>
            <w:vAlign w:val="center"/>
          </w:tcPr>
          <w:p w14:paraId="756A2344" w14:textId="7BA4CCC3" w:rsidR="620FE543" w:rsidRDefault="620FE543" w:rsidP="620FE543">
            <w:pPr>
              <w:rPr>
                <w:sz w:val="20"/>
                <w:szCs w:val="20"/>
              </w:rPr>
            </w:pPr>
            <w:r w:rsidRPr="620FE543">
              <w:rPr>
                <w:sz w:val="20"/>
                <w:szCs w:val="20"/>
              </w:rPr>
              <w:t>Fortalecimiento comunitario</w:t>
            </w:r>
          </w:p>
        </w:tc>
        <w:tc>
          <w:tcPr>
            <w:tcW w:w="1474" w:type="dxa"/>
            <w:vAlign w:val="center"/>
          </w:tcPr>
          <w:p w14:paraId="759EA25F" w14:textId="274FA761" w:rsidR="620FE543" w:rsidRDefault="620FE543" w:rsidP="620FE543">
            <w:pPr>
              <w:rPr>
                <w:sz w:val="20"/>
                <w:szCs w:val="20"/>
              </w:rPr>
            </w:pPr>
            <w:r w:rsidRPr="620FE543">
              <w:rPr>
                <w:sz w:val="20"/>
                <w:szCs w:val="20"/>
              </w:rPr>
              <w:t>Social</w:t>
            </w:r>
          </w:p>
        </w:tc>
        <w:tc>
          <w:tcPr>
            <w:tcW w:w="2688" w:type="dxa"/>
            <w:vAlign w:val="center"/>
          </w:tcPr>
          <w:p w14:paraId="3899D24A" w14:textId="277F7736" w:rsidR="620FE543" w:rsidRDefault="620FE543" w:rsidP="620FE543">
            <w:pPr>
              <w:rPr>
                <w:sz w:val="20"/>
                <w:szCs w:val="20"/>
              </w:rPr>
            </w:pPr>
            <w:r w:rsidRPr="620FE543">
              <w:rPr>
                <w:sz w:val="20"/>
                <w:szCs w:val="20"/>
              </w:rPr>
              <w:t>Organizaciones sociales</w:t>
            </w:r>
          </w:p>
        </w:tc>
        <w:tc>
          <w:tcPr>
            <w:tcW w:w="3068" w:type="dxa"/>
            <w:vAlign w:val="center"/>
          </w:tcPr>
          <w:p w14:paraId="4B694453" w14:textId="534D3CC7" w:rsidR="620FE543" w:rsidRDefault="620FE543" w:rsidP="620FE543">
            <w:pPr>
              <w:rPr>
                <w:sz w:val="20"/>
                <w:szCs w:val="20"/>
              </w:rPr>
            </w:pPr>
            <w:r w:rsidRPr="620FE543">
              <w:rPr>
                <w:sz w:val="20"/>
                <w:szCs w:val="20"/>
              </w:rPr>
              <w:t>Participación y control social</w:t>
            </w:r>
          </w:p>
        </w:tc>
      </w:tr>
      <w:tr w:rsidR="620FE543" w14:paraId="254FB047" w14:textId="77777777" w:rsidTr="620FE543">
        <w:trPr>
          <w:trHeight w:val="300"/>
        </w:trPr>
        <w:tc>
          <w:tcPr>
            <w:tcW w:w="2130" w:type="dxa"/>
            <w:vAlign w:val="center"/>
          </w:tcPr>
          <w:p w14:paraId="676E0A4C" w14:textId="47406C88" w:rsidR="620FE543" w:rsidRDefault="620FE543" w:rsidP="620FE543">
            <w:pPr>
              <w:rPr>
                <w:sz w:val="20"/>
                <w:szCs w:val="20"/>
              </w:rPr>
            </w:pPr>
            <w:r w:rsidRPr="620FE543">
              <w:rPr>
                <w:sz w:val="20"/>
                <w:szCs w:val="20"/>
              </w:rPr>
              <w:t>Apalancamiento socioeconómico</w:t>
            </w:r>
          </w:p>
        </w:tc>
        <w:tc>
          <w:tcPr>
            <w:tcW w:w="1474" w:type="dxa"/>
            <w:vAlign w:val="center"/>
          </w:tcPr>
          <w:p w14:paraId="1F9F4CB5" w14:textId="60112F1E" w:rsidR="620FE543" w:rsidRDefault="620FE543" w:rsidP="620FE543">
            <w:pPr>
              <w:rPr>
                <w:sz w:val="20"/>
                <w:szCs w:val="20"/>
              </w:rPr>
            </w:pPr>
            <w:r w:rsidRPr="620FE543">
              <w:rPr>
                <w:sz w:val="20"/>
                <w:szCs w:val="20"/>
              </w:rPr>
              <w:t>Económico</w:t>
            </w:r>
          </w:p>
        </w:tc>
        <w:tc>
          <w:tcPr>
            <w:tcW w:w="2688" w:type="dxa"/>
            <w:vAlign w:val="center"/>
          </w:tcPr>
          <w:p w14:paraId="7DF45CBE" w14:textId="733D2FD7" w:rsidR="620FE543" w:rsidRDefault="620FE543" w:rsidP="620FE543">
            <w:pPr>
              <w:rPr>
                <w:sz w:val="20"/>
                <w:szCs w:val="20"/>
              </w:rPr>
            </w:pPr>
            <w:r w:rsidRPr="620FE543">
              <w:rPr>
                <w:sz w:val="20"/>
                <w:szCs w:val="20"/>
              </w:rPr>
              <w:t>Sector productivo y comunidades</w:t>
            </w:r>
          </w:p>
        </w:tc>
        <w:tc>
          <w:tcPr>
            <w:tcW w:w="3068" w:type="dxa"/>
            <w:vAlign w:val="center"/>
          </w:tcPr>
          <w:p w14:paraId="671218B5" w14:textId="256F2907" w:rsidR="620FE543" w:rsidRDefault="620FE543" w:rsidP="620FE543">
            <w:pPr>
              <w:rPr>
                <w:sz w:val="20"/>
                <w:szCs w:val="20"/>
              </w:rPr>
            </w:pPr>
            <w:r w:rsidRPr="620FE543">
              <w:rPr>
                <w:sz w:val="20"/>
                <w:szCs w:val="20"/>
              </w:rPr>
              <w:t>Desarrollo económico regional</w:t>
            </w:r>
          </w:p>
        </w:tc>
      </w:tr>
    </w:tbl>
    <w:p w14:paraId="0B07CC62" w14:textId="66D68741" w:rsidR="747E825E" w:rsidRDefault="747E825E"/>
    <w:p w14:paraId="14A0886B" w14:textId="79022FEC" w:rsidR="747E825E" w:rsidRDefault="747E825E"/>
    <w:bookmarkStart w:id="7" w:name="_Toc223587472" w:displacedByCustomXml="next"/>
    <w:sdt>
      <w:sdtPr>
        <w:rPr>
          <w:rFonts w:asciiTheme="minorHAnsi" w:hAnsiTheme="minorHAnsi"/>
          <w:b w:val="0"/>
          <w:bCs w:val="0"/>
          <w:color w:val="auto"/>
          <w:sz w:val="24"/>
          <w:szCs w:val="24"/>
          <w:lang w:val="es-ES"/>
        </w:rPr>
        <w:id w:val="978645946"/>
        <w:docPartObj>
          <w:docPartGallery w:val="Bibliographies"/>
          <w:docPartUnique/>
        </w:docPartObj>
      </w:sdtPr>
      <w:sdtEndPr>
        <w:rPr>
          <w:lang w:val="es-CO"/>
        </w:rPr>
      </w:sdtEndPr>
      <w:sdtContent>
        <w:p w14:paraId="30CAB21E" w14:textId="69487E83" w:rsidR="002162FF" w:rsidRDefault="002162FF">
          <w:pPr>
            <w:pStyle w:val="Ttulo1"/>
          </w:pPr>
          <w:r>
            <w:rPr>
              <w:lang w:val="es-ES"/>
            </w:rPr>
            <w:t>Bibliografía</w:t>
          </w:r>
          <w:bookmarkEnd w:id="7"/>
        </w:p>
        <w:sdt>
          <w:sdtPr>
            <w:id w:val="111145805"/>
            <w:bibliography/>
          </w:sdtPr>
          <w:sdtContent>
            <w:p w14:paraId="0731E9CE" w14:textId="77777777" w:rsidR="00482949" w:rsidRDefault="002162FF" w:rsidP="00482949">
              <w:pPr>
                <w:pStyle w:val="Bibliografa"/>
                <w:ind w:left="720" w:hanging="720"/>
                <w:rPr>
                  <w:noProof/>
                  <w:kern w:val="0"/>
                  <w:lang w:val="es-ES"/>
                  <w14:ligatures w14:val="none"/>
                </w:rPr>
              </w:pPr>
              <w:r>
                <w:fldChar w:fldCharType="begin"/>
              </w:r>
              <w:r>
                <w:instrText>BIBLIOGRAPHY</w:instrText>
              </w:r>
              <w:r>
                <w:fldChar w:fldCharType="separate"/>
              </w:r>
              <w:r w:rsidR="00482949">
                <w:rPr>
                  <w:noProof/>
                  <w:lang w:val="es-ES"/>
                </w:rPr>
                <w:t xml:space="preserve">Londoño, Jorge. (2019). </w:t>
              </w:r>
              <w:r w:rsidR="00482949">
                <w:rPr>
                  <w:i/>
                  <w:iCs/>
                  <w:noProof/>
                  <w:lang w:val="es-ES"/>
                </w:rPr>
                <w:t>ACTA DE INFORME DE GESTIÓN.</w:t>
              </w:r>
              <w:r w:rsidR="00482949">
                <w:rPr>
                  <w:noProof/>
                  <w:lang w:val="es-ES"/>
                </w:rPr>
                <w:t xml:space="preserve"> Medellin: Grupo EPM.</w:t>
              </w:r>
            </w:p>
            <w:p w14:paraId="20E329E7" w14:textId="77777777" w:rsidR="00482949" w:rsidRDefault="00482949" w:rsidP="00482949">
              <w:pPr>
                <w:pStyle w:val="Bibliografa"/>
                <w:ind w:left="720" w:hanging="720"/>
                <w:rPr>
                  <w:noProof/>
                  <w:lang w:val="es-ES"/>
                </w:rPr>
              </w:pPr>
              <w:r>
                <w:rPr>
                  <w:noProof/>
                  <w:lang w:val="es-ES"/>
                </w:rPr>
                <w:t xml:space="preserve">Mejía Betancur, L. (2026). </w:t>
              </w:r>
              <w:r>
                <w:rPr>
                  <w:i/>
                  <w:iCs/>
                  <w:noProof/>
                  <w:lang w:val="es-ES"/>
                </w:rPr>
                <w:t>El desarrollo de Urabá: un reto integrado e integral para EPM</w:t>
              </w:r>
              <w:r>
                <w:rPr>
                  <w:noProof/>
                  <w:lang w:val="es-ES"/>
                </w:rPr>
                <w:t>. Obtenido de Epm.com.co: https://www.epm.com.co/institucional/linkedin/el-desarrollo-de-uraba-un-reto-integrado-e-integral-para-epm/</w:t>
              </w:r>
            </w:p>
            <w:p w14:paraId="6B1FFED7" w14:textId="21850043" w:rsidR="002162FF" w:rsidRDefault="002162FF" w:rsidP="00482949">
              <w:r>
                <w:rPr>
                  <w:b/>
                  <w:bCs/>
                </w:rPr>
                <w:fldChar w:fldCharType="end"/>
              </w:r>
            </w:p>
          </w:sdtContent>
        </w:sdt>
      </w:sdtContent>
    </w:sdt>
    <w:p w14:paraId="0C1A6E70" w14:textId="0F287F37" w:rsidR="002162FF" w:rsidRPr="00482949" w:rsidRDefault="6F03A210" w:rsidP="171B1BF8">
      <w:pPr>
        <w:ind w:left="720" w:hanging="720"/>
        <w:jc w:val="both"/>
      </w:pPr>
      <w:r w:rsidRPr="00482949">
        <w:rPr>
          <w:rFonts w:eastAsia="Times New Roman" w:cs="Times New Roman"/>
          <w:color w:val="000000" w:themeColor="text1"/>
        </w:rPr>
        <w:t xml:space="preserve">Álvarez Giraldo, E. E. (2021). </w:t>
      </w:r>
      <w:r w:rsidRPr="00482949">
        <w:rPr>
          <w:rFonts w:eastAsia="Times New Roman" w:cs="Times New Roman"/>
          <w:i/>
          <w:iCs/>
          <w:color w:val="000000" w:themeColor="text1"/>
        </w:rPr>
        <w:t>Urabá, de la "pacificación" al encuentro con la "paz territorial"</w:t>
      </w:r>
      <w:r w:rsidRPr="00482949">
        <w:rPr>
          <w:rFonts w:eastAsia="Times New Roman" w:cs="Times New Roman"/>
          <w:color w:val="000000" w:themeColor="text1"/>
        </w:rPr>
        <w:t>. [Tesis de maestría, Universidad de Antioquia].</w:t>
      </w:r>
      <w:hyperlink r:id="rId19">
        <w:r w:rsidRPr="00482949">
          <w:rPr>
            <w:rStyle w:val="Hipervnculo"/>
            <w:rFonts w:eastAsia="Times New Roman" w:cs="Times New Roman"/>
            <w:color w:val="000000" w:themeColor="text1"/>
            <w:u w:val="none"/>
          </w:rPr>
          <w:t xml:space="preserve"> </w:t>
        </w:r>
        <w:r w:rsidRPr="00482949">
          <w:rPr>
            <w:rStyle w:val="Hipervnculo"/>
            <w:rFonts w:eastAsia="Times New Roman" w:cs="Times New Roman"/>
            <w:color w:val="1155CC"/>
            <w:u w:val="none"/>
          </w:rPr>
          <w:t>https://bibliotecadigital.udea.edu.co/handle/10495/28438</w:t>
        </w:r>
      </w:hyperlink>
    </w:p>
    <w:p w14:paraId="2B9AD1D7" w14:textId="029CC723" w:rsidR="002162FF" w:rsidRPr="00482949" w:rsidRDefault="002162FF" w:rsidP="002162FF"/>
    <w:p w14:paraId="6B97C329" w14:textId="3D7DF948" w:rsidR="002162FF" w:rsidRPr="00482949" w:rsidRDefault="37A8119D" w:rsidP="171B1BF8">
      <w:pPr>
        <w:ind w:left="720" w:hanging="720"/>
        <w:jc w:val="both"/>
      </w:pPr>
      <w:r w:rsidRPr="00482949">
        <w:rPr>
          <w:rFonts w:eastAsia="Times New Roman" w:cs="Times New Roman"/>
          <w:color w:val="000000" w:themeColor="text1"/>
        </w:rPr>
        <w:t>Pimienta Betancur, A., Aramburo Siegert, C. I., y Sepúlveda López, L. (2022). U</w:t>
      </w:r>
      <w:r w:rsidRPr="00482949">
        <w:rPr>
          <w:rFonts w:eastAsia="Times New Roman" w:cs="Times New Roman"/>
          <w:i/>
          <w:iCs/>
          <w:color w:val="000000" w:themeColor="text1"/>
        </w:rPr>
        <w:t xml:space="preserve">rabá: dinámicas territoriales: aportes para la orientación estratégica de la regionalización de la Universidad de Antioquia. </w:t>
      </w:r>
      <w:r w:rsidRPr="00482949">
        <w:rPr>
          <w:rFonts w:eastAsia="Times New Roman" w:cs="Times New Roman"/>
          <w:color w:val="000000" w:themeColor="text1"/>
        </w:rPr>
        <w:t xml:space="preserve">Universidad de Antioquia, Dirección de Regionalización / Instituto de Estudios Regionales / Fondo Editorial Biogénesis. </w:t>
      </w:r>
      <w:hyperlink r:id="rId20">
        <w:r w:rsidRPr="00482949">
          <w:rPr>
            <w:rStyle w:val="Hipervnculo"/>
            <w:rFonts w:eastAsia="Times New Roman" w:cs="Times New Roman"/>
            <w:color w:val="1155CC"/>
            <w:u w:val="none"/>
          </w:rPr>
          <w:t>https://hdl.handle.net/10495/33551</w:t>
        </w:r>
      </w:hyperlink>
    </w:p>
    <w:p w14:paraId="3D8A18D2" w14:textId="32F7CC9A" w:rsidR="002162FF" w:rsidRPr="00482949" w:rsidRDefault="002162FF" w:rsidP="002162FF"/>
    <w:p w14:paraId="06D26854" w14:textId="3AA43C47" w:rsidR="002162FF" w:rsidRPr="00482949" w:rsidRDefault="742DF1CB" w:rsidP="171B1BF8">
      <w:r w:rsidRPr="00482949">
        <w:rPr>
          <w:rFonts w:eastAsia="Times New Roman" w:cs="Times New Roman"/>
        </w:rPr>
        <w:t xml:space="preserve"> </w:t>
      </w:r>
      <w:r w:rsidR="1EDC299F" w:rsidRPr="00482949">
        <w:rPr>
          <w:rFonts w:eastAsia="Times New Roman" w:cs="Times New Roman"/>
        </w:rPr>
        <w:t xml:space="preserve">Rutas del Conflicto. (s. f.). </w:t>
      </w:r>
      <w:r w:rsidR="1EDC299F" w:rsidRPr="00482949">
        <w:rPr>
          <w:rFonts w:eastAsia="Times New Roman" w:cs="Times New Roman"/>
          <w:i/>
          <w:iCs/>
        </w:rPr>
        <w:t xml:space="preserve">Factores de persistencia en el Bajo Atrato-Darién y </w:t>
      </w:r>
      <w:r w:rsidR="4AD27034" w:rsidRPr="00482949">
        <w:rPr>
          <w:rFonts w:eastAsia="Times New Roman" w:cs="Times New Roman"/>
          <w:i/>
          <w:iCs/>
        </w:rPr>
        <w:t xml:space="preserve"> </w:t>
      </w:r>
      <w:r w:rsidR="1EDC299F" w:rsidRPr="00482949">
        <w:rPr>
          <w:rFonts w:eastAsia="Times New Roman" w:cs="Times New Roman"/>
          <w:i/>
          <w:iCs/>
        </w:rPr>
        <w:t xml:space="preserve">Urabá. </w:t>
      </w:r>
      <w:r w:rsidR="2C6D6AFB" w:rsidRPr="00482949">
        <w:rPr>
          <w:rFonts w:eastAsia="Times New Roman" w:cs="Times New Roman"/>
          <w:color w:val="000000" w:themeColor="text1"/>
        </w:rPr>
        <w:t xml:space="preserve">Recuperado el 4 de marzo de 2026, de </w:t>
      </w:r>
      <w:r w:rsidR="1EDC299F" w:rsidRPr="00482949">
        <w:rPr>
          <w:rFonts w:eastAsia="Times New Roman" w:cs="Times New Roman"/>
        </w:rPr>
        <w:t xml:space="preserve"> </w:t>
      </w:r>
      <w:hyperlink r:id="rId21">
        <w:r w:rsidR="1EDC299F" w:rsidRPr="00482949">
          <w:rPr>
            <w:rStyle w:val="Hipervnculo"/>
          </w:rPr>
          <w:t>https://rutasdelconflicto.com/especiales/bajo-atrato-uraba/factores.html</w:t>
        </w:r>
      </w:hyperlink>
    </w:p>
    <w:p w14:paraId="2B460219" w14:textId="61D97696" w:rsidR="171B1BF8" w:rsidRPr="00482949" w:rsidRDefault="171B1BF8"/>
    <w:p w14:paraId="3CCA6291" w14:textId="296568CB" w:rsidR="29AB7E92" w:rsidRPr="00482949" w:rsidRDefault="29AB7E92" w:rsidP="171B1BF8">
      <w:pPr>
        <w:ind w:left="720" w:hanging="720"/>
        <w:jc w:val="both"/>
      </w:pPr>
      <w:r w:rsidRPr="00482949">
        <w:rPr>
          <w:rFonts w:eastAsia="Times New Roman" w:cs="Times New Roman"/>
          <w:color w:val="000000" w:themeColor="text1"/>
        </w:rPr>
        <w:t xml:space="preserve">Cámara de Comercio de Medellín para Antioquia. (2024, diciembre). </w:t>
      </w:r>
      <w:r w:rsidRPr="00482949">
        <w:rPr>
          <w:rFonts w:eastAsia="Times New Roman" w:cs="Times New Roman"/>
          <w:i/>
          <w:iCs/>
          <w:color w:val="000000" w:themeColor="text1"/>
        </w:rPr>
        <w:t>Perfil socioeconómico de la subregión Urabá</w:t>
      </w:r>
      <w:r w:rsidRPr="00482949">
        <w:rPr>
          <w:rFonts w:eastAsia="Times New Roman" w:cs="Times New Roman"/>
          <w:color w:val="000000" w:themeColor="text1"/>
        </w:rPr>
        <w:t xml:space="preserve">. Cámara de Comercio de Medellín para Antioquia. </w:t>
      </w:r>
      <w:hyperlink r:id="rId22">
        <w:r w:rsidRPr="00482949">
          <w:rPr>
            <w:rStyle w:val="Hipervnculo"/>
            <w:rFonts w:eastAsia="Times New Roman" w:cs="Times New Roman"/>
            <w:color w:val="1155CC"/>
            <w:u w:val="none"/>
          </w:rPr>
          <w:t>https://www.camaramedellin.com.co</w:t>
        </w:r>
      </w:hyperlink>
    </w:p>
    <w:p w14:paraId="159D0C1A" w14:textId="3D9D8A9B" w:rsidR="0A7E7334" w:rsidRPr="00482949" w:rsidRDefault="0A7E7334" w:rsidP="171B1BF8">
      <w:pPr>
        <w:rPr>
          <w:rFonts w:eastAsia="Times New Roman" w:cs="Times New Roman"/>
        </w:rPr>
      </w:pPr>
      <w:r w:rsidRPr="00482949">
        <w:rPr>
          <w:rFonts w:eastAsia="Times New Roman" w:cs="Times New Roman"/>
        </w:rPr>
        <w:t xml:space="preserve">Banco Interamericano de Desarrollo (BID). (s. f.). </w:t>
      </w:r>
      <w:r w:rsidRPr="00482949">
        <w:rPr>
          <w:rFonts w:eastAsia="Times New Roman" w:cs="Times New Roman"/>
          <w:i/>
          <w:iCs/>
        </w:rPr>
        <w:t>Puerto de Antioquia / Puerto de Urabá.</w:t>
      </w:r>
      <w:r w:rsidRPr="00482949">
        <w:rPr>
          <w:rFonts w:eastAsia="Times New Roman" w:cs="Times New Roman"/>
        </w:rPr>
        <w:t xml:space="preserve"> </w:t>
      </w:r>
      <w:hyperlink r:id="rId23">
        <w:r w:rsidRPr="00482949">
          <w:rPr>
            <w:rStyle w:val="Hipervnculo"/>
            <w:rFonts w:eastAsia="Times New Roman" w:cs="Times New Roman"/>
          </w:rPr>
          <w:t>https://idbinvest.org/es/projects/puerto-de-antioquia-puerto-de-uraba</w:t>
        </w:r>
      </w:hyperlink>
    </w:p>
    <w:p w14:paraId="262DC1B8" w14:textId="5EBACE69" w:rsidR="171B1BF8" w:rsidRPr="00482949" w:rsidRDefault="171B1BF8" w:rsidP="171B1BF8">
      <w:pPr>
        <w:rPr>
          <w:rFonts w:eastAsia="Times New Roman" w:cs="Times New Roman"/>
        </w:rPr>
      </w:pPr>
    </w:p>
    <w:p w14:paraId="7E7D9964" w14:textId="7FEA1727" w:rsidR="53FB7AC2" w:rsidRPr="00482949" w:rsidRDefault="53FB7AC2" w:rsidP="171B1BF8">
      <w:pPr>
        <w:rPr>
          <w:rFonts w:eastAsia="Times New Roman" w:cs="Times New Roman"/>
        </w:rPr>
      </w:pPr>
      <w:r w:rsidRPr="00482949">
        <w:rPr>
          <w:rFonts w:eastAsia="Times New Roman" w:cs="Times New Roman"/>
        </w:rPr>
        <w:t xml:space="preserve">ILSA Colombia. (2025, septiembre). </w:t>
      </w:r>
      <w:r w:rsidRPr="00482949">
        <w:rPr>
          <w:rFonts w:eastAsia="Times New Roman" w:cs="Times New Roman"/>
          <w:i/>
          <w:iCs/>
        </w:rPr>
        <w:t>Puerto Antioquia y consulta previa con comunidades afro</w:t>
      </w:r>
      <w:r w:rsidRPr="00482949">
        <w:rPr>
          <w:rFonts w:eastAsia="Times New Roman" w:cs="Times New Roman"/>
        </w:rPr>
        <w:t xml:space="preserve">. </w:t>
      </w:r>
      <w:hyperlink r:id="rId24">
        <w:r w:rsidRPr="00482949">
          <w:rPr>
            <w:rStyle w:val="Hipervnculo"/>
            <w:rFonts w:eastAsia="Times New Roman" w:cs="Times New Roman"/>
          </w:rPr>
          <w:t>https://ilsa.org.co/2025/09/puerto-antioquia-consulta-previa-comunidades-afro/</w:t>
        </w:r>
      </w:hyperlink>
    </w:p>
    <w:p w14:paraId="05961935" w14:textId="253465FE" w:rsidR="4E942376" w:rsidRDefault="4E942376" w:rsidP="4E942376">
      <w:pPr>
        <w:rPr>
          <w:rFonts w:eastAsia="Times New Roman" w:cs="Times New Roman"/>
        </w:rPr>
      </w:pPr>
    </w:p>
    <w:p w14:paraId="1F7F8315" w14:textId="653A975B" w:rsidR="4DA4A2F1" w:rsidRDefault="4DA4A2F1" w:rsidP="4E942376">
      <w:pPr>
        <w:ind w:left="720" w:hanging="720"/>
        <w:jc w:val="both"/>
        <w:rPr>
          <w:rFonts w:eastAsiaTheme="minorEastAsia"/>
        </w:rPr>
      </w:pPr>
      <w:r w:rsidRPr="4E942376">
        <w:rPr>
          <w:rFonts w:eastAsiaTheme="minorEastAsia"/>
          <w:color w:val="000000" w:themeColor="text1"/>
        </w:rPr>
        <w:t xml:space="preserve">Corpourabá, Cordupaz y Grupo E3. (2017). </w:t>
      </w:r>
      <w:r w:rsidRPr="4E942376">
        <w:rPr>
          <w:rFonts w:eastAsiaTheme="minorEastAsia"/>
          <w:i/>
          <w:iCs/>
          <w:color w:val="000000" w:themeColor="text1"/>
        </w:rPr>
        <w:t>Plan Clima y Paz 2040</w:t>
      </w:r>
      <w:r w:rsidRPr="4E942376">
        <w:rPr>
          <w:rFonts w:eastAsiaTheme="minorEastAsia"/>
          <w:color w:val="000000" w:themeColor="text1"/>
        </w:rPr>
        <w:t>.</w:t>
      </w:r>
      <w:hyperlink r:id="rId25">
        <w:r w:rsidRPr="4E942376">
          <w:rPr>
            <w:rStyle w:val="Hipervnculo"/>
            <w:rFonts w:eastAsiaTheme="minorEastAsia"/>
            <w:color w:val="000000" w:themeColor="text1"/>
            <w:u w:val="none"/>
          </w:rPr>
          <w:t xml:space="preserve"> </w:t>
        </w:r>
        <w:r w:rsidRPr="4E942376">
          <w:rPr>
            <w:rStyle w:val="Hipervnculo"/>
            <w:rFonts w:eastAsiaTheme="minorEastAsia"/>
            <w:color w:val="1155CC"/>
            <w:u w:val="none"/>
          </w:rPr>
          <w:t>https://corpouraba.gov.co/plan-clima-y-paz-2040/</w:t>
        </w:r>
      </w:hyperlink>
    </w:p>
    <w:p w14:paraId="74EB60DA" w14:textId="7EB37A7D" w:rsidR="002162FF" w:rsidRPr="00482949" w:rsidRDefault="002162FF" w:rsidP="64E76239"/>
    <w:p w14:paraId="67747405" w14:textId="0E7BA50B" w:rsidR="1070033B" w:rsidRDefault="1070033B" w:rsidP="4E942376">
      <w:pPr>
        <w:rPr>
          <w:rFonts w:eastAsiaTheme="minorEastAsia"/>
        </w:rPr>
      </w:pPr>
      <w:r w:rsidRPr="4E942376">
        <w:rPr>
          <w:rFonts w:eastAsiaTheme="minorEastAsia"/>
        </w:rPr>
        <w:t xml:space="preserve">Empresas Públicas de Medellín. (2023, septiembre 15). EPM, </w:t>
      </w:r>
      <w:r w:rsidRPr="4E942376">
        <w:rPr>
          <w:rFonts w:eastAsiaTheme="minorEastAsia"/>
          <w:i/>
          <w:iCs/>
        </w:rPr>
        <w:t>Aguas Regionales y Corpourabá, de la mano con la comunidad indígena para la protección hídrica en Apartadó.</w:t>
      </w:r>
      <w:r w:rsidRPr="4E942376">
        <w:rPr>
          <w:rFonts w:eastAsia="Times New Roman" w:cs="Times New Roman"/>
          <w:i/>
          <w:iCs/>
          <w:color w:val="000000" w:themeColor="text1"/>
        </w:rPr>
        <w:t xml:space="preserve"> </w:t>
      </w:r>
      <w:r w:rsidRPr="4E942376">
        <w:rPr>
          <w:rFonts w:eastAsia="Times New Roman" w:cs="Times New Roman"/>
          <w:color w:val="000000" w:themeColor="text1"/>
        </w:rPr>
        <w:t xml:space="preserve">Recuperado el 4 de marzo de 2026, de </w:t>
      </w:r>
      <w:r w:rsidRPr="4E942376">
        <w:rPr>
          <w:rFonts w:eastAsiaTheme="minorEastAsia"/>
        </w:rPr>
        <w:t xml:space="preserve"> </w:t>
      </w:r>
      <w:hyperlink r:id="rId26">
        <w:r w:rsidRPr="4E942376">
          <w:rPr>
            <w:rStyle w:val="Hipervnculo"/>
            <w:rFonts w:eastAsiaTheme="minorEastAsia"/>
          </w:rPr>
          <w:t>https://www.epm.com.co/institucional/sala-de-prensa/noticias-y-novedades/epm-aguas-regionales-y-corpouraba-de-la-mano-con-la-comunidad-indigena-para-la-proteccion-hidrica-en-apartado/</w:t>
        </w:r>
      </w:hyperlink>
    </w:p>
    <w:p w14:paraId="560A96B0" w14:textId="74835E8F" w:rsidR="4E942376" w:rsidRDefault="4E942376" w:rsidP="5377C0F9">
      <w:pPr>
        <w:rPr>
          <w:rFonts w:eastAsiaTheme="minorEastAsia"/>
        </w:rPr>
      </w:pPr>
    </w:p>
    <w:p w14:paraId="590CE1FF" w14:textId="2AA33DB7" w:rsidR="7D807AA3" w:rsidRDefault="7D807AA3" w:rsidP="5377C0F9">
      <w:pPr>
        <w:rPr>
          <w:rFonts w:ascii="Aptos" w:eastAsia="Aptos" w:hAnsi="Aptos" w:cs="Aptos"/>
        </w:rPr>
      </w:pPr>
      <w:r w:rsidRPr="46A5A31F">
        <w:rPr>
          <w:rFonts w:ascii="Aptos" w:eastAsia="Aptos" w:hAnsi="Aptos" w:cs="Aptos"/>
        </w:rPr>
        <w:t xml:space="preserve">Empresas Públicas de Medellín. (2019, julio 30). </w:t>
      </w:r>
      <w:r w:rsidRPr="46A5A31F">
        <w:rPr>
          <w:rFonts w:ascii="Aptos" w:eastAsia="Aptos" w:hAnsi="Aptos" w:cs="Aptos"/>
          <w:i/>
          <w:iCs/>
        </w:rPr>
        <w:t>Urabá, territorio priorizado para el Grupo EPM</w:t>
      </w:r>
      <w:r w:rsidRPr="46A5A31F">
        <w:rPr>
          <w:rFonts w:ascii="Aptos" w:eastAsia="Aptos" w:hAnsi="Aptos" w:cs="Aptos"/>
        </w:rPr>
        <w:t xml:space="preserve">. </w:t>
      </w:r>
      <w:r w:rsidRPr="46A5A31F">
        <w:rPr>
          <w:rFonts w:eastAsia="Times New Roman" w:cs="Times New Roman"/>
          <w:color w:val="000000" w:themeColor="text1"/>
        </w:rPr>
        <w:t>Recuperado el 4 de marzo de 2026, de</w:t>
      </w:r>
      <w:r w:rsidRPr="46A5A31F">
        <w:rPr>
          <w:rFonts w:ascii="Aptos" w:eastAsia="Aptos" w:hAnsi="Aptos" w:cs="Aptos"/>
        </w:rPr>
        <w:t xml:space="preserve"> </w:t>
      </w:r>
      <w:hyperlink r:id="rId27">
        <w:r w:rsidRPr="46A5A31F">
          <w:rPr>
            <w:rStyle w:val="Hipervnculo"/>
            <w:rFonts w:ascii="Aptos" w:eastAsia="Aptos" w:hAnsi="Aptos" w:cs="Aptos"/>
          </w:rPr>
          <w:t>https://www.epm.com.co/institucional/sala-de-prensa/noticias-y-novedades/uraba--territorio-priorizado-para-el-grupo-epm/</w:t>
        </w:r>
      </w:hyperlink>
    </w:p>
    <w:p w14:paraId="5DBD747E" w14:textId="7DAE9010" w:rsidR="5377C0F9" w:rsidRDefault="5377C0F9" w:rsidP="46A5A31F">
      <w:pPr>
        <w:rPr>
          <w:rFonts w:ascii="Aptos" w:eastAsia="Aptos" w:hAnsi="Aptos" w:cs="Aptos"/>
        </w:rPr>
      </w:pPr>
    </w:p>
    <w:p w14:paraId="3670A3C8" w14:textId="213AEDEE" w:rsidR="7D807AA3" w:rsidRDefault="7D807AA3" w:rsidP="46A5A31F">
      <w:pPr>
        <w:rPr>
          <w:rFonts w:ascii="Aptos" w:eastAsia="Aptos" w:hAnsi="Aptos" w:cs="Aptos"/>
        </w:rPr>
      </w:pPr>
      <w:r w:rsidRPr="296262DD">
        <w:rPr>
          <w:rFonts w:ascii="Aptos" w:eastAsia="Aptos" w:hAnsi="Aptos" w:cs="Aptos"/>
        </w:rPr>
        <w:t xml:space="preserve">Empresas Públicas de Medellín. (s. f.). </w:t>
      </w:r>
      <w:r w:rsidRPr="296262DD">
        <w:rPr>
          <w:rFonts w:ascii="Aptos" w:eastAsia="Aptos" w:hAnsi="Aptos" w:cs="Aptos"/>
          <w:i/>
          <w:iCs/>
        </w:rPr>
        <w:t>El desarrollo de Urabá: un reto integrado e integral para EPM</w:t>
      </w:r>
      <w:r w:rsidRPr="296262DD">
        <w:rPr>
          <w:rFonts w:ascii="Aptos" w:eastAsia="Aptos" w:hAnsi="Aptos" w:cs="Aptos"/>
        </w:rPr>
        <w:t xml:space="preserve">. </w:t>
      </w:r>
      <w:r w:rsidRPr="296262DD">
        <w:rPr>
          <w:rFonts w:eastAsia="Times New Roman" w:cs="Times New Roman"/>
          <w:color w:val="000000" w:themeColor="text1"/>
        </w:rPr>
        <w:t xml:space="preserve">Recuperado el 4 de marzo de 2026, de </w:t>
      </w:r>
      <w:r w:rsidRPr="296262DD">
        <w:rPr>
          <w:rFonts w:ascii="Aptos" w:eastAsia="Aptos" w:hAnsi="Aptos" w:cs="Aptos"/>
        </w:rPr>
        <w:t xml:space="preserve"> </w:t>
      </w:r>
      <w:hyperlink r:id="rId28">
        <w:r w:rsidRPr="296262DD">
          <w:rPr>
            <w:rStyle w:val="Hipervnculo"/>
            <w:rFonts w:ascii="Aptos" w:eastAsia="Aptos" w:hAnsi="Aptos" w:cs="Aptos"/>
          </w:rPr>
          <w:t>https://www.epm.com.co/institucional/linkedin/el-desarrollo-de-uraba-un-reto-integrado-e-integral-para-epm/</w:t>
        </w:r>
      </w:hyperlink>
    </w:p>
    <w:p w14:paraId="708135A6" w14:textId="5A8DE8CF" w:rsidR="296262DD" w:rsidRDefault="296262DD" w:rsidP="296262DD">
      <w:pPr>
        <w:rPr>
          <w:rFonts w:ascii="Aptos" w:eastAsia="Aptos" w:hAnsi="Aptos" w:cs="Aptos"/>
        </w:rPr>
      </w:pPr>
    </w:p>
    <w:p w14:paraId="250B6045" w14:textId="34661138" w:rsidR="002162FF" w:rsidRDefault="7D807AA3" w:rsidP="002162FF">
      <w:pPr>
        <w:rPr>
          <w:rFonts w:ascii="Aptos" w:eastAsia="Aptos" w:hAnsi="Aptos" w:cs="Aptos"/>
        </w:rPr>
      </w:pPr>
      <w:r w:rsidRPr="64E76239">
        <w:rPr>
          <w:rFonts w:ascii="Aptos" w:eastAsia="Aptos" w:hAnsi="Aptos" w:cs="Aptos"/>
        </w:rPr>
        <w:t xml:space="preserve">Empresas Públicas de Medellín. (2024, septiembre 18). </w:t>
      </w:r>
      <w:r w:rsidRPr="64E76239">
        <w:rPr>
          <w:rFonts w:ascii="Aptos" w:eastAsia="Aptos" w:hAnsi="Aptos" w:cs="Aptos"/>
          <w:i/>
          <w:iCs/>
        </w:rPr>
        <w:t>EPM suma acciones de protección ambiental en los territorios de Antioquia</w:t>
      </w:r>
      <w:r w:rsidRPr="64E76239">
        <w:rPr>
          <w:rFonts w:ascii="Aptos" w:eastAsia="Aptos" w:hAnsi="Aptos" w:cs="Aptos"/>
        </w:rPr>
        <w:t xml:space="preserve">. </w:t>
      </w:r>
      <w:r w:rsidRPr="64E76239">
        <w:rPr>
          <w:rFonts w:eastAsia="Times New Roman" w:cs="Times New Roman"/>
          <w:color w:val="000000" w:themeColor="text1"/>
        </w:rPr>
        <w:t xml:space="preserve">Recuperado el 4 de marzo de 2026, de </w:t>
      </w:r>
      <w:r w:rsidRPr="64E76239">
        <w:rPr>
          <w:rFonts w:ascii="Aptos" w:eastAsia="Aptos" w:hAnsi="Aptos" w:cs="Aptos"/>
        </w:rPr>
        <w:t xml:space="preserve"> </w:t>
      </w:r>
      <w:hyperlink r:id="rId29">
        <w:r w:rsidRPr="64E76239">
          <w:rPr>
            <w:rStyle w:val="Hipervnculo"/>
            <w:rFonts w:ascii="Aptos" w:eastAsia="Aptos" w:hAnsi="Aptos" w:cs="Aptos"/>
          </w:rPr>
          <w:t>https://www.epm.com.co/institucional/sala-de-prensa/noticias-y-novedades/epm-suma-acciones-de-proteccion-ambiental/</w:t>
        </w:r>
      </w:hyperlink>
    </w:p>
    <w:sectPr w:rsidR="002162FF" w:rsidSect="00B04CDC">
      <w:headerReference w:type="default" r:id="rId30"/>
      <w:footerReference w:type="even" r:id="rId31"/>
      <w:footerReference w:type="default" r:id="rId32"/>
      <w:type w:val="continuous"/>
      <w:pgSz w:w="12240" w:h="15840"/>
      <w:pgMar w:top="1440" w:right="1440" w:bottom="1682"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Manuela Ramirez Agudelo" w:date="2026-04-01T13:00:00Z" w:initials="MR">
    <w:p w14:paraId="0A431F75" w14:textId="77777777" w:rsidR="00CB4EE3" w:rsidRDefault="00CB4EE3" w:rsidP="00CB4EE3">
      <w:pPr>
        <w:pStyle w:val="Textocomentario"/>
      </w:pPr>
      <w:r>
        <w:rPr>
          <w:rStyle w:val="Refdecomentario"/>
        </w:rPr>
        <w:annotationRef/>
      </w:r>
      <w:r>
        <w:t xml:space="preserve">Describir que bajo el liderazgo de la presidencia de EPM se han conformado mesas temáticas facilitando la participación e incidencia de los interesados en cada tópico.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A431F7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9476AF9" w16cex:dateUtc="2026-04-01T18: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A431F75" w16cid:durableId="39476AF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2BC9D3" w14:textId="77777777" w:rsidR="009152D0" w:rsidRDefault="009152D0" w:rsidP="00E73971">
      <w:r>
        <w:separator/>
      </w:r>
    </w:p>
  </w:endnote>
  <w:endnote w:type="continuationSeparator" w:id="0">
    <w:p w14:paraId="0D98CD98" w14:textId="77777777" w:rsidR="009152D0" w:rsidRDefault="009152D0" w:rsidP="00E739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Black">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411439883"/>
      <w:docPartObj>
        <w:docPartGallery w:val="Page Numbers (Bottom of Page)"/>
        <w:docPartUnique/>
      </w:docPartObj>
    </w:sdtPr>
    <w:sdtContent>
      <w:p w14:paraId="39438CFE" w14:textId="5415B3AE" w:rsidR="00771570" w:rsidRDefault="00771570" w:rsidP="000060A0">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04E0A5C1" w14:textId="77777777" w:rsidR="00771570" w:rsidRDefault="00771570" w:rsidP="00771570">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F7B44" w14:textId="474F9AEE" w:rsidR="00E73971" w:rsidRDefault="00CA262A" w:rsidP="00771570">
    <w:pPr>
      <w:pStyle w:val="Piedepgina"/>
      <w:ind w:right="360"/>
    </w:pPr>
    <w:r>
      <w:rPr>
        <w:noProof/>
      </w:rPr>
      <w:drawing>
        <wp:anchor distT="0" distB="0" distL="114300" distR="114300" simplePos="0" relativeHeight="251658240" behindDoc="0" locked="0" layoutInCell="1" allowOverlap="1" wp14:anchorId="178E7F94" wp14:editId="37256B17">
          <wp:simplePos x="0" y="0"/>
          <wp:positionH relativeFrom="column">
            <wp:posOffset>1762760</wp:posOffset>
          </wp:positionH>
          <wp:positionV relativeFrom="paragraph">
            <wp:posOffset>-203835</wp:posOffset>
          </wp:positionV>
          <wp:extent cx="2337435" cy="603885"/>
          <wp:effectExtent l="0" t="0" r="0" b="0"/>
          <wp:wrapSquare wrapText="bothSides"/>
          <wp:docPr id="1652238554" name="Picture 2" descr="Imagen en blanco y negr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n en blanco y negro&#10;&#10;Descripción generada automáticamente con confianza media"/>
                  <pic:cNvPicPr>
                    <a:picLocks noChangeAspect="1" noChangeArrowheads="1"/>
                  </pic:cNvPicPr>
                </pic:nvPicPr>
                <pic:blipFill rotWithShape="1">
                  <a:blip r:embed="rId1">
                    <a:extLst>
                      <a:ext uri="{28A0092B-C50C-407E-A947-70E740481C1C}">
                        <a14:useLocalDpi xmlns:a14="http://schemas.microsoft.com/office/drawing/2010/main" val="0"/>
                      </a:ext>
                    </a:extLst>
                  </a:blip>
                  <a:srcRect l="21544" t="33271" r="11142" b="35817"/>
                  <a:stretch/>
                </pic:blipFill>
                <pic:spPr bwMode="auto">
                  <a:xfrm>
                    <a:off x="0" y="0"/>
                    <a:ext cx="2337435" cy="6038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73971">
      <w:t>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B0EDB4" w14:textId="77777777" w:rsidR="009152D0" w:rsidRDefault="009152D0" w:rsidP="00E73971">
      <w:r>
        <w:separator/>
      </w:r>
    </w:p>
  </w:footnote>
  <w:footnote w:type="continuationSeparator" w:id="0">
    <w:p w14:paraId="569A7DEF" w14:textId="77777777" w:rsidR="009152D0" w:rsidRDefault="009152D0" w:rsidP="00E739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722101327"/>
      <w:docPartObj>
        <w:docPartGallery w:val="Page Numbers (Bottom of Page)"/>
        <w:docPartUnique/>
      </w:docPartObj>
    </w:sdtPr>
    <w:sdtEndPr>
      <w:rPr>
        <w:rStyle w:val="Nmerodepgina"/>
        <w:b/>
        <w:bCs/>
        <w:sz w:val="28"/>
        <w:szCs w:val="28"/>
      </w:rPr>
    </w:sdtEndPr>
    <w:sdtContent>
      <w:p w14:paraId="15986404" w14:textId="77777777" w:rsidR="00771570" w:rsidRPr="00771570" w:rsidRDefault="00771570" w:rsidP="00771570">
        <w:pPr>
          <w:pStyle w:val="Piedepgina"/>
          <w:framePr w:wrap="none" w:vAnchor="text" w:hAnchor="page" w:x="11281" w:y="-67"/>
          <w:rPr>
            <w:rStyle w:val="Nmerodepgina"/>
            <w:b/>
            <w:bCs/>
            <w:sz w:val="28"/>
            <w:szCs w:val="28"/>
          </w:rPr>
        </w:pPr>
        <w:r w:rsidRPr="00771570">
          <w:rPr>
            <w:rStyle w:val="Nmerodepgina"/>
            <w:b/>
            <w:bCs/>
            <w:sz w:val="28"/>
            <w:szCs w:val="28"/>
          </w:rPr>
          <w:fldChar w:fldCharType="begin"/>
        </w:r>
        <w:r w:rsidRPr="00771570">
          <w:rPr>
            <w:rStyle w:val="Nmerodepgina"/>
            <w:b/>
            <w:bCs/>
            <w:sz w:val="28"/>
            <w:szCs w:val="28"/>
          </w:rPr>
          <w:instrText xml:space="preserve"> PAGE </w:instrText>
        </w:r>
        <w:r w:rsidRPr="00771570">
          <w:rPr>
            <w:rStyle w:val="Nmerodepgina"/>
            <w:b/>
            <w:bCs/>
            <w:sz w:val="28"/>
            <w:szCs w:val="28"/>
          </w:rPr>
          <w:fldChar w:fldCharType="separate"/>
        </w:r>
        <w:r w:rsidRPr="00771570">
          <w:rPr>
            <w:rStyle w:val="Nmerodepgina"/>
            <w:b/>
            <w:bCs/>
            <w:noProof/>
            <w:sz w:val="28"/>
            <w:szCs w:val="28"/>
          </w:rPr>
          <w:t>2</w:t>
        </w:r>
        <w:r w:rsidRPr="00771570">
          <w:rPr>
            <w:rStyle w:val="Nmerodepgina"/>
            <w:b/>
            <w:bCs/>
            <w:sz w:val="28"/>
            <w:szCs w:val="28"/>
          </w:rPr>
          <w:fldChar w:fldCharType="end"/>
        </w:r>
      </w:p>
    </w:sdtContent>
  </w:sdt>
  <w:p w14:paraId="394748C3" w14:textId="77777777" w:rsidR="00771570" w:rsidRDefault="0077157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D54B1"/>
    <w:multiLevelType w:val="multilevel"/>
    <w:tmpl w:val="8BC2FED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 w15:restartNumberingAfterBreak="0">
    <w:nsid w:val="0D466C83"/>
    <w:multiLevelType w:val="hybridMultilevel"/>
    <w:tmpl w:val="33F4A2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DC5592B"/>
    <w:multiLevelType w:val="hybridMultilevel"/>
    <w:tmpl w:val="FFFFFFFF"/>
    <w:lvl w:ilvl="0" w:tplc="945AB464">
      <w:start w:val="1"/>
      <w:numFmt w:val="decimal"/>
      <w:lvlText w:val="%1."/>
      <w:lvlJc w:val="left"/>
      <w:pPr>
        <w:ind w:left="720" w:hanging="360"/>
      </w:pPr>
    </w:lvl>
    <w:lvl w:ilvl="1" w:tplc="D15C45E6">
      <w:start w:val="1"/>
      <w:numFmt w:val="lowerLetter"/>
      <w:lvlText w:val="%2."/>
      <w:lvlJc w:val="left"/>
      <w:pPr>
        <w:ind w:left="1440" w:hanging="360"/>
      </w:pPr>
    </w:lvl>
    <w:lvl w:ilvl="2" w:tplc="1862CA6C">
      <w:start w:val="1"/>
      <w:numFmt w:val="lowerRoman"/>
      <w:lvlText w:val="%3."/>
      <w:lvlJc w:val="right"/>
      <w:pPr>
        <w:ind w:left="2160" w:hanging="180"/>
      </w:pPr>
    </w:lvl>
    <w:lvl w:ilvl="3" w:tplc="17F0A168">
      <w:start w:val="1"/>
      <w:numFmt w:val="decimal"/>
      <w:lvlText w:val="%4."/>
      <w:lvlJc w:val="left"/>
      <w:pPr>
        <w:ind w:left="2880" w:hanging="360"/>
      </w:pPr>
    </w:lvl>
    <w:lvl w:ilvl="4" w:tplc="A54024C4">
      <w:start w:val="1"/>
      <w:numFmt w:val="lowerLetter"/>
      <w:lvlText w:val="%5."/>
      <w:lvlJc w:val="left"/>
      <w:pPr>
        <w:ind w:left="3600" w:hanging="360"/>
      </w:pPr>
    </w:lvl>
    <w:lvl w:ilvl="5" w:tplc="EBC227B8">
      <w:start w:val="1"/>
      <w:numFmt w:val="lowerRoman"/>
      <w:lvlText w:val="%6."/>
      <w:lvlJc w:val="right"/>
      <w:pPr>
        <w:ind w:left="4320" w:hanging="180"/>
      </w:pPr>
    </w:lvl>
    <w:lvl w:ilvl="6" w:tplc="0088DED0">
      <w:start w:val="1"/>
      <w:numFmt w:val="decimal"/>
      <w:lvlText w:val="%7."/>
      <w:lvlJc w:val="left"/>
      <w:pPr>
        <w:ind w:left="5040" w:hanging="360"/>
      </w:pPr>
    </w:lvl>
    <w:lvl w:ilvl="7" w:tplc="4F0866A8">
      <w:start w:val="1"/>
      <w:numFmt w:val="lowerLetter"/>
      <w:lvlText w:val="%8."/>
      <w:lvlJc w:val="left"/>
      <w:pPr>
        <w:ind w:left="5760" w:hanging="360"/>
      </w:pPr>
    </w:lvl>
    <w:lvl w:ilvl="8" w:tplc="D2C68E4E">
      <w:start w:val="1"/>
      <w:numFmt w:val="lowerRoman"/>
      <w:lvlText w:val="%9."/>
      <w:lvlJc w:val="right"/>
      <w:pPr>
        <w:ind w:left="6480" w:hanging="180"/>
      </w:pPr>
    </w:lvl>
  </w:abstractNum>
  <w:abstractNum w:abstractNumId="3" w15:restartNumberingAfterBreak="0">
    <w:nsid w:val="106A7819"/>
    <w:multiLevelType w:val="hybridMultilevel"/>
    <w:tmpl w:val="41969E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CE5F38"/>
    <w:multiLevelType w:val="multilevel"/>
    <w:tmpl w:val="77BE3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22063E"/>
    <w:multiLevelType w:val="hybridMultilevel"/>
    <w:tmpl w:val="8E4C719E"/>
    <w:lvl w:ilvl="0" w:tplc="5600C72E">
      <w:start w:val="1"/>
      <w:numFmt w:val="decimal"/>
      <w:lvlText w:val="%1."/>
      <w:lvlJc w:val="left"/>
      <w:pPr>
        <w:ind w:left="720" w:hanging="360"/>
      </w:pPr>
      <w:rPr>
        <w:sz w:val="20"/>
        <w:szCs w:val="2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19074FE2"/>
    <w:multiLevelType w:val="hybridMultilevel"/>
    <w:tmpl w:val="913AEF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B66A03"/>
    <w:multiLevelType w:val="hybridMultilevel"/>
    <w:tmpl w:val="724419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C4014A"/>
    <w:multiLevelType w:val="hybridMultilevel"/>
    <w:tmpl w:val="61125E8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61645B4"/>
    <w:multiLevelType w:val="multilevel"/>
    <w:tmpl w:val="35A8D252"/>
    <w:lvl w:ilvl="0">
      <w:start w:val="1"/>
      <w:numFmt w:val="decimal"/>
      <w:lvlText w:val="%1."/>
      <w:lvlJc w:val="left"/>
      <w:pPr>
        <w:ind w:left="720" w:hanging="360"/>
      </w:pPr>
      <w:rPr>
        <w:rFonts w:hint="default"/>
      </w:rPr>
    </w:lvl>
    <w:lvl w:ilvl="1">
      <w:start w:val="1"/>
      <w:numFmt w:val="bullet"/>
      <w:lvlText w:val=""/>
      <w:lvlJc w:val="left"/>
      <w:pPr>
        <w:ind w:left="1080" w:hanging="360"/>
      </w:pPr>
      <w:rPr>
        <w:rFonts w:ascii="Symbol" w:hAnsi="Symbol"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0" w15:restartNumberingAfterBreak="0">
    <w:nsid w:val="2EED03AF"/>
    <w:multiLevelType w:val="hybridMultilevel"/>
    <w:tmpl w:val="D5164E40"/>
    <w:lvl w:ilvl="0" w:tplc="240A0011">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2F9F2583"/>
    <w:multiLevelType w:val="hybridMultilevel"/>
    <w:tmpl w:val="79DC870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3C4A1BFB"/>
    <w:multiLevelType w:val="hybridMultilevel"/>
    <w:tmpl w:val="7244190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3705654"/>
    <w:multiLevelType w:val="hybridMultilevel"/>
    <w:tmpl w:val="3FB437B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4D4F0FFA"/>
    <w:multiLevelType w:val="hybridMultilevel"/>
    <w:tmpl w:val="570CDEDC"/>
    <w:lvl w:ilvl="0" w:tplc="8124C11E">
      <w:numFmt w:val="bullet"/>
      <w:lvlText w:val=""/>
      <w:lvlJc w:val="left"/>
      <w:pPr>
        <w:ind w:left="720" w:hanging="360"/>
      </w:pPr>
      <w:rPr>
        <w:rFonts w:ascii="Symbol" w:eastAsiaTheme="minorHAnsi"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4E974A0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E9CD739"/>
    <w:multiLevelType w:val="hybridMultilevel"/>
    <w:tmpl w:val="8C38CF0C"/>
    <w:lvl w:ilvl="0" w:tplc="771E5954">
      <w:start w:val="1"/>
      <w:numFmt w:val="decimal"/>
      <w:lvlText w:val="%1."/>
      <w:lvlJc w:val="left"/>
      <w:pPr>
        <w:ind w:left="720" w:hanging="360"/>
      </w:pPr>
    </w:lvl>
    <w:lvl w:ilvl="1" w:tplc="3CC2452C">
      <w:start w:val="1"/>
      <w:numFmt w:val="lowerLetter"/>
      <w:lvlText w:val="%2."/>
      <w:lvlJc w:val="left"/>
      <w:pPr>
        <w:ind w:left="1440" w:hanging="360"/>
      </w:pPr>
    </w:lvl>
    <w:lvl w:ilvl="2" w:tplc="0848FB10">
      <w:start w:val="1"/>
      <w:numFmt w:val="lowerRoman"/>
      <w:lvlText w:val="%3."/>
      <w:lvlJc w:val="right"/>
      <w:pPr>
        <w:ind w:left="2160" w:hanging="180"/>
      </w:pPr>
    </w:lvl>
    <w:lvl w:ilvl="3" w:tplc="5C047EE8">
      <w:start w:val="1"/>
      <w:numFmt w:val="decimal"/>
      <w:lvlText w:val="%4."/>
      <w:lvlJc w:val="left"/>
      <w:pPr>
        <w:ind w:left="2880" w:hanging="360"/>
      </w:pPr>
    </w:lvl>
    <w:lvl w:ilvl="4" w:tplc="FEB06E3A">
      <w:start w:val="1"/>
      <w:numFmt w:val="lowerLetter"/>
      <w:lvlText w:val="%5."/>
      <w:lvlJc w:val="left"/>
      <w:pPr>
        <w:ind w:left="3600" w:hanging="360"/>
      </w:pPr>
    </w:lvl>
    <w:lvl w:ilvl="5" w:tplc="0E02E0F2">
      <w:start w:val="1"/>
      <w:numFmt w:val="lowerRoman"/>
      <w:lvlText w:val="%6."/>
      <w:lvlJc w:val="right"/>
      <w:pPr>
        <w:ind w:left="4320" w:hanging="180"/>
      </w:pPr>
    </w:lvl>
    <w:lvl w:ilvl="6" w:tplc="50728E38">
      <w:start w:val="1"/>
      <w:numFmt w:val="decimal"/>
      <w:lvlText w:val="%7."/>
      <w:lvlJc w:val="left"/>
      <w:pPr>
        <w:ind w:left="5040" w:hanging="360"/>
      </w:pPr>
    </w:lvl>
    <w:lvl w:ilvl="7" w:tplc="5F34C54C">
      <w:start w:val="1"/>
      <w:numFmt w:val="lowerLetter"/>
      <w:lvlText w:val="%8."/>
      <w:lvlJc w:val="left"/>
      <w:pPr>
        <w:ind w:left="5760" w:hanging="360"/>
      </w:pPr>
    </w:lvl>
    <w:lvl w:ilvl="8" w:tplc="AC1C2606">
      <w:start w:val="1"/>
      <w:numFmt w:val="lowerRoman"/>
      <w:lvlText w:val="%9."/>
      <w:lvlJc w:val="right"/>
      <w:pPr>
        <w:ind w:left="6480" w:hanging="180"/>
      </w:pPr>
    </w:lvl>
  </w:abstractNum>
  <w:abstractNum w:abstractNumId="17" w15:restartNumberingAfterBreak="0">
    <w:nsid w:val="4FAB0A33"/>
    <w:multiLevelType w:val="hybridMultilevel"/>
    <w:tmpl w:val="B1E2A77C"/>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8" w15:restartNumberingAfterBreak="0">
    <w:nsid w:val="500B698B"/>
    <w:multiLevelType w:val="hybridMultilevel"/>
    <w:tmpl w:val="A6AA3C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1236E66"/>
    <w:multiLevelType w:val="multilevel"/>
    <w:tmpl w:val="35A8D252"/>
    <w:lvl w:ilvl="0">
      <w:start w:val="1"/>
      <w:numFmt w:val="decimal"/>
      <w:lvlText w:val="%1."/>
      <w:lvlJc w:val="left"/>
      <w:pPr>
        <w:ind w:left="720" w:hanging="360"/>
      </w:pPr>
      <w:rPr>
        <w:rFonts w:hint="default"/>
      </w:rPr>
    </w:lvl>
    <w:lvl w:ilvl="1">
      <w:start w:val="1"/>
      <w:numFmt w:val="bullet"/>
      <w:lvlText w:val=""/>
      <w:lvlJc w:val="left"/>
      <w:pPr>
        <w:ind w:left="1080" w:hanging="360"/>
      </w:pPr>
      <w:rPr>
        <w:rFonts w:ascii="Symbol" w:hAnsi="Symbol"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0" w15:restartNumberingAfterBreak="0">
    <w:nsid w:val="52780F23"/>
    <w:multiLevelType w:val="multilevel"/>
    <w:tmpl w:val="C6A08CB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1" w15:restartNumberingAfterBreak="0">
    <w:nsid w:val="54DC4B38"/>
    <w:multiLevelType w:val="hybridMultilevel"/>
    <w:tmpl w:val="EDCE98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55A575CE"/>
    <w:multiLevelType w:val="hybridMultilevel"/>
    <w:tmpl w:val="5A1E837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586D16C0"/>
    <w:multiLevelType w:val="hybridMultilevel"/>
    <w:tmpl w:val="AFF8460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4" w15:restartNumberingAfterBreak="0">
    <w:nsid w:val="58B57138"/>
    <w:multiLevelType w:val="hybridMultilevel"/>
    <w:tmpl w:val="2D72B2C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A0C590B"/>
    <w:multiLevelType w:val="hybridMultilevel"/>
    <w:tmpl w:val="F7EA92A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15:restartNumberingAfterBreak="0">
    <w:nsid w:val="5C766A60"/>
    <w:multiLevelType w:val="hybridMultilevel"/>
    <w:tmpl w:val="7FC0693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7" w15:restartNumberingAfterBreak="0">
    <w:nsid w:val="605309D5"/>
    <w:multiLevelType w:val="hybridMultilevel"/>
    <w:tmpl w:val="AA0E4AD8"/>
    <w:lvl w:ilvl="0" w:tplc="0D224440">
      <w:numFmt w:val="bullet"/>
      <w:lvlText w:val=""/>
      <w:lvlJc w:val="left"/>
      <w:pPr>
        <w:ind w:left="720" w:hanging="360"/>
      </w:pPr>
      <w:rPr>
        <w:rFonts w:ascii="Symbol" w:eastAsiaTheme="minorHAnsi"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60A31CA6"/>
    <w:multiLevelType w:val="multilevel"/>
    <w:tmpl w:val="96C474B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9C44182"/>
    <w:multiLevelType w:val="multilevel"/>
    <w:tmpl w:val="35A8D252"/>
    <w:lvl w:ilvl="0">
      <w:start w:val="1"/>
      <w:numFmt w:val="decimal"/>
      <w:lvlText w:val="%1."/>
      <w:lvlJc w:val="left"/>
      <w:pPr>
        <w:ind w:left="720" w:hanging="360"/>
      </w:pPr>
      <w:rPr>
        <w:rFonts w:hint="default"/>
      </w:rPr>
    </w:lvl>
    <w:lvl w:ilvl="1">
      <w:start w:val="1"/>
      <w:numFmt w:val="bullet"/>
      <w:lvlText w:val=""/>
      <w:lvlJc w:val="left"/>
      <w:pPr>
        <w:ind w:left="1080" w:hanging="360"/>
      </w:pPr>
      <w:rPr>
        <w:rFonts w:ascii="Symbol" w:hAnsi="Symbol"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30" w15:restartNumberingAfterBreak="0">
    <w:nsid w:val="6FEE5137"/>
    <w:multiLevelType w:val="hybridMultilevel"/>
    <w:tmpl w:val="DBDE57FC"/>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1" w15:restartNumberingAfterBreak="0">
    <w:nsid w:val="70D46788"/>
    <w:multiLevelType w:val="hybridMultilevel"/>
    <w:tmpl w:val="77CE9ADA"/>
    <w:lvl w:ilvl="0" w:tplc="4058C034">
      <w:start w:val="1"/>
      <w:numFmt w:val="bullet"/>
      <w:lvlText w:val=""/>
      <w:lvlJc w:val="left"/>
      <w:pPr>
        <w:ind w:left="720" w:hanging="360"/>
      </w:pPr>
      <w:rPr>
        <w:rFonts w:ascii="Symbol" w:hAnsi="Symbol" w:hint="default"/>
      </w:rPr>
    </w:lvl>
    <w:lvl w:ilvl="1" w:tplc="0A6EA146">
      <w:start w:val="1"/>
      <w:numFmt w:val="bullet"/>
      <w:lvlText w:val="o"/>
      <w:lvlJc w:val="left"/>
      <w:pPr>
        <w:ind w:left="1440" w:hanging="360"/>
      </w:pPr>
      <w:rPr>
        <w:rFonts w:ascii="Courier New" w:hAnsi="Courier New" w:hint="default"/>
      </w:rPr>
    </w:lvl>
    <w:lvl w:ilvl="2" w:tplc="62025574">
      <w:start w:val="1"/>
      <w:numFmt w:val="bullet"/>
      <w:lvlText w:val=""/>
      <w:lvlJc w:val="left"/>
      <w:pPr>
        <w:ind w:left="2160" w:hanging="360"/>
      </w:pPr>
      <w:rPr>
        <w:rFonts w:ascii="Wingdings" w:hAnsi="Wingdings" w:hint="default"/>
      </w:rPr>
    </w:lvl>
    <w:lvl w:ilvl="3" w:tplc="9E8004F4">
      <w:start w:val="1"/>
      <w:numFmt w:val="bullet"/>
      <w:lvlText w:val=""/>
      <w:lvlJc w:val="left"/>
      <w:pPr>
        <w:ind w:left="2880" w:hanging="360"/>
      </w:pPr>
      <w:rPr>
        <w:rFonts w:ascii="Symbol" w:hAnsi="Symbol" w:hint="default"/>
      </w:rPr>
    </w:lvl>
    <w:lvl w:ilvl="4" w:tplc="6CE03F02">
      <w:start w:val="1"/>
      <w:numFmt w:val="bullet"/>
      <w:lvlText w:val="o"/>
      <w:lvlJc w:val="left"/>
      <w:pPr>
        <w:ind w:left="3600" w:hanging="360"/>
      </w:pPr>
      <w:rPr>
        <w:rFonts w:ascii="Courier New" w:hAnsi="Courier New" w:hint="default"/>
      </w:rPr>
    </w:lvl>
    <w:lvl w:ilvl="5" w:tplc="ADAE958A">
      <w:start w:val="1"/>
      <w:numFmt w:val="bullet"/>
      <w:lvlText w:val=""/>
      <w:lvlJc w:val="left"/>
      <w:pPr>
        <w:ind w:left="4320" w:hanging="360"/>
      </w:pPr>
      <w:rPr>
        <w:rFonts w:ascii="Wingdings" w:hAnsi="Wingdings" w:hint="default"/>
      </w:rPr>
    </w:lvl>
    <w:lvl w:ilvl="6" w:tplc="41FA903A">
      <w:start w:val="1"/>
      <w:numFmt w:val="bullet"/>
      <w:lvlText w:val=""/>
      <w:lvlJc w:val="left"/>
      <w:pPr>
        <w:ind w:left="5040" w:hanging="360"/>
      </w:pPr>
      <w:rPr>
        <w:rFonts w:ascii="Symbol" w:hAnsi="Symbol" w:hint="default"/>
      </w:rPr>
    </w:lvl>
    <w:lvl w:ilvl="7" w:tplc="7D92C6E4">
      <w:start w:val="1"/>
      <w:numFmt w:val="bullet"/>
      <w:lvlText w:val="o"/>
      <w:lvlJc w:val="left"/>
      <w:pPr>
        <w:ind w:left="5760" w:hanging="360"/>
      </w:pPr>
      <w:rPr>
        <w:rFonts w:ascii="Courier New" w:hAnsi="Courier New" w:hint="default"/>
      </w:rPr>
    </w:lvl>
    <w:lvl w:ilvl="8" w:tplc="B4C22610">
      <w:start w:val="1"/>
      <w:numFmt w:val="bullet"/>
      <w:lvlText w:val=""/>
      <w:lvlJc w:val="left"/>
      <w:pPr>
        <w:ind w:left="6480" w:hanging="360"/>
      </w:pPr>
      <w:rPr>
        <w:rFonts w:ascii="Wingdings" w:hAnsi="Wingdings" w:hint="default"/>
      </w:rPr>
    </w:lvl>
  </w:abstractNum>
  <w:abstractNum w:abstractNumId="32" w15:restartNumberingAfterBreak="0">
    <w:nsid w:val="7236644D"/>
    <w:multiLevelType w:val="multilevel"/>
    <w:tmpl w:val="3A1EF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5CF6149"/>
    <w:multiLevelType w:val="hybridMultilevel"/>
    <w:tmpl w:val="FA30A3A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4" w15:restartNumberingAfterBreak="0">
    <w:nsid w:val="795F76E2"/>
    <w:multiLevelType w:val="hybridMultilevel"/>
    <w:tmpl w:val="2D72B2C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A711AE4"/>
    <w:multiLevelType w:val="hybridMultilevel"/>
    <w:tmpl w:val="2D72B2C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D5A45C6"/>
    <w:multiLevelType w:val="multilevel"/>
    <w:tmpl w:val="004E1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FC61B8D"/>
    <w:multiLevelType w:val="hybridMultilevel"/>
    <w:tmpl w:val="6E9A701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334995321">
    <w:abstractNumId w:val="16"/>
  </w:num>
  <w:num w:numId="2" w16cid:durableId="1723796392">
    <w:abstractNumId w:val="2"/>
  </w:num>
  <w:num w:numId="3" w16cid:durableId="1808548526">
    <w:abstractNumId w:val="6"/>
  </w:num>
  <w:num w:numId="4" w16cid:durableId="1665090867">
    <w:abstractNumId w:val="20"/>
  </w:num>
  <w:num w:numId="5" w16cid:durableId="1105150746">
    <w:abstractNumId w:val="1"/>
  </w:num>
  <w:num w:numId="6" w16cid:durableId="1176263884">
    <w:abstractNumId w:val="17"/>
  </w:num>
  <w:num w:numId="7" w16cid:durableId="2106151927">
    <w:abstractNumId w:val="33"/>
  </w:num>
  <w:num w:numId="8" w16cid:durableId="788478391">
    <w:abstractNumId w:val="30"/>
  </w:num>
  <w:num w:numId="9" w16cid:durableId="1850292456">
    <w:abstractNumId w:val="26"/>
  </w:num>
  <w:num w:numId="10" w16cid:durableId="283275836">
    <w:abstractNumId w:val="11"/>
  </w:num>
  <w:num w:numId="11" w16cid:durableId="44375537">
    <w:abstractNumId w:val="23"/>
  </w:num>
  <w:num w:numId="12" w16cid:durableId="1623805041">
    <w:abstractNumId w:val="21"/>
  </w:num>
  <w:num w:numId="13" w16cid:durableId="1325162419">
    <w:abstractNumId w:val="9"/>
  </w:num>
  <w:num w:numId="14" w16cid:durableId="708729033">
    <w:abstractNumId w:val="29"/>
  </w:num>
  <w:num w:numId="15" w16cid:durableId="1171992090">
    <w:abstractNumId w:val="19"/>
  </w:num>
  <w:num w:numId="16" w16cid:durableId="996693253">
    <w:abstractNumId w:val="25"/>
  </w:num>
  <w:num w:numId="17" w16cid:durableId="1145270667">
    <w:abstractNumId w:val="13"/>
  </w:num>
  <w:num w:numId="18" w16cid:durableId="2076315292">
    <w:abstractNumId w:val="36"/>
  </w:num>
  <w:num w:numId="19" w16cid:durableId="1386954511">
    <w:abstractNumId w:val="32"/>
  </w:num>
  <w:num w:numId="20" w16cid:durableId="826819218">
    <w:abstractNumId w:val="3"/>
  </w:num>
  <w:num w:numId="21" w16cid:durableId="309024315">
    <w:abstractNumId w:val="15"/>
  </w:num>
  <w:num w:numId="22" w16cid:durableId="849370423">
    <w:abstractNumId w:val="18"/>
  </w:num>
  <w:num w:numId="23" w16cid:durableId="1489324317">
    <w:abstractNumId w:val="7"/>
  </w:num>
  <w:num w:numId="24" w16cid:durableId="1385526070">
    <w:abstractNumId w:val="35"/>
  </w:num>
  <w:num w:numId="25" w16cid:durableId="1111052093">
    <w:abstractNumId w:val="24"/>
  </w:num>
  <w:num w:numId="26" w16cid:durableId="419300166">
    <w:abstractNumId w:val="12"/>
  </w:num>
  <w:num w:numId="27" w16cid:durableId="1070884731">
    <w:abstractNumId w:val="8"/>
  </w:num>
  <w:num w:numId="28" w16cid:durableId="2128886903">
    <w:abstractNumId w:val="34"/>
  </w:num>
  <w:num w:numId="29" w16cid:durableId="1251936353">
    <w:abstractNumId w:val="5"/>
  </w:num>
  <w:num w:numId="30" w16cid:durableId="1270505887">
    <w:abstractNumId w:val="22"/>
  </w:num>
  <w:num w:numId="31" w16cid:durableId="132648826">
    <w:abstractNumId w:val="31"/>
  </w:num>
  <w:num w:numId="32" w16cid:durableId="1455830366">
    <w:abstractNumId w:val="27"/>
  </w:num>
  <w:num w:numId="33" w16cid:durableId="607543894">
    <w:abstractNumId w:val="14"/>
  </w:num>
  <w:num w:numId="34" w16cid:durableId="333341544">
    <w:abstractNumId w:val="10"/>
  </w:num>
  <w:num w:numId="35" w16cid:durableId="359285794">
    <w:abstractNumId w:val="37"/>
  </w:num>
  <w:num w:numId="36" w16cid:durableId="48723473">
    <w:abstractNumId w:val="0"/>
  </w:num>
  <w:num w:numId="37" w16cid:durableId="275992660">
    <w:abstractNumId w:val="4"/>
  </w:num>
  <w:num w:numId="38" w16cid:durableId="1708723288">
    <w:abstractNumId w:val="2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nuela Ramirez Agudelo">
    <w15:presenceInfo w15:providerId="AD" w15:userId="S::mramir70@eafit.edu.co::ccd54206-83f9-46ea-8739-a7728bd84e6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18F"/>
    <w:rsid w:val="00001EA6"/>
    <w:rsid w:val="000060A0"/>
    <w:rsid w:val="00006D96"/>
    <w:rsid w:val="0001182A"/>
    <w:rsid w:val="00013ED4"/>
    <w:rsid w:val="0001518F"/>
    <w:rsid w:val="000162EB"/>
    <w:rsid w:val="0001740A"/>
    <w:rsid w:val="000206AD"/>
    <w:rsid w:val="000218CA"/>
    <w:rsid w:val="00026D32"/>
    <w:rsid w:val="0003262F"/>
    <w:rsid w:val="00033DBA"/>
    <w:rsid w:val="000351B2"/>
    <w:rsid w:val="00043FFB"/>
    <w:rsid w:val="00044DCD"/>
    <w:rsid w:val="00046F5C"/>
    <w:rsid w:val="00047897"/>
    <w:rsid w:val="00047E8A"/>
    <w:rsid w:val="0005056E"/>
    <w:rsid w:val="0005371D"/>
    <w:rsid w:val="00056F66"/>
    <w:rsid w:val="00061632"/>
    <w:rsid w:val="00061D7E"/>
    <w:rsid w:val="00064A76"/>
    <w:rsid w:val="00064B1F"/>
    <w:rsid w:val="0007006F"/>
    <w:rsid w:val="00071256"/>
    <w:rsid w:val="00073290"/>
    <w:rsid w:val="00074AF5"/>
    <w:rsid w:val="00075218"/>
    <w:rsid w:val="00080150"/>
    <w:rsid w:val="000816A3"/>
    <w:rsid w:val="00081C96"/>
    <w:rsid w:val="00081D97"/>
    <w:rsid w:val="00085761"/>
    <w:rsid w:val="00090C9D"/>
    <w:rsid w:val="00090F09"/>
    <w:rsid w:val="0009120C"/>
    <w:rsid w:val="000921EE"/>
    <w:rsid w:val="00093201"/>
    <w:rsid w:val="0009354D"/>
    <w:rsid w:val="00096544"/>
    <w:rsid w:val="0009798D"/>
    <w:rsid w:val="000A0544"/>
    <w:rsid w:val="000A090C"/>
    <w:rsid w:val="000A209B"/>
    <w:rsid w:val="000A296D"/>
    <w:rsid w:val="000A4B45"/>
    <w:rsid w:val="000B332E"/>
    <w:rsid w:val="000B5B3B"/>
    <w:rsid w:val="000B67A7"/>
    <w:rsid w:val="000C1100"/>
    <w:rsid w:val="000C2394"/>
    <w:rsid w:val="000C243B"/>
    <w:rsid w:val="000C2532"/>
    <w:rsid w:val="000C573B"/>
    <w:rsid w:val="000D0114"/>
    <w:rsid w:val="000D2007"/>
    <w:rsid w:val="000D20C1"/>
    <w:rsid w:val="000D2C54"/>
    <w:rsid w:val="000D3740"/>
    <w:rsid w:val="000D3ACC"/>
    <w:rsid w:val="000D3B3A"/>
    <w:rsid w:val="000D3E8F"/>
    <w:rsid w:val="000D7856"/>
    <w:rsid w:val="000E1919"/>
    <w:rsid w:val="000E71E6"/>
    <w:rsid w:val="000F0279"/>
    <w:rsid w:val="000F093C"/>
    <w:rsid w:val="000F4A09"/>
    <w:rsid w:val="000F4F15"/>
    <w:rsid w:val="000F71EE"/>
    <w:rsid w:val="000F794B"/>
    <w:rsid w:val="00100427"/>
    <w:rsid w:val="00101951"/>
    <w:rsid w:val="0010262F"/>
    <w:rsid w:val="0010562D"/>
    <w:rsid w:val="00105F1C"/>
    <w:rsid w:val="00115AF1"/>
    <w:rsid w:val="00116884"/>
    <w:rsid w:val="00120618"/>
    <w:rsid w:val="001224CB"/>
    <w:rsid w:val="001246AE"/>
    <w:rsid w:val="00125875"/>
    <w:rsid w:val="001260D7"/>
    <w:rsid w:val="00126270"/>
    <w:rsid w:val="00126A76"/>
    <w:rsid w:val="001301FB"/>
    <w:rsid w:val="00130212"/>
    <w:rsid w:val="00130C52"/>
    <w:rsid w:val="00132DE0"/>
    <w:rsid w:val="00135F77"/>
    <w:rsid w:val="00137839"/>
    <w:rsid w:val="00137844"/>
    <w:rsid w:val="00140042"/>
    <w:rsid w:val="001407F9"/>
    <w:rsid w:val="00142496"/>
    <w:rsid w:val="00143347"/>
    <w:rsid w:val="001439A0"/>
    <w:rsid w:val="00143C4B"/>
    <w:rsid w:val="00147F7F"/>
    <w:rsid w:val="00150823"/>
    <w:rsid w:val="00150877"/>
    <w:rsid w:val="00151E18"/>
    <w:rsid w:val="00153A4E"/>
    <w:rsid w:val="0016333A"/>
    <w:rsid w:val="00164671"/>
    <w:rsid w:val="00165548"/>
    <w:rsid w:val="00165ACF"/>
    <w:rsid w:val="001676E2"/>
    <w:rsid w:val="00170223"/>
    <w:rsid w:val="0017051D"/>
    <w:rsid w:val="001714D0"/>
    <w:rsid w:val="00171EA4"/>
    <w:rsid w:val="00175151"/>
    <w:rsid w:val="001761F4"/>
    <w:rsid w:val="0017783C"/>
    <w:rsid w:val="00181E11"/>
    <w:rsid w:val="001821F7"/>
    <w:rsid w:val="0019053D"/>
    <w:rsid w:val="00191D9C"/>
    <w:rsid w:val="00192776"/>
    <w:rsid w:val="0019290D"/>
    <w:rsid w:val="001949BD"/>
    <w:rsid w:val="001957D4"/>
    <w:rsid w:val="00197F3B"/>
    <w:rsid w:val="001A009E"/>
    <w:rsid w:val="001A05F5"/>
    <w:rsid w:val="001A1619"/>
    <w:rsid w:val="001A2255"/>
    <w:rsid w:val="001A34C1"/>
    <w:rsid w:val="001A7475"/>
    <w:rsid w:val="001B1984"/>
    <w:rsid w:val="001B2B2E"/>
    <w:rsid w:val="001B41A4"/>
    <w:rsid w:val="001B5FDA"/>
    <w:rsid w:val="001B64F8"/>
    <w:rsid w:val="001B6FB0"/>
    <w:rsid w:val="001C51E2"/>
    <w:rsid w:val="001C63A6"/>
    <w:rsid w:val="001D030E"/>
    <w:rsid w:val="001D303A"/>
    <w:rsid w:val="001D4C26"/>
    <w:rsid w:val="001E37CF"/>
    <w:rsid w:val="001E4175"/>
    <w:rsid w:val="001E7498"/>
    <w:rsid w:val="001F0449"/>
    <w:rsid w:val="001F0B36"/>
    <w:rsid w:val="001F0F4E"/>
    <w:rsid w:val="001F44D6"/>
    <w:rsid w:val="001F54FC"/>
    <w:rsid w:val="001F64E4"/>
    <w:rsid w:val="0020657D"/>
    <w:rsid w:val="002069E7"/>
    <w:rsid w:val="00211040"/>
    <w:rsid w:val="00211C75"/>
    <w:rsid w:val="00215557"/>
    <w:rsid w:val="002162FF"/>
    <w:rsid w:val="00216CA3"/>
    <w:rsid w:val="002208D3"/>
    <w:rsid w:val="00220EC3"/>
    <w:rsid w:val="00221A4E"/>
    <w:rsid w:val="002260E5"/>
    <w:rsid w:val="00232688"/>
    <w:rsid w:val="002335D6"/>
    <w:rsid w:val="00235958"/>
    <w:rsid w:val="00235C80"/>
    <w:rsid w:val="00237174"/>
    <w:rsid w:val="00246F64"/>
    <w:rsid w:val="00247A31"/>
    <w:rsid w:val="002551C0"/>
    <w:rsid w:val="00255BED"/>
    <w:rsid w:val="00256B7E"/>
    <w:rsid w:val="00261137"/>
    <w:rsid w:val="00261E6B"/>
    <w:rsid w:val="0026256B"/>
    <w:rsid w:val="00262741"/>
    <w:rsid w:val="00262965"/>
    <w:rsid w:val="00263B7F"/>
    <w:rsid w:val="00263F65"/>
    <w:rsid w:val="00266B37"/>
    <w:rsid w:val="00267EDB"/>
    <w:rsid w:val="0027286E"/>
    <w:rsid w:val="0027297C"/>
    <w:rsid w:val="00282118"/>
    <w:rsid w:val="0028651B"/>
    <w:rsid w:val="002878C9"/>
    <w:rsid w:val="00287AE0"/>
    <w:rsid w:val="00293DAE"/>
    <w:rsid w:val="00297C1E"/>
    <w:rsid w:val="002A0B2B"/>
    <w:rsid w:val="002A2105"/>
    <w:rsid w:val="002A4458"/>
    <w:rsid w:val="002A51F8"/>
    <w:rsid w:val="002A67A3"/>
    <w:rsid w:val="002A7094"/>
    <w:rsid w:val="002A7ADC"/>
    <w:rsid w:val="002B4BB1"/>
    <w:rsid w:val="002C093F"/>
    <w:rsid w:val="002C2597"/>
    <w:rsid w:val="002C5D67"/>
    <w:rsid w:val="002C696D"/>
    <w:rsid w:val="002D20B5"/>
    <w:rsid w:val="002D2361"/>
    <w:rsid w:val="002D2ADF"/>
    <w:rsid w:val="002D5EA7"/>
    <w:rsid w:val="002E1332"/>
    <w:rsid w:val="002E1EE2"/>
    <w:rsid w:val="002E28A5"/>
    <w:rsid w:val="002F0B3A"/>
    <w:rsid w:val="002F1D74"/>
    <w:rsid w:val="002F4A01"/>
    <w:rsid w:val="002F4EF3"/>
    <w:rsid w:val="002F682D"/>
    <w:rsid w:val="002F77DB"/>
    <w:rsid w:val="003001C2"/>
    <w:rsid w:val="00300B48"/>
    <w:rsid w:val="003030E3"/>
    <w:rsid w:val="0030359C"/>
    <w:rsid w:val="003059AD"/>
    <w:rsid w:val="0030662F"/>
    <w:rsid w:val="0031183E"/>
    <w:rsid w:val="00311998"/>
    <w:rsid w:val="00312156"/>
    <w:rsid w:val="00312646"/>
    <w:rsid w:val="0031286B"/>
    <w:rsid w:val="00312C65"/>
    <w:rsid w:val="0032122B"/>
    <w:rsid w:val="003213D8"/>
    <w:rsid w:val="00321A96"/>
    <w:rsid w:val="00321BC5"/>
    <w:rsid w:val="00322BE4"/>
    <w:rsid w:val="003231AE"/>
    <w:rsid w:val="0032480F"/>
    <w:rsid w:val="00324AE1"/>
    <w:rsid w:val="00325809"/>
    <w:rsid w:val="003258E8"/>
    <w:rsid w:val="003267EA"/>
    <w:rsid w:val="00330BFA"/>
    <w:rsid w:val="00332C4F"/>
    <w:rsid w:val="003436D2"/>
    <w:rsid w:val="003439FE"/>
    <w:rsid w:val="00347177"/>
    <w:rsid w:val="00347EFE"/>
    <w:rsid w:val="00351425"/>
    <w:rsid w:val="00353FB5"/>
    <w:rsid w:val="00356249"/>
    <w:rsid w:val="0035642E"/>
    <w:rsid w:val="003571A9"/>
    <w:rsid w:val="0035774A"/>
    <w:rsid w:val="0036098E"/>
    <w:rsid w:val="00360DC4"/>
    <w:rsid w:val="003613BE"/>
    <w:rsid w:val="00365E1D"/>
    <w:rsid w:val="003665B4"/>
    <w:rsid w:val="00366947"/>
    <w:rsid w:val="00367205"/>
    <w:rsid w:val="0037171F"/>
    <w:rsid w:val="003743C7"/>
    <w:rsid w:val="003766A2"/>
    <w:rsid w:val="00380256"/>
    <w:rsid w:val="0038471E"/>
    <w:rsid w:val="003851AC"/>
    <w:rsid w:val="003865B3"/>
    <w:rsid w:val="00386E07"/>
    <w:rsid w:val="00387CBF"/>
    <w:rsid w:val="0038E13B"/>
    <w:rsid w:val="00390766"/>
    <w:rsid w:val="003920E2"/>
    <w:rsid w:val="003940FE"/>
    <w:rsid w:val="00395F3F"/>
    <w:rsid w:val="003A3F03"/>
    <w:rsid w:val="003A56B9"/>
    <w:rsid w:val="003B1A2A"/>
    <w:rsid w:val="003C0201"/>
    <w:rsid w:val="003C0638"/>
    <w:rsid w:val="003C0CFF"/>
    <w:rsid w:val="003C13A3"/>
    <w:rsid w:val="003C241C"/>
    <w:rsid w:val="003C326F"/>
    <w:rsid w:val="003D45FF"/>
    <w:rsid w:val="003D4B2F"/>
    <w:rsid w:val="003D6436"/>
    <w:rsid w:val="003E0420"/>
    <w:rsid w:val="003E5166"/>
    <w:rsid w:val="003E532A"/>
    <w:rsid w:val="003F0354"/>
    <w:rsid w:val="003F1908"/>
    <w:rsid w:val="003F2146"/>
    <w:rsid w:val="003F21F8"/>
    <w:rsid w:val="003F7979"/>
    <w:rsid w:val="003F7BE0"/>
    <w:rsid w:val="00400DF3"/>
    <w:rsid w:val="00401D9A"/>
    <w:rsid w:val="00402CE0"/>
    <w:rsid w:val="00403C33"/>
    <w:rsid w:val="004044E0"/>
    <w:rsid w:val="00405ADD"/>
    <w:rsid w:val="004106B1"/>
    <w:rsid w:val="00415139"/>
    <w:rsid w:val="004229AE"/>
    <w:rsid w:val="00423DD5"/>
    <w:rsid w:val="00427EE9"/>
    <w:rsid w:val="00432CC7"/>
    <w:rsid w:val="00433C4C"/>
    <w:rsid w:val="0043693C"/>
    <w:rsid w:val="00440388"/>
    <w:rsid w:val="00446DE8"/>
    <w:rsid w:val="004479D2"/>
    <w:rsid w:val="00450728"/>
    <w:rsid w:val="00450B41"/>
    <w:rsid w:val="004527B6"/>
    <w:rsid w:val="00457C57"/>
    <w:rsid w:val="004615DB"/>
    <w:rsid w:val="00461B4A"/>
    <w:rsid w:val="00461B7F"/>
    <w:rsid w:val="00461F1F"/>
    <w:rsid w:val="00465EF6"/>
    <w:rsid w:val="004711B7"/>
    <w:rsid w:val="00471878"/>
    <w:rsid w:val="004721AF"/>
    <w:rsid w:val="00475B2B"/>
    <w:rsid w:val="00475E75"/>
    <w:rsid w:val="00480C96"/>
    <w:rsid w:val="00482949"/>
    <w:rsid w:val="00484785"/>
    <w:rsid w:val="0048754B"/>
    <w:rsid w:val="004929E9"/>
    <w:rsid w:val="00494BC4"/>
    <w:rsid w:val="00497EE3"/>
    <w:rsid w:val="004A033C"/>
    <w:rsid w:val="004A67A2"/>
    <w:rsid w:val="004A750C"/>
    <w:rsid w:val="004B058A"/>
    <w:rsid w:val="004B1F73"/>
    <w:rsid w:val="004B5133"/>
    <w:rsid w:val="004B5BD5"/>
    <w:rsid w:val="004B788F"/>
    <w:rsid w:val="004C43D4"/>
    <w:rsid w:val="004C484D"/>
    <w:rsid w:val="004C5311"/>
    <w:rsid w:val="004C5650"/>
    <w:rsid w:val="004D01B3"/>
    <w:rsid w:val="004D0798"/>
    <w:rsid w:val="004D07CE"/>
    <w:rsid w:val="004D4C97"/>
    <w:rsid w:val="004D77A4"/>
    <w:rsid w:val="004E154F"/>
    <w:rsid w:val="004F44BA"/>
    <w:rsid w:val="0050054C"/>
    <w:rsid w:val="0050124F"/>
    <w:rsid w:val="00502648"/>
    <w:rsid w:val="0050278C"/>
    <w:rsid w:val="00505470"/>
    <w:rsid w:val="005069A0"/>
    <w:rsid w:val="00506CB2"/>
    <w:rsid w:val="00512C45"/>
    <w:rsid w:val="00513720"/>
    <w:rsid w:val="0051550E"/>
    <w:rsid w:val="00515D6C"/>
    <w:rsid w:val="00523EA0"/>
    <w:rsid w:val="005303AC"/>
    <w:rsid w:val="00532F50"/>
    <w:rsid w:val="0053337E"/>
    <w:rsid w:val="00535D67"/>
    <w:rsid w:val="0054095E"/>
    <w:rsid w:val="0054099A"/>
    <w:rsid w:val="00550849"/>
    <w:rsid w:val="00550DD1"/>
    <w:rsid w:val="0055157F"/>
    <w:rsid w:val="005602E5"/>
    <w:rsid w:val="005635A5"/>
    <w:rsid w:val="00563AA4"/>
    <w:rsid w:val="00563CBC"/>
    <w:rsid w:val="0056532F"/>
    <w:rsid w:val="00566CD5"/>
    <w:rsid w:val="00567A7A"/>
    <w:rsid w:val="00575BBD"/>
    <w:rsid w:val="0058351D"/>
    <w:rsid w:val="00586592"/>
    <w:rsid w:val="005A3171"/>
    <w:rsid w:val="005A6EF6"/>
    <w:rsid w:val="005AF117"/>
    <w:rsid w:val="005B0181"/>
    <w:rsid w:val="005B0B0E"/>
    <w:rsid w:val="005B0CDD"/>
    <w:rsid w:val="005B3D4D"/>
    <w:rsid w:val="005C23CC"/>
    <w:rsid w:val="005C3309"/>
    <w:rsid w:val="005C33CD"/>
    <w:rsid w:val="005C444E"/>
    <w:rsid w:val="005C4E81"/>
    <w:rsid w:val="005C7B27"/>
    <w:rsid w:val="005D1BEB"/>
    <w:rsid w:val="005D2AF7"/>
    <w:rsid w:val="005D7ED1"/>
    <w:rsid w:val="005E05FF"/>
    <w:rsid w:val="005E241A"/>
    <w:rsid w:val="005E2F09"/>
    <w:rsid w:val="005E69F7"/>
    <w:rsid w:val="005E7619"/>
    <w:rsid w:val="005E7BCC"/>
    <w:rsid w:val="005E7C5D"/>
    <w:rsid w:val="005F011F"/>
    <w:rsid w:val="005F1F14"/>
    <w:rsid w:val="005F1FB2"/>
    <w:rsid w:val="005F351C"/>
    <w:rsid w:val="005F6603"/>
    <w:rsid w:val="005F6BF7"/>
    <w:rsid w:val="005F7384"/>
    <w:rsid w:val="00600195"/>
    <w:rsid w:val="00601EBC"/>
    <w:rsid w:val="00603F28"/>
    <w:rsid w:val="00605E75"/>
    <w:rsid w:val="0060787E"/>
    <w:rsid w:val="00612269"/>
    <w:rsid w:val="00612AF6"/>
    <w:rsid w:val="00622B02"/>
    <w:rsid w:val="0062301D"/>
    <w:rsid w:val="006255D1"/>
    <w:rsid w:val="006263A8"/>
    <w:rsid w:val="00632AF9"/>
    <w:rsid w:val="0063338F"/>
    <w:rsid w:val="00634013"/>
    <w:rsid w:val="006343F3"/>
    <w:rsid w:val="00634503"/>
    <w:rsid w:val="00634DB3"/>
    <w:rsid w:val="00636371"/>
    <w:rsid w:val="00636D53"/>
    <w:rsid w:val="006370E6"/>
    <w:rsid w:val="006421F0"/>
    <w:rsid w:val="00645246"/>
    <w:rsid w:val="00645CFD"/>
    <w:rsid w:val="0064668B"/>
    <w:rsid w:val="0065017D"/>
    <w:rsid w:val="00651A60"/>
    <w:rsid w:val="00653495"/>
    <w:rsid w:val="00653FA4"/>
    <w:rsid w:val="00654DE9"/>
    <w:rsid w:val="00656B99"/>
    <w:rsid w:val="0066193D"/>
    <w:rsid w:val="00661ADF"/>
    <w:rsid w:val="00661AEA"/>
    <w:rsid w:val="00663BD5"/>
    <w:rsid w:val="00670AF0"/>
    <w:rsid w:val="0067227A"/>
    <w:rsid w:val="006727B3"/>
    <w:rsid w:val="00675AD9"/>
    <w:rsid w:val="006813A3"/>
    <w:rsid w:val="006831D2"/>
    <w:rsid w:val="00683667"/>
    <w:rsid w:val="00683FB7"/>
    <w:rsid w:val="00685398"/>
    <w:rsid w:val="006946A8"/>
    <w:rsid w:val="00697CD0"/>
    <w:rsid w:val="006A22F9"/>
    <w:rsid w:val="006A3FBD"/>
    <w:rsid w:val="006A7356"/>
    <w:rsid w:val="006B282D"/>
    <w:rsid w:val="006B534E"/>
    <w:rsid w:val="006C0368"/>
    <w:rsid w:val="006C7440"/>
    <w:rsid w:val="006D0ED1"/>
    <w:rsid w:val="006D2057"/>
    <w:rsid w:val="006D485A"/>
    <w:rsid w:val="006D51AB"/>
    <w:rsid w:val="006D55AB"/>
    <w:rsid w:val="006E1EFF"/>
    <w:rsid w:val="006E2CDA"/>
    <w:rsid w:val="006E2DEE"/>
    <w:rsid w:val="006E7489"/>
    <w:rsid w:val="006E74C9"/>
    <w:rsid w:val="006F2E55"/>
    <w:rsid w:val="006F5087"/>
    <w:rsid w:val="006F71D9"/>
    <w:rsid w:val="006F7E43"/>
    <w:rsid w:val="00700B2F"/>
    <w:rsid w:val="00701504"/>
    <w:rsid w:val="00705BDC"/>
    <w:rsid w:val="00706A53"/>
    <w:rsid w:val="00712117"/>
    <w:rsid w:val="00714219"/>
    <w:rsid w:val="00721977"/>
    <w:rsid w:val="00722484"/>
    <w:rsid w:val="007300C5"/>
    <w:rsid w:val="0073303E"/>
    <w:rsid w:val="00734FB0"/>
    <w:rsid w:val="00735816"/>
    <w:rsid w:val="00737DFA"/>
    <w:rsid w:val="00740FC0"/>
    <w:rsid w:val="00743A7F"/>
    <w:rsid w:val="0074443E"/>
    <w:rsid w:val="00744547"/>
    <w:rsid w:val="00747422"/>
    <w:rsid w:val="00747A06"/>
    <w:rsid w:val="007513DE"/>
    <w:rsid w:val="007546E7"/>
    <w:rsid w:val="00757ED3"/>
    <w:rsid w:val="00763E78"/>
    <w:rsid w:val="00766E65"/>
    <w:rsid w:val="00767712"/>
    <w:rsid w:val="00771570"/>
    <w:rsid w:val="00771A48"/>
    <w:rsid w:val="00773F93"/>
    <w:rsid w:val="0077676F"/>
    <w:rsid w:val="007815BE"/>
    <w:rsid w:val="00782342"/>
    <w:rsid w:val="007847DC"/>
    <w:rsid w:val="007860BB"/>
    <w:rsid w:val="007915B3"/>
    <w:rsid w:val="007976AB"/>
    <w:rsid w:val="00797CFD"/>
    <w:rsid w:val="007A0086"/>
    <w:rsid w:val="007A15C9"/>
    <w:rsid w:val="007A1E62"/>
    <w:rsid w:val="007A334B"/>
    <w:rsid w:val="007A602C"/>
    <w:rsid w:val="007B0E19"/>
    <w:rsid w:val="007B1B7D"/>
    <w:rsid w:val="007B6820"/>
    <w:rsid w:val="007B7093"/>
    <w:rsid w:val="007C6702"/>
    <w:rsid w:val="007C686B"/>
    <w:rsid w:val="007C7A43"/>
    <w:rsid w:val="007D1781"/>
    <w:rsid w:val="007D1B37"/>
    <w:rsid w:val="007D3062"/>
    <w:rsid w:val="007E1002"/>
    <w:rsid w:val="007E6D1E"/>
    <w:rsid w:val="007E73A5"/>
    <w:rsid w:val="007F038D"/>
    <w:rsid w:val="007F10CD"/>
    <w:rsid w:val="007F24F2"/>
    <w:rsid w:val="00801539"/>
    <w:rsid w:val="00801600"/>
    <w:rsid w:val="00804338"/>
    <w:rsid w:val="0080441E"/>
    <w:rsid w:val="008046FF"/>
    <w:rsid w:val="00806328"/>
    <w:rsid w:val="0080653C"/>
    <w:rsid w:val="00807099"/>
    <w:rsid w:val="00810FF7"/>
    <w:rsid w:val="00811877"/>
    <w:rsid w:val="0081439A"/>
    <w:rsid w:val="00816227"/>
    <w:rsid w:val="00816A36"/>
    <w:rsid w:val="00816D1D"/>
    <w:rsid w:val="00817A05"/>
    <w:rsid w:val="0082445B"/>
    <w:rsid w:val="008323FC"/>
    <w:rsid w:val="00832BBC"/>
    <w:rsid w:val="008338FF"/>
    <w:rsid w:val="00833CEC"/>
    <w:rsid w:val="0083409E"/>
    <w:rsid w:val="008358B3"/>
    <w:rsid w:val="00836BD9"/>
    <w:rsid w:val="00837C02"/>
    <w:rsid w:val="0084077D"/>
    <w:rsid w:val="008443A4"/>
    <w:rsid w:val="00844BF7"/>
    <w:rsid w:val="00846125"/>
    <w:rsid w:val="0084640A"/>
    <w:rsid w:val="008513BA"/>
    <w:rsid w:val="00852994"/>
    <w:rsid w:val="00855087"/>
    <w:rsid w:val="0085726F"/>
    <w:rsid w:val="008625E7"/>
    <w:rsid w:val="00867BBA"/>
    <w:rsid w:val="0087103A"/>
    <w:rsid w:val="00871454"/>
    <w:rsid w:val="0087338E"/>
    <w:rsid w:val="00875406"/>
    <w:rsid w:val="00884A99"/>
    <w:rsid w:val="00886699"/>
    <w:rsid w:val="00892724"/>
    <w:rsid w:val="00894A78"/>
    <w:rsid w:val="008A1688"/>
    <w:rsid w:val="008A1E6A"/>
    <w:rsid w:val="008B1A0B"/>
    <w:rsid w:val="008B3F2F"/>
    <w:rsid w:val="008B6686"/>
    <w:rsid w:val="008B69B4"/>
    <w:rsid w:val="008C0464"/>
    <w:rsid w:val="008C0624"/>
    <w:rsid w:val="008C350C"/>
    <w:rsid w:val="008C493A"/>
    <w:rsid w:val="008C6A88"/>
    <w:rsid w:val="008E044A"/>
    <w:rsid w:val="008E196B"/>
    <w:rsid w:val="008E573F"/>
    <w:rsid w:val="008F26C6"/>
    <w:rsid w:val="008F33E4"/>
    <w:rsid w:val="00902BAF"/>
    <w:rsid w:val="009039BA"/>
    <w:rsid w:val="00903F27"/>
    <w:rsid w:val="00905ED8"/>
    <w:rsid w:val="0090794C"/>
    <w:rsid w:val="009100E8"/>
    <w:rsid w:val="00910C31"/>
    <w:rsid w:val="0091116E"/>
    <w:rsid w:val="009112CA"/>
    <w:rsid w:val="00912A56"/>
    <w:rsid w:val="00913B95"/>
    <w:rsid w:val="00913DE8"/>
    <w:rsid w:val="009152D0"/>
    <w:rsid w:val="00915BC1"/>
    <w:rsid w:val="00915E6F"/>
    <w:rsid w:val="00926F58"/>
    <w:rsid w:val="00927136"/>
    <w:rsid w:val="00927554"/>
    <w:rsid w:val="00930185"/>
    <w:rsid w:val="00932193"/>
    <w:rsid w:val="00934871"/>
    <w:rsid w:val="00935B65"/>
    <w:rsid w:val="009365B5"/>
    <w:rsid w:val="00940C2E"/>
    <w:rsid w:val="00943341"/>
    <w:rsid w:val="009472E0"/>
    <w:rsid w:val="00950ED1"/>
    <w:rsid w:val="009523FE"/>
    <w:rsid w:val="00955B1D"/>
    <w:rsid w:val="00962493"/>
    <w:rsid w:val="00962BB9"/>
    <w:rsid w:val="009632A1"/>
    <w:rsid w:val="009641F2"/>
    <w:rsid w:val="00965FBE"/>
    <w:rsid w:val="00966379"/>
    <w:rsid w:val="00967683"/>
    <w:rsid w:val="0096780E"/>
    <w:rsid w:val="00972196"/>
    <w:rsid w:val="00977724"/>
    <w:rsid w:val="00985AFB"/>
    <w:rsid w:val="00993095"/>
    <w:rsid w:val="009941BA"/>
    <w:rsid w:val="009A0069"/>
    <w:rsid w:val="009A110B"/>
    <w:rsid w:val="009A2F8D"/>
    <w:rsid w:val="009A46A4"/>
    <w:rsid w:val="009A46F5"/>
    <w:rsid w:val="009A4CCA"/>
    <w:rsid w:val="009A62E7"/>
    <w:rsid w:val="009B270A"/>
    <w:rsid w:val="009B6ABA"/>
    <w:rsid w:val="009B7026"/>
    <w:rsid w:val="009D02C1"/>
    <w:rsid w:val="009D1D6D"/>
    <w:rsid w:val="009D2DB9"/>
    <w:rsid w:val="009D4D25"/>
    <w:rsid w:val="009D6C20"/>
    <w:rsid w:val="009D7838"/>
    <w:rsid w:val="009E051C"/>
    <w:rsid w:val="009E4DCE"/>
    <w:rsid w:val="009F60AF"/>
    <w:rsid w:val="009F6B64"/>
    <w:rsid w:val="009F79D6"/>
    <w:rsid w:val="00A012FB"/>
    <w:rsid w:val="00A04FEF"/>
    <w:rsid w:val="00A052A6"/>
    <w:rsid w:val="00A13D32"/>
    <w:rsid w:val="00A20031"/>
    <w:rsid w:val="00A212CA"/>
    <w:rsid w:val="00A34D3C"/>
    <w:rsid w:val="00A35484"/>
    <w:rsid w:val="00A355E7"/>
    <w:rsid w:val="00A35F31"/>
    <w:rsid w:val="00A36230"/>
    <w:rsid w:val="00A36DDF"/>
    <w:rsid w:val="00A36E0A"/>
    <w:rsid w:val="00A51FA4"/>
    <w:rsid w:val="00A53247"/>
    <w:rsid w:val="00A53914"/>
    <w:rsid w:val="00A56C1B"/>
    <w:rsid w:val="00A576C9"/>
    <w:rsid w:val="00A608E8"/>
    <w:rsid w:val="00A6104C"/>
    <w:rsid w:val="00A618AF"/>
    <w:rsid w:val="00A631CB"/>
    <w:rsid w:val="00A63FFA"/>
    <w:rsid w:val="00A64952"/>
    <w:rsid w:val="00A70785"/>
    <w:rsid w:val="00A73198"/>
    <w:rsid w:val="00A77193"/>
    <w:rsid w:val="00A81851"/>
    <w:rsid w:val="00A839FD"/>
    <w:rsid w:val="00A84D41"/>
    <w:rsid w:val="00A8594B"/>
    <w:rsid w:val="00A85A5B"/>
    <w:rsid w:val="00A90222"/>
    <w:rsid w:val="00A9182D"/>
    <w:rsid w:val="00A92530"/>
    <w:rsid w:val="00A939F9"/>
    <w:rsid w:val="00A94E1C"/>
    <w:rsid w:val="00A96AE1"/>
    <w:rsid w:val="00AA6EAB"/>
    <w:rsid w:val="00AB1578"/>
    <w:rsid w:val="00AB3513"/>
    <w:rsid w:val="00AB3AFC"/>
    <w:rsid w:val="00AB44C8"/>
    <w:rsid w:val="00AB7A67"/>
    <w:rsid w:val="00AC0413"/>
    <w:rsid w:val="00AC2010"/>
    <w:rsid w:val="00AC28B6"/>
    <w:rsid w:val="00AC46A9"/>
    <w:rsid w:val="00AD3FCF"/>
    <w:rsid w:val="00AD70D2"/>
    <w:rsid w:val="00AE2376"/>
    <w:rsid w:val="00AE4CC1"/>
    <w:rsid w:val="00AE64BC"/>
    <w:rsid w:val="00AF0E42"/>
    <w:rsid w:val="00AF45A3"/>
    <w:rsid w:val="00AF7820"/>
    <w:rsid w:val="00B01024"/>
    <w:rsid w:val="00B017CE"/>
    <w:rsid w:val="00B04CDC"/>
    <w:rsid w:val="00B066AA"/>
    <w:rsid w:val="00B100B1"/>
    <w:rsid w:val="00B10C7B"/>
    <w:rsid w:val="00B12350"/>
    <w:rsid w:val="00B14762"/>
    <w:rsid w:val="00B20DEF"/>
    <w:rsid w:val="00B2393E"/>
    <w:rsid w:val="00B23AAA"/>
    <w:rsid w:val="00B2787A"/>
    <w:rsid w:val="00B3393C"/>
    <w:rsid w:val="00B35081"/>
    <w:rsid w:val="00B405F5"/>
    <w:rsid w:val="00B42C6C"/>
    <w:rsid w:val="00B45F9E"/>
    <w:rsid w:val="00B46F3A"/>
    <w:rsid w:val="00B4790E"/>
    <w:rsid w:val="00B50F04"/>
    <w:rsid w:val="00B51BF3"/>
    <w:rsid w:val="00B5465E"/>
    <w:rsid w:val="00B54C41"/>
    <w:rsid w:val="00B55875"/>
    <w:rsid w:val="00B56404"/>
    <w:rsid w:val="00B60509"/>
    <w:rsid w:val="00B611AF"/>
    <w:rsid w:val="00B61C15"/>
    <w:rsid w:val="00B63E17"/>
    <w:rsid w:val="00B652E8"/>
    <w:rsid w:val="00B677EF"/>
    <w:rsid w:val="00B718F8"/>
    <w:rsid w:val="00B72CAD"/>
    <w:rsid w:val="00B72CCB"/>
    <w:rsid w:val="00B73E3C"/>
    <w:rsid w:val="00B74A8F"/>
    <w:rsid w:val="00B77CAB"/>
    <w:rsid w:val="00B800C9"/>
    <w:rsid w:val="00B81CB4"/>
    <w:rsid w:val="00B85002"/>
    <w:rsid w:val="00B8727B"/>
    <w:rsid w:val="00B9109C"/>
    <w:rsid w:val="00B93D77"/>
    <w:rsid w:val="00B94731"/>
    <w:rsid w:val="00B97459"/>
    <w:rsid w:val="00BA0F82"/>
    <w:rsid w:val="00BA1294"/>
    <w:rsid w:val="00BA1392"/>
    <w:rsid w:val="00BA7ED0"/>
    <w:rsid w:val="00BB0D3B"/>
    <w:rsid w:val="00BB3B37"/>
    <w:rsid w:val="00BB744E"/>
    <w:rsid w:val="00BC0308"/>
    <w:rsid w:val="00BC03B3"/>
    <w:rsid w:val="00BC61A0"/>
    <w:rsid w:val="00BD14BB"/>
    <w:rsid w:val="00BD2A07"/>
    <w:rsid w:val="00BD2E6D"/>
    <w:rsid w:val="00BD3FB3"/>
    <w:rsid w:val="00BD7BAC"/>
    <w:rsid w:val="00BE12CF"/>
    <w:rsid w:val="00BE2544"/>
    <w:rsid w:val="00BE70BC"/>
    <w:rsid w:val="00BE719B"/>
    <w:rsid w:val="00BF1B0E"/>
    <w:rsid w:val="00BF3B86"/>
    <w:rsid w:val="00BF604A"/>
    <w:rsid w:val="00C05C8E"/>
    <w:rsid w:val="00C07046"/>
    <w:rsid w:val="00C103C5"/>
    <w:rsid w:val="00C10DD8"/>
    <w:rsid w:val="00C1776C"/>
    <w:rsid w:val="00C17900"/>
    <w:rsid w:val="00C2058B"/>
    <w:rsid w:val="00C20914"/>
    <w:rsid w:val="00C210DB"/>
    <w:rsid w:val="00C2145C"/>
    <w:rsid w:val="00C227E0"/>
    <w:rsid w:val="00C2437C"/>
    <w:rsid w:val="00C2455C"/>
    <w:rsid w:val="00C254C6"/>
    <w:rsid w:val="00C266C8"/>
    <w:rsid w:val="00C30BFD"/>
    <w:rsid w:val="00C31DFB"/>
    <w:rsid w:val="00C32774"/>
    <w:rsid w:val="00C32A6A"/>
    <w:rsid w:val="00C3550C"/>
    <w:rsid w:val="00C36FD9"/>
    <w:rsid w:val="00C4062C"/>
    <w:rsid w:val="00C408AA"/>
    <w:rsid w:val="00C411A9"/>
    <w:rsid w:val="00C439EC"/>
    <w:rsid w:val="00C47BA5"/>
    <w:rsid w:val="00C52F89"/>
    <w:rsid w:val="00C539B4"/>
    <w:rsid w:val="00C54023"/>
    <w:rsid w:val="00C63348"/>
    <w:rsid w:val="00C646E7"/>
    <w:rsid w:val="00C656F9"/>
    <w:rsid w:val="00C6790D"/>
    <w:rsid w:val="00C67A82"/>
    <w:rsid w:val="00C741B9"/>
    <w:rsid w:val="00C8151C"/>
    <w:rsid w:val="00C82C58"/>
    <w:rsid w:val="00C83751"/>
    <w:rsid w:val="00C83F67"/>
    <w:rsid w:val="00C8649A"/>
    <w:rsid w:val="00C869F0"/>
    <w:rsid w:val="00C877D6"/>
    <w:rsid w:val="00C940EC"/>
    <w:rsid w:val="00C97C50"/>
    <w:rsid w:val="00CA028B"/>
    <w:rsid w:val="00CA172F"/>
    <w:rsid w:val="00CA1DBD"/>
    <w:rsid w:val="00CA262A"/>
    <w:rsid w:val="00CA7192"/>
    <w:rsid w:val="00CB1427"/>
    <w:rsid w:val="00CB2CE1"/>
    <w:rsid w:val="00CB4EE3"/>
    <w:rsid w:val="00CB5E0D"/>
    <w:rsid w:val="00CB7318"/>
    <w:rsid w:val="00CC017D"/>
    <w:rsid w:val="00CC1740"/>
    <w:rsid w:val="00CC6CA4"/>
    <w:rsid w:val="00CD006D"/>
    <w:rsid w:val="00CD0927"/>
    <w:rsid w:val="00CD5776"/>
    <w:rsid w:val="00CD5FB5"/>
    <w:rsid w:val="00CD7747"/>
    <w:rsid w:val="00CE14A7"/>
    <w:rsid w:val="00CE3C89"/>
    <w:rsid w:val="00CE61C8"/>
    <w:rsid w:val="00CF0348"/>
    <w:rsid w:val="00CF2857"/>
    <w:rsid w:val="00CF335E"/>
    <w:rsid w:val="00CF4B2A"/>
    <w:rsid w:val="00CF6387"/>
    <w:rsid w:val="00D01684"/>
    <w:rsid w:val="00D040C6"/>
    <w:rsid w:val="00D04183"/>
    <w:rsid w:val="00D12913"/>
    <w:rsid w:val="00D24108"/>
    <w:rsid w:val="00D352E8"/>
    <w:rsid w:val="00D43B54"/>
    <w:rsid w:val="00D4410F"/>
    <w:rsid w:val="00D44EA6"/>
    <w:rsid w:val="00D464EC"/>
    <w:rsid w:val="00D47A0B"/>
    <w:rsid w:val="00D549DB"/>
    <w:rsid w:val="00D54B54"/>
    <w:rsid w:val="00D54B7F"/>
    <w:rsid w:val="00D55DEE"/>
    <w:rsid w:val="00D56058"/>
    <w:rsid w:val="00D623E6"/>
    <w:rsid w:val="00D6329C"/>
    <w:rsid w:val="00D647AB"/>
    <w:rsid w:val="00D64CE0"/>
    <w:rsid w:val="00D6596C"/>
    <w:rsid w:val="00D660F2"/>
    <w:rsid w:val="00D67473"/>
    <w:rsid w:val="00D70829"/>
    <w:rsid w:val="00D73910"/>
    <w:rsid w:val="00D76BA5"/>
    <w:rsid w:val="00D838C6"/>
    <w:rsid w:val="00D851E4"/>
    <w:rsid w:val="00D87306"/>
    <w:rsid w:val="00D87701"/>
    <w:rsid w:val="00D90D70"/>
    <w:rsid w:val="00D918F6"/>
    <w:rsid w:val="00D920AA"/>
    <w:rsid w:val="00D922DD"/>
    <w:rsid w:val="00D94A7D"/>
    <w:rsid w:val="00D94F22"/>
    <w:rsid w:val="00D96AA0"/>
    <w:rsid w:val="00DA1119"/>
    <w:rsid w:val="00DA15A5"/>
    <w:rsid w:val="00DA53A2"/>
    <w:rsid w:val="00DA745A"/>
    <w:rsid w:val="00DB0757"/>
    <w:rsid w:val="00DB0E93"/>
    <w:rsid w:val="00DB2C17"/>
    <w:rsid w:val="00DB5975"/>
    <w:rsid w:val="00DB668E"/>
    <w:rsid w:val="00DC1CC3"/>
    <w:rsid w:val="00DC2651"/>
    <w:rsid w:val="00DC3103"/>
    <w:rsid w:val="00DC3BA0"/>
    <w:rsid w:val="00DC47D1"/>
    <w:rsid w:val="00DC5CF8"/>
    <w:rsid w:val="00DC6F70"/>
    <w:rsid w:val="00DC7A3F"/>
    <w:rsid w:val="00DC7DC7"/>
    <w:rsid w:val="00DD6B23"/>
    <w:rsid w:val="00DD79C2"/>
    <w:rsid w:val="00DE1ACA"/>
    <w:rsid w:val="00DE3465"/>
    <w:rsid w:val="00DE3EB2"/>
    <w:rsid w:val="00DE4D51"/>
    <w:rsid w:val="00DE5238"/>
    <w:rsid w:val="00DE613E"/>
    <w:rsid w:val="00DE6377"/>
    <w:rsid w:val="00DE6B12"/>
    <w:rsid w:val="00DE7D49"/>
    <w:rsid w:val="00DF390C"/>
    <w:rsid w:val="00DF5584"/>
    <w:rsid w:val="00DF79BB"/>
    <w:rsid w:val="00E007F4"/>
    <w:rsid w:val="00E02538"/>
    <w:rsid w:val="00E030D5"/>
    <w:rsid w:val="00E06827"/>
    <w:rsid w:val="00E10D40"/>
    <w:rsid w:val="00E13D16"/>
    <w:rsid w:val="00E16F92"/>
    <w:rsid w:val="00E21225"/>
    <w:rsid w:val="00E217F6"/>
    <w:rsid w:val="00E21941"/>
    <w:rsid w:val="00E21C26"/>
    <w:rsid w:val="00E23341"/>
    <w:rsid w:val="00E2478C"/>
    <w:rsid w:val="00E30855"/>
    <w:rsid w:val="00E31EC4"/>
    <w:rsid w:val="00E36617"/>
    <w:rsid w:val="00E42B98"/>
    <w:rsid w:val="00E458E0"/>
    <w:rsid w:val="00E505C8"/>
    <w:rsid w:val="00E52A8D"/>
    <w:rsid w:val="00E5316B"/>
    <w:rsid w:val="00E53979"/>
    <w:rsid w:val="00E53DDF"/>
    <w:rsid w:val="00E543C2"/>
    <w:rsid w:val="00E56AAB"/>
    <w:rsid w:val="00E571EA"/>
    <w:rsid w:val="00E576CC"/>
    <w:rsid w:val="00E57B4B"/>
    <w:rsid w:val="00E61316"/>
    <w:rsid w:val="00E61F39"/>
    <w:rsid w:val="00E63487"/>
    <w:rsid w:val="00E64341"/>
    <w:rsid w:val="00E6466E"/>
    <w:rsid w:val="00E64CD9"/>
    <w:rsid w:val="00E67394"/>
    <w:rsid w:val="00E7004C"/>
    <w:rsid w:val="00E70109"/>
    <w:rsid w:val="00E725DB"/>
    <w:rsid w:val="00E73971"/>
    <w:rsid w:val="00E74CD2"/>
    <w:rsid w:val="00E751FF"/>
    <w:rsid w:val="00E84277"/>
    <w:rsid w:val="00E854FB"/>
    <w:rsid w:val="00E86097"/>
    <w:rsid w:val="00E8643D"/>
    <w:rsid w:val="00E90435"/>
    <w:rsid w:val="00E90C6C"/>
    <w:rsid w:val="00E933F1"/>
    <w:rsid w:val="00E936B4"/>
    <w:rsid w:val="00E93F9C"/>
    <w:rsid w:val="00EA1CE2"/>
    <w:rsid w:val="00EA3C30"/>
    <w:rsid w:val="00EA7F09"/>
    <w:rsid w:val="00EB19BC"/>
    <w:rsid w:val="00EB466B"/>
    <w:rsid w:val="00EB5F49"/>
    <w:rsid w:val="00EB6008"/>
    <w:rsid w:val="00EB64A3"/>
    <w:rsid w:val="00EB6D46"/>
    <w:rsid w:val="00EC12BC"/>
    <w:rsid w:val="00EC1A05"/>
    <w:rsid w:val="00EC1DA5"/>
    <w:rsid w:val="00EC3281"/>
    <w:rsid w:val="00EC5452"/>
    <w:rsid w:val="00EC5D47"/>
    <w:rsid w:val="00ED2786"/>
    <w:rsid w:val="00ED358E"/>
    <w:rsid w:val="00ED4DF6"/>
    <w:rsid w:val="00ED4F3F"/>
    <w:rsid w:val="00ED56FA"/>
    <w:rsid w:val="00ED5CD8"/>
    <w:rsid w:val="00EE0001"/>
    <w:rsid w:val="00EE26DC"/>
    <w:rsid w:val="00EE3BE1"/>
    <w:rsid w:val="00EE54A2"/>
    <w:rsid w:val="00EF2579"/>
    <w:rsid w:val="00EF3F5C"/>
    <w:rsid w:val="00F01A2E"/>
    <w:rsid w:val="00F0209E"/>
    <w:rsid w:val="00F026D0"/>
    <w:rsid w:val="00F037F2"/>
    <w:rsid w:val="00F04CAA"/>
    <w:rsid w:val="00F069B2"/>
    <w:rsid w:val="00F11238"/>
    <w:rsid w:val="00F1128D"/>
    <w:rsid w:val="00F11848"/>
    <w:rsid w:val="00F168C6"/>
    <w:rsid w:val="00F20302"/>
    <w:rsid w:val="00F203F1"/>
    <w:rsid w:val="00F21391"/>
    <w:rsid w:val="00F21E7A"/>
    <w:rsid w:val="00F22DAF"/>
    <w:rsid w:val="00F27DF5"/>
    <w:rsid w:val="00F30DD6"/>
    <w:rsid w:val="00F31F98"/>
    <w:rsid w:val="00F32B98"/>
    <w:rsid w:val="00F3374C"/>
    <w:rsid w:val="00F34429"/>
    <w:rsid w:val="00F357B3"/>
    <w:rsid w:val="00F36EA7"/>
    <w:rsid w:val="00F40630"/>
    <w:rsid w:val="00F41BC4"/>
    <w:rsid w:val="00F433BA"/>
    <w:rsid w:val="00F44C75"/>
    <w:rsid w:val="00F472BF"/>
    <w:rsid w:val="00F521E6"/>
    <w:rsid w:val="00F526A4"/>
    <w:rsid w:val="00F52F6B"/>
    <w:rsid w:val="00F67461"/>
    <w:rsid w:val="00F70795"/>
    <w:rsid w:val="00F727C2"/>
    <w:rsid w:val="00F7287D"/>
    <w:rsid w:val="00F73102"/>
    <w:rsid w:val="00F731BB"/>
    <w:rsid w:val="00F76422"/>
    <w:rsid w:val="00F8051A"/>
    <w:rsid w:val="00F8320F"/>
    <w:rsid w:val="00F860F7"/>
    <w:rsid w:val="00F86D8A"/>
    <w:rsid w:val="00F90528"/>
    <w:rsid w:val="00F90754"/>
    <w:rsid w:val="00F910E7"/>
    <w:rsid w:val="00F922B3"/>
    <w:rsid w:val="00F929C4"/>
    <w:rsid w:val="00F93417"/>
    <w:rsid w:val="00FA0DAF"/>
    <w:rsid w:val="00FA1078"/>
    <w:rsid w:val="00FA218E"/>
    <w:rsid w:val="00FA2AA3"/>
    <w:rsid w:val="00FA2E00"/>
    <w:rsid w:val="00FA33CE"/>
    <w:rsid w:val="00FA79F5"/>
    <w:rsid w:val="00FAC9F0"/>
    <w:rsid w:val="00FB3EAB"/>
    <w:rsid w:val="00FB4B02"/>
    <w:rsid w:val="00FB62C3"/>
    <w:rsid w:val="00FB7228"/>
    <w:rsid w:val="00FB7B4B"/>
    <w:rsid w:val="00FC53BE"/>
    <w:rsid w:val="00FC6A7F"/>
    <w:rsid w:val="00FC706C"/>
    <w:rsid w:val="00FD243D"/>
    <w:rsid w:val="00FE3357"/>
    <w:rsid w:val="00FE3BFB"/>
    <w:rsid w:val="00FE4ADB"/>
    <w:rsid w:val="00FE59A0"/>
    <w:rsid w:val="00FF12BA"/>
    <w:rsid w:val="00FF1A6A"/>
    <w:rsid w:val="00FF5D54"/>
    <w:rsid w:val="011E6448"/>
    <w:rsid w:val="0128D813"/>
    <w:rsid w:val="0160F6AA"/>
    <w:rsid w:val="01B49C9A"/>
    <w:rsid w:val="01C92274"/>
    <w:rsid w:val="01DE2922"/>
    <w:rsid w:val="021809E3"/>
    <w:rsid w:val="02271CAA"/>
    <w:rsid w:val="0234050E"/>
    <w:rsid w:val="027EDF2A"/>
    <w:rsid w:val="02BF8F27"/>
    <w:rsid w:val="02C69B7A"/>
    <w:rsid w:val="0340E0B1"/>
    <w:rsid w:val="03672ADE"/>
    <w:rsid w:val="037BEE9F"/>
    <w:rsid w:val="0385ADD4"/>
    <w:rsid w:val="03E67674"/>
    <w:rsid w:val="0426DCFC"/>
    <w:rsid w:val="0446EDDF"/>
    <w:rsid w:val="046B71D1"/>
    <w:rsid w:val="047E7E25"/>
    <w:rsid w:val="049AFB98"/>
    <w:rsid w:val="04D08368"/>
    <w:rsid w:val="050493E1"/>
    <w:rsid w:val="05529578"/>
    <w:rsid w:val="05643200"/>
    <w:rsid w:val="05851F72"/>
    <w:rsid w:val="05AEED66"/>
    <w:rsid w:val="063C84DD"/>
    <w:rsid w:val="0641F764"/>
    <w:rsid w:val="0650C985"/>
    <w:rsid w:val="067B5030"/>
    <w:rsid w:val="06A5A4F5"/>
    <w:rsid w:val="06A7597E"/>
    <w:rsid w:val="06C6F9BA"/>
    <w:rsid w:val="06D80893"/>
    <w:rsid w:val="06EB581C"/>
    <w:rsid w:val="0783678B"/>
    <w:rsid w:val="078ECAF1"/>
    <w:rsid w:val="07EC3C47"/>
    <w:rsid w:val="082BA66E"/>
    <w:rsid w:val="08423734"/>
    <w:rsid w:val="09433E43"/>
    <w:rsid w:val="09860631"/>
    <w:rsid w:val="09894545"/>
    <w:rsid w:val="09D982AE"/>
    <w:rsid w:val="0A0F42C7"/>
    <w:rsid w:val="0A23639B"/>
    <w:rsid w:val="0A42AED2"/>
    <w:rsid w:val="0A7E7334"/>
    <w:rsid w:val="0AC5FD2B"/>
    <w:rsid w:val="0AC7BBF7"/>
    <w:rsid w:val="0ACB916C"/>
    <w:rsid w:val="0B15E92E"/>
    <w:rsid w:val="0B1B0DCD"/>
    <w:rsid w:val="0BB7AED9"/>
    <w:rsid w:val="0BE6102A"/>
    <w:rsid w:val="0BF5061F"/>
    <w:rsid w:val="0C945243"/>
    <w:rsid w:val="0CC736CE"/>
    <w:rsid w:val="0D2FBC7C"/>
    <w:rsid w:val="0D330245"/>
    <w:rsid w:val="0D47C03E"/>
    <w:rsid w:val="0D4D598F"/>
    <w:rsid w:val="0D5EB0C1"/>
    <w:rsid w:val="0D6A8EB3"/>
    <w:rsid w:val="0DAF085C"/>
    <w:rsid w:val="0DB4FE02"/>
    <w:rsid w:val="0DCFC82F"/>
    <w:rsid w:val="0DF9F00D"/>
    <w:rsid w:val="0E5AD965"/>
    <w:rsid w:val="0E7B9920"/>
    <w:rsid w:val="0E80E03E"/>
    <w:rsid w:val="0EAE874F"/>
    <w:rsid w:val="0EF0C7DE"/>
    <w:rsid w:val="0FA1C95D"/>
    <w:rsid w:val="0FD5A373"/>
    <w:rsid w:val="102D5AC6"/>
    <w:rsid w:val="1036A36D"/>
    <w:rsid w:val="1057E2E2"/>
    <w:rsid w:val="1070033B"/>
    <w:rsid w:val="108F4FAF"/>
    <w:rsid w:val="10F01471"/>
    <w:rsid w:val="110B8973"/>
    <w:rsid w:val="112CF685"/>
    <w:rsid w:val="11398E3D"/>
    <w:rsid w:val="119AF687"/>
    <w:rsid w:val="119E1606"/>
    <w:rsid w:val="11F44CC1"/>
    <w:rsid w:val="121BE623"/>
    <w:rsid w:val="122AE94D"/>
    <w:rsid w:val="125B0324"/>
    <w:rsid w:val="13735937"/>
    <w:rsid w:val="138B0E1E"/>
    <w:rsid w:val="13DA7313"/>
    <w:rsid w:val="13EB8C7E"/>
    <w:rsid w:val="141E718E"/>
    <w:rsid w:val="14678DF7"/>
    <w:rsid w:val="14926D4D"/>
    <w:rsid w:val="14955C0C"/>
    <w:rsid w:val="14995C1B"/>
    <w:rsid w:val="15403862"/>
    <w:rsid w:val="1587A104"/>
    <w:rsid w:val="15FC6E95"/>
    <w:rsid w:val="1682A40D"/>
    <w:rsid w:val="16A0EFE8"/>
    <w:rsid w:val="1706E953"/>
    <w:rsid w:val="171B1BF8"/>
    <w:rsid w:val="17285D5D"/>
    <w:rsid w:val="17295374"/>
    <w:rsid w:val="17348B0D"/>
    <w:rsid w:val="178A2EBC"/>
    <w:rsid w:val="178AA5A3"/>
    <w:rsid w:val="182B5E93"/>
    <w:rsid w:val="187DA25A"/>
    <w:rsid w:val="18D4FE28"/>
    <w:rsid w:val="18E94377"/>
    <w:rsid w:val="19187C12"/>
    <w:rsid w:val="1962F793"/>
    <w:rsid w:val="19BE85D9"/>
    <w:rsid w:val="19CEB889"/>
    <w:rsid w:val="1A07388D"/>
    <w:rsid w:val="1A3FB146"/>
    <w:rsid w:val="1AAFD66F"/>
    <w:rsid w:val="1AE988C4"/>
    <w:rsid w:val="1B5B7C6D"/>
    <w:rsid w:val="1B8B44FF"/>
    <w:rsid w:val="1B974A02"/>
    <w:rsid w:val="1BAA7B6E"/>
    <w:rsid w:val="1C47A51F"/>
    <w:rsid w:val="1C762E90"/>
    <w:rsid w:val="1CBB6CB9"/>
    <w:rsid w:val="1CF00106"/>
    <w:rsid w:val="1D560526"/>
    <w:rsid w:val="1DE3A450"/>
    <w:rsid w:val="1E479B56"/>
    <w:rsid w:val="1E89DD35"/>
    <w:rsid w:val="1E928E8F"/>
    <w:rsid w:val="1EDC299F"/>
    <w:rsid w:val="1EFC81D9"/>
    <w:rsid w:val="1F11CBC4"/>
    <w:rsid w:val="1F2D1221"/>
    <w:rsid w:val="1F390868"/>
    <w:rsid w:val="1F507C77"/>
    <w:rsid w:val="1F9456CA"/>
    <w:rsid w:val="1F973A6D"/>
    <w:rsid w:val="1F998825"/>
    <w:rsid w:val="203DA6EA"/>
    <w:rsid w:val="2089D467"/>
    <w:rsid w:val="208B0B84"/>
    <w:rsid w:val="2092D2DA"/>
    <w:rsid w:val="20C2D920"/>
    <w:rsid w:val="211ED23C"/>
    <w:rsid w:val="212D62AC"/>
    <w:rsid w:val="2131909E"/>
    <w:rsid w:val="21D19477"/>
    <w:rsid w:val="21DAF127"/>
    <w:rsid w:val="225771AE"/>
    <w:rsid w:val="225FE66B"/>
    <w:rsid w:val="2295F392"/>
    <w:rsid w:val="22AF5F88"/>
    <w:rsid w:val="22C70F30"/>
    <w:rsid w:val="22DE4022"/>
    <w:rsid w:val="2358D3D5"/>
    <w:rsid w:val="2472EB2C"/>
    <w:rsid w:val="24C6DABB"/>
    <w:rsid w:val="24D2574F"/>
    <w:rsid w:val="24E875A1"/>
    <w:rsid w:val="25517371"/>
    <w:rsid w:val="25917C4E"/>
    <w:rsid w:val="2635F4F8"/>
    <w:rsid w:val="26930571"/>
    <w:rsid w:val="26960FAC"/>
    <w:rsid w:val="26EE6A53"/>
    <w:rsid w:val="2709C669"/>
    <w:rsid w:val="272AAC82"/>
    <w:rsid w:val="2733ED3A"/>
    <w:rsid w:val="27550840"/>
    <w:rsid w:val="27A2F9A1"/>
    <w:rsid w:val="27CD3749"/>
    <w:rsid w:val="27DBD6BE"/>
    <w:rsid w:val="27E0072D"/>
    <w:rsid w:val="2817B205"/>
    <w:rsid w:val="286A66D2"/>
    <w:rsid w:val="28FCDEDF"/>
    <w:rsid w:val="296262DD"/>
    <w:rsid w:val="29727488"/>
    <w:rsid w:val="2985D79B"/>
    <w:rsid w:val="2998B1C9"/>
    <w:rsid w:val="29A9554F"/>
    <w:rsid w:val="29AB7E92"/>
    <w:rsid w:val="29ACDBBC"/>
    <w:rsid w:val="2A2DF8EE"/>
    <w:rsid w:val="2AAE12ED"/>
    <w:rsid w:val="2AF856D3"/>
    <w:rsid w:val="2B071F86"/>
    <w:rsid w:val="2B5959D5"/>
    <w:rsid w:val="2B8B3127"/>
    <w:rsid w:val="2BFBD596"/>
    <w:rsid w:val="2C522564"/>
    <w:rsid w:val="2C6D6AFB"/>
    <w:rsid w:val="2CAEA6F5"/>
    <w:rsid w:val="2CD18A80"/>
    <w:rsid w:val="2CD48B42"/>
    <w:rsid w:val="2CF4E75E"/>
    <w:rsid w:val="2D091B97"/>
    <w:rsid w:val="2D4541FF"/>
    <w:rsid w:val="2D89E6BA"/>
    <w:rsid w:val="2DBD845C"/>
    <w:rsid w:val="2DE90A34"/>
    <w:rsid w:val="2E0A4842"/>
    <w:rsid w:val="2E0F6084"/>
    <w:rsid w:val="2E45DDBF"/>
    <w:rsid w:val="2E982E3F"/>
    <w:rsid w:val="2E9B678A"/>
    <w:rsid w:val="2EF0820B"/>
    <w:rsid w:val="2EFDA65C"/>
    <w:rsid w:val="2F6A1657"/>
    <w:rsid w:val="2F80C3E8"/>
    <w:rsid w:val="2F933DBF"/>
    <w:rsid w:val="2FB9A8CC"/>
    <w:rsid w:val="2FEAAB69"/>
    <w:rsid w:val="30732817"/>
    <w:rsid w:val="30824B16"/>
    <w:rsid w:val="30AC1458"/>
    <w:rsid w:val="31098F7D"/>
    <w:rsid w:val="313536AF"/>
    <w:rsid w:val="313A9517"/>
    <w:rsid w:val="314419B3"/>
    <w:rsid w:val="31EA45F7"/>
    <w:rsid w:val="321CFD52"/>
    <w:rsid w:val="321DDC8E"/>
    <w:rsid w:val="325AD685"/>
    <w:rsid w:val="326C8FA6"/>
    <w:rsid w:val="32949D37"/>
    <w:rsid w:val="32AE18F3"/>
    <w:rsid w:val="3316D16E"/>
    <w:rsid w:val="334B5848"/>
    <w:rsid w:val="334BC6C3"/>
    <w:rsid w:val="33AA5612"/>
    <w:rsid w:val="3411AE3D"/>
    <w:rsid w:val="34332856"/>
    <w:rsid w:val="344735BC"/>
    <w:rsid w:val="34696513"/>
    <w:rsid w:val="34B4D025"/>
    <w:rsid w:val="34CA803B"/>
    <w:rsid w:val="34EA26CE"/>
    <w:rsid w:val="356B3594"/>
    <w:rsid w:val="360A2321"/>
    <w:rsid w:val="360A751C"/>
    <w:rsid w:val="3628AEA2"/>
    <w:rsid w:val="363FE452"/>
    <w:rsid w:val="36A88027"/>
    <w:rsid w:val="371BB8D2"/>
    <w:rsid w:val="3735ED4F"/>
    <w:rsid w:val="376ACC92"/>
    <w:rsid w:val="37A8119D"/>
    <w:rsid w:val="37BCD936"/>
    <w:rsid w:val="37CE4D74"/>
    <w:rsid w:val="385C2ADF"/>
    <w:rsid w:val="38A1B6E1"/>
    <w:rsid w:val="38AE489A"/>
    <w:rsid w:val="38FD26B1"/>
    <w:rsid w:val="3922D52B"/>
    <w:rsid w:val="393DBD2B"/>
    <w:rsid w:val="39475832"/>
    <w:rsid w:val="39890933"/>
    <w:rsid w:val="3A3DFF6F"/>
    <w:rsid w:val="3A7CA1C9"/>
    <w:rsid w:val="3A8C7F0A"/>
    <w:rsid w:val="3B6E5DB1"/>
    <w:rsid w:val="3B8B0E15"/>
    <w:rsid w:val="3C1C9BB1"/>
    <w:rsid w:val="3C4789D6"/>
    <w:rsid w:val="3C5FE201"/>
    <w:rsid w:val="3CACDBE0"/>
    <w:rsid w:val="3CD06371"/>
    <w:rsid w:val="3D0D494F"/>
    <w:rsid w:val="3D64FBD2"/>
    <w:rsid w:val="3D6B6FBC"/>
    <w:rsid w:val="3D74A0FE"/>
    <w:rsid w:val="3DB592B5"/>
    <w:rsid w:val="3DBC717D"/>
    <w:rsid w:val="3DDF14D5"/>
    <w:rsid w:val="3E081183"/>
    <w:rsid w:val="3E0A0AD3"/>
    <w:rsid w:val="3E0D49ED"/>
    <w:rsid w:val="3E0DEFE9"/>
    <w:rsid w:val="3E18CEDA"/>
    <w:rsid w:val="3E25DA93"/>
    <w:rsid w:val="3EDAB806"/>
    <w:rsid w:val="3F9857F6"/>
    <w:rsid w:val="3FAE9E54"/>
    <w:rsid w:val="3FBC5899"/>
    <w:rsid w:val="40156C0E"/>
    <w:rsid w:val="4039AB9B"/>
    <w:rsid w:val="40418DDE"/>
    <w:rsid w:val="40B75D6C"/>
    <w:rsid w:val="40BE6DC6"/>
    <w:rsid w:val="4112E5DA"/>
    <w:rsid w:val="41207058"/>
    <w:rsid w:val="412F4E54"/>
    <w:rsid w:val="413F99F7"/>
    <w:rsid w:val="414C6D23"/>
    <w:rsid w:val="419BC48A"/>
    <w:rsid w:val="423F58C4"/>
    <w:rsid w:val="4290F84D"/>
    <w:rsid w:val="42D83338"/>
    <w:rsid w:val="431B65CA"/>
    <w:rsid w:val="43BD4FD6"/>
    <w:rsid w:val="43E95BCA"/>
    <w:rsid w:val="4414C355"/>
    <w:rsid w:val="4421CDF2"/>
    <w:rsid w:val="44ED5A49"/>
    <w:rsid w:val="45480436"/>
    <w:rsid w:val="45510F36"/>
    <w:rsid w:val="4578EC43"/>
    <w:rsid w:val="45A021E1"/>
    <w:rsid w:val="45FC617D"/>
    <w:rsid w:val="460686F7"/>
    <w:rsid w:val="46A5A31F"/>
    <w:rsid w:val="46ADB419"/>
    <w:rsid w:val="46CE0716"/>
    <w:rsid w:val="46E4B921"/>
    <w:rsid w:val="4708D05C"/>
    <w:rsid w:val="47C251D5"/>
    <w:rsid w:val="47E2AE06"/>
    <w:rsid w:val="486C2A93"/>
    <w:rsid w:val="48F09E40"/>
    <w:rsid w:val="48F2DBFE"/>
    <w:rsid w:val="49031D74"/>
    <w:rsid w:val="493A0A01"/>
    <w:rsid w:val="494F3E12"/>
    <w:rsid w:val="498DC8BC"/>
    <w:rsid w:val="49CFA175"/>
    <w:rsid w:val="49F32900"/>
    <w:rsid w:val="49FCA9F2"/>
    <w:rsid w:val="4A52384C"/>
    <w:rsid w:val="4A54E011"/>
    <w:rsid w:val="4A7C5360"/>
    <w:rsid w:val="4AD27034"/>
    <w:rsid w:val="4AEC0981"/>
    <w:rsid w:val="4BD99BF7"/>
    <w:rsid w:val="4C3633AC"/>
    <w:rsid w:val="4C7BCBC7"/>
    <w:rsid w:val="4C978874"/>
    <w:rsid w:val="4D08E079"/>
    <w:rsid w:val="4D29D445"/>
    <w:rsid w:val="4D47DA6B"/>
    <w:rsid w:val="4D4C8592"/>
    <w:rsid w:val="4D5D46B6"/>
    <w:rsid w:val="4DA4A2F1"/>
    <w:rsid w:val="4DCBBD58"/>
    <w:rsid w:val="4DE46488"/>
    <w:rsid w:val="4E7EE627"/>
    <w:rsid w:val="4E942376"/>
    <w:rsid w:val="4F7507D0"/>
    <w:rsid w:val="4F955EC3"/>
    <w:rsid w:val="4FA0FD4C"/>
    <w:rsid w:val="4FAC5DDB"/>
    <w:rsid w:val="4FF9DF0B"/>
    <w:rsid w:val="504EF233"/>
    <w:rsid w:val="50ADFB7F"/>
    <w:rsid w:val="50B1F651"/>
    <w:rsid w:val="50DE0480"/>
    <w:rsid w:val="50F6E3D6"/>
    <w:rsid w:val="50F7DDF9"/>
    <w:rsid w:val="5107E003"/>
    <w:rsid w:val="5114F004"/>
    <w:rsid w:val="513248F9"/>
    <w:rsid w:val="5152A4B0"/>
    <w:rsid w:val="5199F7D9"/>
    <w:rsid w:val="51AAD360"/>
    <w:rsid w:val="51BC1A03"/>
    <w:rsid w:val="52106EB1"/>
    <w:rsid w:val="522BD4FC"/>
    <w:rsid w:val="529BEC5F"/>
    <w:rsid w:val="52E28BDA"/>
    <w:rsid w:val="52FB5F16"/>
    <w:rsid w:val="5377C0F9"/>
    <w:rsid w:val="5384576A"/>
    <w:rsid w:val="539C6E62"/>
    <w:rsid w:val="539D9835"/>
    <w:rsid w:val="53FB7AC2"/>
    <w:rsid w:val="54340F01"/>
    <w:rsid w:val="54AA427B"/>
    <w:rsid w:val="54BEC871"/>
    <w:rsid w:val="55952432"/>
    <w:rsid w:val="56725856"/>
    <w:rsid w:val="56881BD0"/>
    <w:rsid w:val="56D4AC57"/>
    <w:rsid w:val="57288B40"/>
    <w:rsid w:val="58147400"/>
    <w:rsid w:val="5836548B"/>
    <w:rsid w:val="58480C77"/>
    <w:rsid w:val="585CF342"/>
    <w:rsid w:val="58773D8D"/>
    <w:rsid w:val="58942905"/>
    <w:rsid w:val="58C77E5B"/>
    <w:rsid w:val="59039D56"/>
    <w:rsid w:val="5938FB16"/>
    <w:rsid w:val="5947BBF8"/>
    <w:rsid w:val="595058A5"/>
    <w:rsid w:val="5968DA79"/>
    <w:rsid w:val="5969C68A"/>
    <w:rsid w:val="5A1A026A"/>
    <w:rsid w:val="5A70EDE9"/>
    <w:rsid w:val="5A85811B"/>
    <w:rsid w:val="5AB23834"/>
    <w:rsid w:val="5B01D5A8"/>
    <w:rsid w:val="5B148B44"/>
    <w:rsid w:val="5B3E7E00"/>
    <w:rsid w:val="5B7CA2A9"/>
    <w:rsid w:val="5B82C099"/>
    <w:rsid w:val="5B848EE5"/>
    <w:rsid w:val="5C00A5C7"/>
    <w:rsid w:val="5C0C34E0"/>
    <w:rsid w:val="5C357128"/>
    <w:rsid w:val="5C3C8E05"/>
    <w:rsid w:val="5C656C71"/>
    <w:rsid w:val="5C68DB23"/>
    <w:rsid w:val="5CA5FF02"/>
    <w:rsid w:val="5D029896"/>
    <w:rsid w:val="5D0E90F6"/>
    <w:rsid w:val="5DBAFBC4"/>
    <w:rsid w:val="5E7F25C1"/>
    <w:rsid w:val="5EB50898"/>
    <w:rsid w:val="5EDEC5ED"/>
    <w:rsid w:val="5EDFAF41"/>
    <w:rsid w:val="5EE833DF"/>
    <w:rsid w:val="5EFD160E"/>
    <w:rsid w:val="5F2FC769"/>
    <w:rsid w:val="5F52847E"/>
    <w:rsid w:val="5F61EEFF"/>
    <w:rsid w:val="5F6364C6"/>
    <w:rsid w:val="5F65E191"/>
    <w:rsid w:val="5FA64178"/>
    <w:rsid w:val="5FB89BD9"/>
    <w:rsid w:val="5FD197D8"/>
    <w:rsid w:val="5FE9B18E"/>
    <w:rsid w:val="600996C6"/>
    <w:rsid w:val="60377F34"/>
    <w:rsid w:val="609C3C1A"/>
    <w:rsid w:val="60A2F3B8"/>
    <w:rsid w:val="60E862F7"/>
    <w:rsid w:val="61225C12"/>
    <w:rsid w:val="618032E4"/>
    <w:rsid w:val="620FE543"/>
    <w:rsid w:val="625486AC"/>
    <w:rsid w:val="62683CC3"/>
    <w:rsid w:val="628A3C21"/>
    <w:rsid w:val="62962BBE"/>
    <w:rsid w:val="62C06796"/>
    <w:rsid w:val="62DBD6B0"/>
    <w:rsid w:val="62E5F133"/>
    <w:rsid w:val="62ECF1AF"/>
    <w:rsid w:val="62FEE631"/>
    <w:rsid w:val="6300E9E9"/>
    <w:rsid w:val="63215D43"/>
    <w:rsid w:val="6363B30E"/>
    <w:rsid w:val="63B28DB7"/>
    <w:rsid w:val="63E7C276"/>
    <w:rsid w:val="649C6459"/>
    <w:rsid w:val="64E76239"/>
    <w:rsid w:val="6514C58A"/>
    <w:rsid w:val="6522FC42"/>
    <w:rsid w:val="652D3850"/>
    <w:rsid w:val="65444E45"/>
    <w:rsid w:val="656E19B6"/>
    <w:rsid w:val="656E7D88"/>
    <w:rsid w:val="661CCA61"/>
    <w:rsid w:val="66A39A29"/>
    <w:rsid w:val="66FAE83F"/>
    <w:rsid w:val="678C90D3"/>
    <w:rsid w:val="682803E9"/>
    <w:rsid w:val="683B9CB8"/>
    <w:rsid w:val="6844CABD"/>
    <w:rsid w:val="689E1544"/>
    <w:rsid w:val="689F755D"/>
    <w:rsid w:val="68C8B0D1"/>
    <w:rsid w:val="68D21CEF"/>
    <w:rsid w:val="69B6ECCE"/>
    <w:rsid w:val="69CBDEC4"/>
    <w:rsid w:val="69E421E7"/>
    <w:rsid w:val="69FD095C"/>
    <w:rsid w:val="6ADF915F"/>
    <w:rsid w:val="6B499BBB"/>
    <w:rsid w:val="6B64D625"/>
    <w:rsid w:val="6B9C59CE"/>
    <w:rsid w:val="6BC93982"/>
    <w:rsid w:val="6BCE4C49"/>
    <w:rsid w:val="6C2C63A5"/>
    <w:rsid w:val="6D234D7C"/>
    <w:rsid w:val="6D5E4E36"/>
    <w:rsid w:val="6D9A6FD4"/>
    <w:rsid w:val="6E397CC5"/>
    <w:rsid w:val="6E4E14B7"/>
    <w:rsid w:val="6E6A6992"/>
    <w:rsid w:val="6E7D7C2E"/>
    <w:rsid w:val="6EA0FCC1"/>
    <w:rsid w:val="6EAA946F"/>
    <w:rsid w:val="6EDC718E"/>
    <w:rsid w:val="6F03A210"/>
    <w:rsid w:val="6F53E066"/>
    <w:rsid w:val="6F6DA6B0"/>
    <w:rsid w:val="6FB513DB"/>
    <w:rsid w:val="6FF9960D"/>
    <w:rsid w:val="707BEFED"/>
    <w:rsid w:val="70D7ADAF"/>
    <w:rsid w:val="714C7082"/>
    <w:rsid w:val="7172A945"/>
    <w:rsid w:val="7175D699"/>
    <w:rsid w:val="71A23CEC"/>
    <w:rsid w:val="71F257C2"/>
    <w:rsid w:val="7251182C"/>
    <w:rsid w:val="7286EDC7"/>
    <w:rsid w:val="72A8943D"/>
    <w:rsid w:val="72D75F73"/>
    <w:rsid w:val="732AC5B0"/>
    <w:rsid w:val="7353B7E2"/>
    <w:rsid w:val="73614CEC"/>
    <w:rsid w:val="7368D5B6"/>
    <w:rsid w:val="738FBC10"/>
    <w:rsid w:val="73C10A78"/>
    <w:rsid w:val="73CFE883"/>
    <w:rsid w:val="73EFA8AC"/>
    <w:rsid w:val="740A79E1"/>
    <w:rsid w:val="74230737"/>
    <w:rsid w:val="742DF1CB"/>
    <w:rsid w:val="743EBA03"/>
    <w:rsid w:val="745A5994"/>
    <w:rsid w:val="746EFE2D"/>
    <w:rsid w:val="747E825E"/>
    <w:rsid w:val="74B27AB5"/>
    <w:rsid w:val="752D4567"/>
    <w:rsid w:val="7593D38D"/>
    <w:rsid w:val="75DD35CB"/>
    <w:rsid w:val="7677E59F"/>
    <w:rsid w:val="76B912D0"/>
    <w:rsid w:val="774A814C"/>
    <w:rsid w:val="778B0112"/>
    <w:rsid w:val="77FA6E76"/>
    <w:rsid w:val="79388133"/>
    <w:rsid w:val="7974FEFC"/>
    <w:rsid w:val="79F73310"/>
    <w:rsid w:val="79FA6541"/>
    <w:rsid w:val="7A47EB4D"/>
    <w:rsid w:val="7AA38D87"/>
    <w:rsid w:val="7AAA1FF5"/>
    <w:rsid w:val="7AB9699D"/>
    <w:rsid w:val="7ABCFB5D"/>
    <w:rsid w:val="7B0161F2"/>
    <w:rsid w:val="7B485825"/>
    <w:rsid w:val="7BC04594"/>
    <w:rsid w:val="7BF9CBCC"/>
    <w:rsid w:val="7C254EBE"/>
    <w:rsid w:val="7C354699"/>
    <w:rsid w:val="7CB2C8ED"/>
    <w:rsid w:val="7CCA272A"/>
    <w:rsid w:val="7CCB181E"/>
    <w:rsid w:val="7CD187CC"/>
    <w:rsid w:val="7CD89725"/>
    <w:rsid w:val="7CF5A5B7"/>
    <w:rsid w:val="7D594125"/>
    <w:rsid w:val="7D677820"/>
    <w:rsid w:val="7D78DC4F"/>
    <w:rsid w:val="7D807AA3"/>
    <w:rsid w:val="7E17E6C7"/>
    <w:rsid w:val="7E384119"/>
    <w:rsid w:val="7E3F5406"/>
    <w:rsid w:val="7E7E748A"/>
    <w:rsid w:val="7E7FC2DE"/>
    <w:rsid w:val="7ECDD059"/>
    <w:rsid w:val="7ED49503"/>
    <w:rsid w:val="7EFB9DDA"/>
    <w:rsid w:val="7F113826"/>
    <w:rsid w:val="7F1D9983"/>
    <w:rsid w:val="7F234C4A"/>
    <w:rsid w:val="7F3256DD"/>
    <w:rsid w:val="7F7DD862"/>
    <w:rsid w:val="7F8CBF46"/>
    <w:rsid w:val="7FC713B0"/>
    <w:rsid w:val="7FCD4584"/>
    <w:rsid w:val="7FF5749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E422F5"/>
  <w15:chartTrackingRefBased/>
  <w15:docId w15:val="{6BF091EA-E169-4F5C-BE99-8D9917B3B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231AE"/>
    <w:pPr>
      <w:jc w:val="both"/>
      <w:outlineLvl w:val="0"/>
    </w:pPr>
    <w:rPr>
      <w:rFonts w:ascii="Aptos Black" w:hAnsi="Aptos Black"/>
      <w:b/>
      <w:bCs/>
      <w:color w:val="00B0F0"/>
      <w:sz w:val="32"/>
      <w:szCs w:val="32"/>
      <w:lang w:val="es-ES_tradnl"/>
    </w:rPr>
  </w:style>
  <w:style w:type="paragraph" w:styleId="Ttulo2">
    <w:name w:val="heading 2"/>
    <w:basedOn w:val="Normal"/>
    <w:next w:val="Normal"/>
    <w:link w:val="Ttulo2Car"/>
    <w:uiPriority w:val="9"/>
    <w:unhideWhenUsed/>
    <w:qFormat/>
    <w:rsid w:val="00AC46A9"/>
    <w:pPr>
      <w:keepNext/>
      <w:keepLines/>
      <w:spacing w:before="160" w:after="80"/>
      <w:outlineLvl w:val="1"/>
    </w:pPr>
    <w:rPr>
      <w:rFonts w:asciiTheme="majorHAnsi" w:eastAsiaTheme="majorEastAsia" w:hAnsiTheme="majorHAnsi" w:cstheme="majorBidi"/>
      <w:b/>
      <w:bCs/>
      <w:color w:val="000000" w:themeColor="text1"/>
      <w:sz w:val="28"/>
      <w:szCs w:val="28"/>
    </w:rPr>
  </w:style>
  <w:style w:type="paragraph" w:styleId="Ttulo3">
    <w:name w:val="heading 3"/>
    <w:basedOn w:val="Normal"/>
    <w:next w:val="Normal"/>
    <w:link w:val="Ttulo3Car"/>
    <w:uiPriority w:val="9"/>
    <w:unhideWhenUsed/>
    <w:qFormat/>
    <w:rsid w:val="0001518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1518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1518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1518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1518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1518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1518F"/>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231AE"/>
    <w:rPr>
      <w:rFonts w:ascii="Aptos Black" w:hAnsi="Aptos Black"/>
      <w:b/>
      <w:bCs/>
      <w:color w:val="00B0F0"/>
      <w:sz w:val="32"/>
      <w:szCs w:val="32"/>
      <w:lang w:val="es-ES_tradnl"/>
    </w:rPr>
  </w:style>
  <w:style w:type="character" w:customStyle="1" w:styleId="Ttulo2Car">
    <w:name w:val="Título 2 Car"/>
    <w:basedOn w:val="Fuentedeprrafopredeter"/>
    <w:link w:val="Ttulo2"/>
    <w:uiPriority w:val="9"/>
    <w:rsid w:val="00AC46A9"/>
    <w:rPr>
      <w:rFonts w:asciiTheme="majorHAnsi" w:eastAsiaTheme="majorEastAsia" w:hAnsiTheme="majorHAnsi" w:cstheme="majorBidi"/>
      <w:b/>
      <w:bCs/>
      <w:color w:val="000000" w:themeColor="text1"/>
      <w:sz w:val="28"/>
      <w:szCs w:val="28"/>
    </w:rPr>
  </w:style>
  <w:style w:type="character" w:customStyle="1" w:styleId="Ttulo3Car">
    <w:name w:val="Título 3 Car"/>
    <w:basedOn w:val="Fuentedeprrafopredeter"/>
    <w:link w:val="Ttulo3"/>
    <w:uiPriority w:val="9"/>
    <w:rsid w:val="0001518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1518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1518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1518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1518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1518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1518F"/>
    <w:rPr>
      <w:rFonts w:eastAsiaTheme="majorEastAsia" w:cstheme="majorBidi"/>
      <w:color w:val="272727" w:themeColor="text1" w:themeTint="D8"/>
    </w:rPr>
  </w:style>
  <w:style w:type="paragraph" w:styleId="Ttulo">
    <w:name w:val="Title"/>
    <w:basedOn w:val="Normal"/>
    <w:next w:val="Normal"/>
    <w:link w:val="TtuloCar"/>
    <w:uiPriority w:val="10"/>
    <w:qFormat/>
    <w:rsid w:val="0001518F"/>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1518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1518F"/>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1518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1518F"/>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01518F"/>
    <w:rPr>
      <w:i/>
      <w:iCs/>
      <w:color w:val="404040" w:themeColor="text1" w:themeTint="BF"/>
    </w:rPr>
  </w:style>
  <w:style w:type="paragraph" w:styleId="Prrafodelista">
    <w:name w:val="List Paragraph"/>
    <w:basedOn w:val="Normal"/>
    <w:uiPriority w:val="34"/>
    <w:qFormat/>
    <w:rsid w:val="0001518F"/>
    <w:pPr>
      <w:ind w:left="720"/>
      <w:contextualSpacing/>
    </w:pPr>
  </w:style>
  <w:style w:type="character" w:styleId="nfasisintenso">
    <w:name w:val="Intense Emphasis"/>
    <w:basedOn w:val="Fuentedeprrafopredeter"/>
    <w:uiPriority w:val="21"/>
    <w:qFormat/>
    <w:rsid w:val="0001518F"/>
    <w:rPr>
      <w:i/>
      <w:iCs/>
      <w:color w:val="0F4761" w:themeColor="accent1" w:themeShade="BF"/>
    </w:rPr>
  </w:style>
  <w:style w:type="paragraph" w:styleId="Citadestacada">
    <w:name w:val="Intense Quote"/>
    <w:basedOn w:val="Normal"/>
    <w:next w:val="Normal"/>
    <w:link w:val="CitadestacadaCar"/>
    <w:uiPriority w:val="30"/>
    <w:qFormat/>
    <w:rsid w:val="000151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1518F"/>
    <w:rPr>
      <w:i/>
      <w:iCs/>
      <w:color w:val="0F4761" w:themeColor="accent1" w:themeShade="BF"/>
    </w:rPr>
  </w:style>
  <w:style w:type="character" w:styleId="Referenciaintensa">
    <w:name w:val="Intense Reference"/>
    <w:basedOn w:val="Fuentedeprrafopredeter"/>
    <w:uiPriority w:val="32"/>
    <w:qFormat/>
    <w:rsid w:val="0001518F"/>
    <w:rPr>
      <w:b/>
      <w:bCs/>
      <w:smallCaps/>
      <w:color w:val="0F4761" w:themeColor="accent1" w:themeShade="BF"/>
      <w:spacing w:val="5"/>
    </w:rPr>
  </w:style>
  <w:style w:type="paragraph" w:customStyle="1" w:styleId="paragraph">
    <w:name w:val="paragraph"/>
    <w:basedOn w:val="Normal"/>
    <w:rsid w:val="00EB64A3"/>
    <w:pPr>
      <w:spacing w:before="100" w:beforeAutospacing="1" w:after="100" w:afterAutospacing="1"/>
    </w:pPr>
    <w:rPr>
      <w:rFonts w:ascii="Times New Roman" w:eastAsia="Times New Roman" w:hAnsi="Times New Roman" w:cs="Times New Roman"/>
      <w:kern w:val="0"/>
      <w14:ligatures w14:val="none"/>
    </w:rPr>
  </w:style>
  <w:style w:type="character" w:customStyle="1" w:styleId="normaltextrun">
    <w:name w:val="normaltextrun"/>
    <w:basedOn w:val="Fuentedeprrafopredeter"/>
    <w:rsid w:val="00EB64A3"/>
  </w:style>
  <w:style w:type="character" w:customStyle="1" w:styleId="eop">
    <w:name w:val="eop"/>
    <w:basedOn w:val="Fuentedeprrafopredeter"/>
    <w:rsid w:val="00EB64A3"/>
  </w:style>
  <w:style w:type="paragraph" w:styleId="NormalWeb">
    <w:name w:val="Normal (Web)"/>
    <w:basedOn w:val="Normal"/>
    <w:uiPriority w:val="99"/>
    <w:unhideWhenUsed/>
    <w:rsid w:val="00EB64A3"/>
    <w:pPr>
      <w:spacing w:before="100" w:beforeAutospacing="1" w:after="100" w:afterAutospacing="1"/>
    </w:pPr>
    <w:rPr>
      <w:rFonts w:ascii="Times New Roman" w:eastAsia="Times New Roman" w:hAnsi="Times New Roman" w:cs="Times New Roman"/>
      <w:kern w:val="0"/>
      <w14:ligatures w14:val="none"/>
    </w:rPr>
  </w:style>
  <w:style w:type="paragraph" w:styleId="Encabezado">
    <w:name w:val="header"/>
    <w:basedOn w:val="Normal"/>
    <w:link w:val="EncabezadoCar"/>
    <w:uiPriority w:val="99"/>
    <w:unhideWhenUsed/>
    <w:rsid w:val="00E73971"/>
    <w:pPr>
      <w:tabs>
        <w:tab w:val="center" w:pos="4680"/>
        <w:tab w:val="right" w:pos="9360"/>
      </w:tabs>
    </w:pPr>
  </w:style>
  <w:style w:type="character" w:customStyle="1" w:styleId="EncabezadoCar">
    <w:name w:val="Encabezado Car"/>
    <w:basedOn w:val="Fuentedeprrafopredeter"/>
    <w:link w:val="Encabezado"/>
    <w:uiPriority w:val="99"/>
    <w:rsid w:val="00E73971"/>
  </w:style>
  <w:style w:type="paragraph" w:styleId="Piedepgina">
    <w:name w:val="footer"/>
    <w:basedOn w:val="Normal"/>
    <w:link w:val="PiedepginaCar"/>
    <w:uiPriority w:val="99"/>
    <w:unhideWhenUsed/>
    <w:rsid w:val="00E73971"/>
    <w:pPr>
      <w:tabs>
        <w:tab w:val="center" w:pos="4680"/>
        <w:tab w:val="right" w:pos="9360"/>
      </w:tabs>
    </w:pPr>
  </w:style>
  <w:style w:type="character" w:customStyle="1" w:styleId="PiedepginaCar">
    <w:name w:val="Pie de página Car"/>
    <w:basedOn w:val="Fuentedeprrafopredeter"/>
    <w:link w:val="Piedepgina"/>
    <w:uiPriority w:val="99"/>
    <w:rsid w:val="00E73971"/>
  </w:style>
  <w:style w:type="character" w:styleId="Nmerodepgina">
    <w:name w:val="page number"/>
    <w:basedOn w:val="Fuentedeprrafopredeter"/>
    <w:uiPriority w:val="99"/>
    <w:semiHidden/>
    <w:unhideWhenUsed/>
    <w:rsid w:val="00771570"/>
  </w:style>
  <w:style w:type="paragraph" w:styleId="TtuloTDC">
    <w:name w:val="TOC Heading"/>
    <w:basedOn w:val="Ttulo1"/>
    <w:next w:val="Normal"/>
    <w:uiPriority w:val="39"/>
    <w:unhideWhenUsed/>
    <w:qFormat/>
    <w:rsid w:val="00DD6B23"/>
    <w:pPr>
      <w:spacing w:before="480" w:line="276" w:lineRule="auto"/>
      <w:outlineLvl w:val="9"/>
    </w:pPr>
    <w:rPr>
      <w:b w:val="0"/>
      <w:bCs w:val="0"/>
      <w:kern w:val="0"/>
      <w:sz w:val="28"/>
      <w:szCs w:val="28"/>
      <w:lang w:val="en-US"/>
      <w14:ligatures w14:val="none"/>
    </w:rPr>
  </w:style>
  <w:style w:type="paragraph" w:styleId="TDC1">
    <w:name w:val="toc 1"/>
    <w:basedOn w:val="Normal"/>
    <w:next w:val="Normal"/>
    <w:autoRedefine/>
    <w:uiPriority w:val="39"/>
    <w:unhideWhenUsed/>
    <w:rsid w:val="00DD6B23"/>
    <w:pPr>
      <w:spacing w:before="120"/>
    </w:pPr>
    <w:rPr>
      <w:b/>
      <w:bCs/>
      <w:i/>
      <w:iCs/>
    </w:rPr>
  </w:style>
  <w:style w:type="paragraph" w:styleId="TDC2">
    <w:name w:val="toc 2"/>
    <w:basedOn w:val="Normal"/>
    <w:next w:val="Normal"/>
    <w:autoRedefine/>
    <w:uiPriority w:val="39"/>
    <w:unhideWhenUsed/>
    <w:rsid w:val="00DD6B23"/>
    <w:pPr>
      <w:spacing w:before="120"/>
      <w:ind w:left="240"/>
    </w:pPr>
    <w:rPr>
      <w:b/>
      <w:bCs/>
      <w:sz w:val="22"/>
      <w:szCs w:val="22"/>
    </w:rPr>
  </w:style>
  <w:style w:type="paragraph" w:styleId="TDC3">
    <w:name w:val="toc 3"/>
    <w:basedOn w:val="Normal"/>
    <w:next w:val="Normal"/>
    <w:autoRedefine/>
    <w:uiPriority w:val="39"/>
    <w:unhideWhenUsed/>
    <w:rsid w:val="00DD6B23"/>
    <w:pPr>
      <w:ind w:left="480"/>
    </w:pPr>
    <w:rPr>
      <w:sz w:val="20"/>
      <w:szCs w:val="20"/>
    </w:rPr>
  </w:style>
  <w:style w:type="paragraph" w:styleId="TDC4">
    <w:name w:val="toc 4"/>
    <w:basedOn w:val="Normal"/>
    <w:next w:val="Normal"/>
    <w:autoRedefine/>
    <w:uiPriority w:val="39"/>
    <w:semiHidden/>
    <w:unhideWhenUsed/>
    <w:rsid w:val="00DD6B23"/>
    <w:pPr>
      <w:ind w:left="720"/>
    </w:pPr>
    <w:rPr>
      <w:sz w:val="20"/>
      <w:szCs w:val="20"/>
    </w:rPr>
  </w:style>
  <w:style w:type="paragraph" w:styleId="TDC5">
    <w:name w:val="toc 5"/>
    <w:basedOn w:val="Normal"/>
    <w:next w:val="Normal"/>
    <w:autoRedefine/>
    <w:uiPriority w:val="39"/>
    <w:semiHidden/>
    <w:unhideWhenUsed/>
    <w:rsid w:val="00DD6B23"/>
    <w:pPr>
      <w:ind w:left="960"/>
    </w:pPr>
    <w:rPr>
      <w:sz w:val="20"/>
      <w:szCs w:val="20"/>
    </w:rPr>
  </w:style>
  <w:style w:type="paragraph" w:styleId="TDC6">
    <w:name w:val="toc 6"/>
    <w:basedOn w:val="Normal"/>
    <w:next w:val="Normal"/>
    <w:autoRedefine/>
    <w:uiPriority w:val="39"/>
    <w:semiHidden/>
    <w:unhideWhenUsed/>
    <w:rsid w:val="00DD6B23"/>
    <w:pPr>
      <w:ind w:left="1200"/>
    </w:pPr>
    <w:rPr>
      <w:sz w:val="20"/>
      <w:szCs w:val="20"/>
    </w:rPr>
  </w:style>
  <w:style w:type="paragraph" w:styleId="TDC7">
    <w:name w:val="toc 7"/>
    <w:basedOn w:val="Normal"/>
    <w:next w:val="Normal"/>
    <w:autoRedefine/>
    <w:uiPriority w:val="39"/>
    <w:semiHidden/>
    <w:unhideWhenUsed/>
    <w:rsid w:val="00DD6B23"/>
    <w:pPr>
      <w:ind w:left="1440"/>
    </w:pPr>
    <w:rPr>
      <w:sz w:val="20"/>
      <w:szCs w:val="20"/>
    </w:rPr>
  </w:style>
  <w:style w:type="paragraph" w:styleId="TDC8">
    <w:name w:val="toc 8"/>
    <w:basedOn w:val="Normal"/>
    <w:next w:val="Normal"/>
    <w:autoRedefine/>
    <w:uiPriority w:val="39"/>
    <w:semiHidden/>
    <w:unhideWhenUsed/>
    <w:rsid w:val="00DD6B23"/>
    <w:pPr>
      <w:ind w:left="1680"/>
    </w:pPr>
    <w:rPr>
      <w:sz w:val="20"/>
      <w:szCs w:val="20"/>
    </w:rPr>
  </w:style>
  <w:style w:type="paragraph" w:styleId="TDC9">
    <w:name w:val="toc 9"/>
    <w:basedOn w:val="Normal"/>
    <w:next w:val="Normal"/>
    <w:autoRedefine/>
    <w:uiPriority w:val="39"/>
    <w:semiHidden/>
    <w:unhideWhenUsed/>
    <w:rsid w:val="00DD6B23"/>
    <w:pPr>
      <w:ind w:left="1920"/>
    </w:pPr>
    <w:rPr>
      <w:sz w:val="20"/>
      <w:szCs w:val="20"/>
    </w:rPr>
  </w:style>
  <w:style w:type="character" w:styleId="Hipervnculo">
    <w:name w:val="Hyperlink"/>
    <w:basedOn w:val="Fuentedeprrafopredeter"/>
    <w:uiPriority w:val="99"/>
    <w:unhideWhenUsed/>
    <w:rsid w:val="003231AE"/>
    <w:rPr>
      <w:color w:val="467886" w:themeColor="hyperlink"/>
      <w:u w:val="single"/>
    </w:rPr>
  </w:style>
  <w:style w:type="table" w:styleId="Tablaconcuadrcula">
    <w:name w:val="Table Grid"/>
    <w:basedOn w:val="Tabla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extocomentario">
    <w:name w:val="annotation text"/>
    <w:basedOn w:val="Normal"/>
    <w:link w:val="TextocomentarioCar"/>
    <w:uiPriority w:val="99"/>
    <w:unhideWhenUsed/>
    <w:rsid w:val="00221A4E"/>
    <w:pPr>
      <w:spacing w:after="160"/>
    </w:pPr>
    <w:rPr>
      <w:sz w:val="20"/>
      <w:szCs w:val="20"/>
      <w:lang w:val="es-ES_tradnl"/>
    </w:rPr>
  </w:style>
  <w:style w:type="character" w:customStyle="1" w:styleId="TextocomentarioCar">
    <w:name w:val="Texto comentario Car"/>
    <w:basedOn w:val="Fuentedeprrafopredeter"/>
    <w:link w:val="Textocomentario"/>
    <w:uiPriority w:val="99"/>
    <w:rsid w:val="00221A4E"/>
    <w:rPr>
      <w:sz w:val="20"/>
      <w:szCs w:val="20"/>
      <w:lang w:val="es-ES_tradnl"/>
    </w:rPr>
  </w:style>
  <w:style w:type="character" w:styleId="Refdecomentario">
    <w:name w:val="annotation reference"/>
    <w:basedOn w:val="Fuentedeprrafopredeter"/>
    <w:uiPriority w:val="99"/>
    <w:semiHidden/>
    <w:unhideWhenUsed/>
    <w:rsid w:val="00221A4E"/>
    <w:rPr>
      <w:sz w:val="16"/>
      <w:szCs w:val="16"/>
    </w:rPr>
  </w:style>
  <w:style w:type="paragraph" w:styleId="Textonotapie">
    <w:name w:val="footnote text"/>
    <w:basedOn w:val="Normal"/>
    <w:link w:val="TextonotapieCar"/>
    <w:uiPriority w:val="99"/>
    <w:semiHidden/>
    <w:unhideWhenUsed/>
    <w:rsid w:val="00221A4E"/>
    <w:rPr>
      <w:sz w:val="20"/>
      <w:szCs w:val="20"/>
    </w:rPr>
  </w:style>
  <w:style w:type="character" w:customStyle="1" w:styleId="TextonotapieCar">
    <w:name w:val="Texto nota pie Car"/>
    <w:basedOn w:val="Fuentedeprrafopredeter"/>
    <w:link w:val="Textonotapie"/>
    <w:uiPriority w:val="99"/>
    <w:semiHidden/>
    <w:rsid w:val="00221A4E"/>
    <w:rPr>
      <w:sz w:val="20"/>
      <w:szCs w:val="20"/>
    </w:rPr>
  </w:style>
  <w:style w:type="character" w:styleId="Refdenotaalpie">
    <w:name w:val="footnote reference"/>
    <w:basedOn w:val="Fuentedeprrafopredeter"/>
    <w:uiPriority w:val="99"/>
    <w:semiHidden/>
    <w:unhideWhenUsed/>
    <w:rsid w:val="00221A4E"/>
    <w:rPr>
      <w:vertAlign w:val="superscript"/>
    </w:rPr>
  </w:style>
  <w:style w:type="character" w:styleId="Mencinsinresolver">
    <w:name w:val="Unresolved Mention"/>
    <w:basedOn w:val="Fuentedeprrafopredeter"/>
    <w:uiPriority w:val="99"/>
    <w:semiHidden/>
    <w:unhideWhenUsed/>
    <w:rsid w:val="00BC03B3"/>
    <w:rPr>
      <w:color w:val="605E5C"/>
      <w:shd w:val="clear" w:color="auto" w:fill="E1DFDD"/>
    </w:rPr>
  </w:style>
  <w:style w:type="numbering" w:customStyle="1" w:styleId="Sinlista1">
    <w:name w:val="Sin lista1"/>
    <w:next w:val="Sinlista"/>
    <w:uiPriority w:val="99"/>
    <w:semiHidden/>
    <w:unhideWhenUsed/>
    <w:rsid w:val="00801600"/>
  </w:style>
  <w:style w:type="numbering" w:customStyle="1" w:styleId="Sinlista2">
    <w:name w:val="Sin lista2"/>
    <w:next w:val="Sinlista"/>
    <w:uiPriority w:val="99"/>
    <w:semiHidden/>
    <w:unhideWhenUsed/>
    <w:rsid w:val="003E532A"/>
  </w:style>
  <w:style w:type="numbering" w:customStyle="1" w:styleId="Sinlista3">
    <w:name w:val="Sin lista3"/>
    <w:next w:val="Sinlista"/>
    <w:uiPriority w:val="99"/>
    <w:semiHidden/>
    <w:unhideWhenUsed/>
    <w:rsid w:val="00EC3281"/>
  </w:style>
  <w:style w:type="numbering" w:customStyle="1" w:styleId="Sinlista4">
    <w:name w:val="Sin lista4"/>
    <w:next w:val="Sinlista"/>
    <w:uiPriority w:val="99"/>
    <w:semiHidden/>
    <w:unhideWhenUsed/>
    <w:rsid w:val="00387CBF"/>
  </w:style>
  <w:style w:type="paragraph" w:styleId="Bibliografa">
    <w:name w:val="Bibliography"/>
    <w:basedOn w:val="Normal"/>
    <w:next w:val="Normal"/>
    <w:uiPriority w:val="37"/>
    <w:unhideWhenUsed/>
    <w:rsid w:val="00482949"/>
  </w:style>
  <w:style w:type="paragraph" w:styleId="Asuntodelcomentario">
    <w:name w:val="annotation subject"/>
    <w:basedOn w:val="Textocomentario"/>
    <w:next w:val="Textocomentario"/>
    <w:link w:val="AsuntodelcomentarioCar"/>
    <w:uiPriority w:val="99"/>
    <w:semiHidden/>
    <w:unhideWhenUsed/>
    <w:rsid w:val="002F77DB"/>
    <w:pPr>
      <w:spacing w:after="0"/>
    </w:pPr>
    <w:rPr>
      <w:b/>
      <w:bCs/>
      <w:lang w:val="es-CO"/>
    </w:rPr>
  </w:style>
  <w:style w:type="character" w:customStyle="1" w:styleId="AsuntodelcomentarioCar">
    <w:name w:val="Asunto del comentario Car"/>
    <w:basedOn w:val="TextocomentarioCar"/>
    <w:link w:val="Asuntodelcomentario"/>
    <w:uiPriority w:val="99"/>
    <w:semiHidden/>
    <w:rsid w:val="002F77DB"/>
    <w:rPr>
      <w:b/>
      <w:bCs/>
      <w:sz w:val="20"/>
      <w:szCs w:val="20"/>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206980">
      <w:bodyDiv w:val="1"/>
      <w:marLeft w:val="0"/>
      <w:marRight w:val="0"/>
      <w:marTop w:val="0"/>
      <w:marBottom w:val="0"/>
      <w:divBdr>
        <w:top w:val="none" w:sz="0" w:space="0" w:color="auto"/>
        <w:left w:val="none" w:sz="0" w:space="0" w:color="auto"/>
        <w:bottom w:val="none" w:sz="0" w:space="0" w:color="auto"/>
        <w:right w:val="none" w:sz="0" w:space="0" w:color="auto"/>
      </w:divBdr>
      <w:divsChild>
        <w:div w:id="473958959">
          <w:marLeft w:val="0"/>
          <w:marRight w:val="0"/>
          <w:marTop w:val="0"/>
          <w:marBottom w:val="0"/>
          <w:divBdr>
            <w:top w:val="none" w:sz="0" w:space="0" w:color="auto"/>
            <w:left w:val="none" w:sz="0" w:space="0" w:color="auto"/>
            <w:bottom w:val="none" w:sz="0" w:space="0" w:color="auto"/>
            <w:right w:val="none" w:sz="0" w:space="0" w:color="auto"/>
          </w:divBdr>
        </w:div>
        <w:div w:id="543180309">
          <w:marLeft w:val="0"/>
          <w:marRight w:val="0"/>
          <w:marTop w:val="0"/>
          <w:marBottom w:val="0"/>
          <w:divBdr>
            <w:top w:val="none" w:sz="0" w:space="0" w:color="auto"/>
            <w:left w:val="none" w:sz="0" w:space="0" w:color="auto"/>
            <w:bottom w:val="none" w:sz="0" w:space="0" w:color="auto"/>
            <w:right w:val="none" w:sz="0" w:space="0" w:color="auto"/>
          </w:divBdr>
        </w:div>
        <w:div w:id="832182908">
          <w:marLeft w:val="0"/>
          <w:marRight w:val="0"/>
          <w:marTop w:val="0"/>
          <w:marBottom w:val="0"/>
          <w:divBdr>
            <w:top w:val="none" w:sz="0" w:space="0" w:color="auto"/>
            <w:left w:val="none" w:sz="0" w:space="0" w:color="auto"/>
            <w:bottom w:val="none" w:sz="0" w:space="0" w:color="auto"/>
            <w:right w:val="none" w:sz="0" w:space="0" w:color="auto"/>
          </w:divBdr>
        </w:div>
        <w:div w:id="1005210719">
          <w:marLeft w:val="0"/>
          <w:marRight w:val="0"/>
          <w:marTop w:val="0"/>
          <w:marBottom w:val="0"/>
          <w:divBdr>
            <w:top w:val="none" w:sz="0" w:space="0" w:color="auto"/>
            <w:left w:val="none" w:sz="0" w:space="0" w:color="auto"/>
            <w:bottom w:val="none" w:sz="0" w:space="0" w:color="auto"/>
            <w:right w:val="none" w:sz="0" w:space="0" w:color="auto"/>
          </w:divBdr>
        </w:div>
        <w:div w:id="1840385353">
          <w:marLeft w:val="0"/>
          <w:marRight w:val="0"/>
          <w:marTop w:val="0"/>
          <w:marBottom w:val="0"/>
          <w:divBdr>
            <w:top w:val="none" w:sz="0" w:space="0" w:color="auto"/>
            <w:left w:val="none" w:sz="0" w:space="0" w:color="auto"/>
            <w:bottom w:val="none" w:sz="0" w:space="0" w:color="auto"/>
            <w:right w:val="none" w:sz="0" w:space="0" w:color="auto"/>
          </w:divBdr>
        </w:div>
      </w:divsChild>
    </w:div>
    <w:div w:id="234514361">
      <w:bodyDiv w:val="1"/>
      <w:marLeft w:val="0"/>
      <w:marRight w:val="0"/>
      <w:marTop w:val="0"/>
      <w:marBottom w:val="0"/>
      <w:divBdr>
        <w:top w:val="none" w:sz="0" w:space="0" w:color="auto"/>
        <w:left w:val="none" w:sz="0" w:space="0" w:color="auto"/>
        <w:bottom w:val="none" w:sz="0" w:space="0" w:color="auto"/>
        <w:right w:val="none" w:sz="0" w:space="0" w:color="auto"/>
      </w:divBdr>
      <w:divsChild>
        <w:div w:id="1949005059">
          <w:marLeft w:val="0"/>
          <w:marRight w:val="0"/>
          <w:marTop w:val="0"/>
          <w:marBottom w:val="0"/>
          <w:divBdr>
            <w:top w:val="none" w:sz="0" w:space="0" w:color="auto"/>
            <w:left w:val="none" w:sz="0" w:space="0" w:color="auto"/>
            <w:bottom w:val="none" w:sz="0" w:space="0" w:color="auto"/>
            <w:right w:val="none" w:sz="0" w:space="0" w:color="auto"/>
          </w:divBdr>
          <w:divsChild>
            <w:div w:id="1660113849">
              <w:marLeft w:val="0"/>
              <w:marRight w:val="0"/>
              <w:marTop w:val="0"/>
              <w:marBottom w:val="0"/>
              <w:divBdr>
                <w:top w:val="none" w:sz="0" w:space="0" w:color="auto"/>
                <w:left w:val="none" w:sz="0" w:space="0" w:color="auto"/>
                <w:bottom w:val="none" w:sz="0" w:space="0" w:color="auto"/>
                <w:right w:val="none" w:sz="0" w:space="0" w:color="auto"/>
              </w:divBdr>
              <w:divsChild>
                <w:div w:id="35173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330684">
      <w:bodyDiv w:val="1"/>
      <w:marLeft w:val="0"/>
      <w:marRight w:val="0"/>
      <w:marTop w:val="0"/>
      <w:marBottom w:val="0"/>
      <w:divBdr>
        <w:top w:val="none" w:sz="0" w:space="0" w:color="auto"/>
        <w:left w:val="none" w:sz="0" w:space="0" w:color="auto"/>
        <w:bottom w:val="none" w:sz="0" w:space="0" w:color="auto"/>
        <w:right w:val="none" w:sz="0" w:space="0" w:color="auto"/>
      </w:divBdr>
    </w:div>
    <w:div w:id="508838685">
      <w:bodyDiv w:val="1"/>
      <w:marLeft w:val="0"/>
      <w:marRight w:val="0"/>
      <w:marTop w:val="0"/>
      <w:marBottom w:val="0"/>
      <w:divBdr>
        <w:top w:val="none" w:sz="0" w:space="0" w:color="auto"/>
        <w:left w:val="none" w:sz="0" w:space="0" w:color="auto"/>
        <w:bottom w:val="none" w:sz="0" w:space="0" w:color="auto"/>
        <w:right w:val="none" w:sz="0" w:space="0" w:color="auto"/>
      </w:divBdr>
    </w:div>
    <w:div w:id="638190095">
      <w:bodyDiv w:val="1"/>
      <w:marLeft w:val="0"/>
      <w:marRight w:val="0"/>
      <w:marTop w:val="0"/>
      <w:marBottom w:val="0"/>
      <w:divBdr>
        <w:top w:val="none" w:sz="0" w:space="0" w:color="auto"/>
        <w:left w:val="none" w:sz="0" w:space="0" w:color="auto"/>
        <w:bottom w:val="none" w:sz="0" w:space="0" w:color="auto"/>
        <w:right w:val="none" w:sz="0" w:space="0" w:color="auto"/>
      </w:divBdr>
      <w:divsChild>
        <w:div w:id="1524709324">
          <w:marLeft w:val="0"/>
          <w:marRight w:val="0"/>
          <w:marTop w:val="0"/>
          <w:marBottom w:val="0"/>
          <w:divBdr>
            <w:top w:val="none" w:sz="0" w:space="0" w:color="auto"/>
            <w:left w:val="none" w:sz="0" w:space="0" w:color="auto"/>
            <w:bottom w:val="none" w:sz="0" w:space="0" w:color="auto"/>
            <w:right w:val="none" w:sz="0" w:space="0" w:color="auto"/>
          </w:divBdr>
          <w:divsChild>
            <w:div w:id="500044757">
              <w:marLeft w:val="0"/>
              <w:marRight w:val="0"/>
              <w:marTop w:val="0"/>
              <w:marBottom w:val="0"/>
              <w:divBdr>
                <w:top w:val="none" w:sz="0" w:space="0" w:color="auto"/>
                <w:left w:val="none" w:sz="0" w:space="0" w:color="auto"/>
                <w:bottom w:val="none" w:sz="0" w:space="0" w:color="auto"/>
                <w:right w:val="none" w:sz="0" w:space="0" w:color="auto"/>
              </w:divBdr>
              <w:divsChild>
                <w:div w:id="142888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641732">
      <w:bodyDiv w:val="1"/>
      <w:marLeft w:val="0"/>
      <w:marRight w:val="0"/>
      <w:marTop w:val="0"/>
      <w:marBottom w:val="0"/>
      <w:divBdr>
        <w:top w:val="none" w:sz="0" w:space="0" w:color="auto"/>
        <w:left w:val="none" w:sz="0" w:space="0" w:color="auto"/>
        <w:bottom w:val="none" w:sz="0" w:space="0" w:color="auto"/>
        <w:right w:val="none" w:sz="0" w:space="0" w:color="auto"/>
      </w:divBdr>
    </w:div>
    <w:div w:id="678579708">
      <w:bodyDiv w:val="1"/>
      <w:marLeft w:val="0"/>
      <w:marRight w:val="0"/>
      <w:marTop w:val="0"/>
      <w:marBottom w:val="0"/>
      <w:divBdr>
        <w:top w:val="none" w:sz="0" w:space="0" w:color="auto"/>
        <w:left w:val="none" w:sz="0" w:space="0" w:color="auto"/>
        <w:bottom w:val="none" w:sz="0" w:space="0" w:color="auto"/>
        <w:right w:val="none" w:sz="0" w:space="0" w:color="auto"/>
      </w:divBdr>
    </w:div>
    <w:div w:id="704141981">
      <w:bodyDiv w:val="1"/>
      <w:marLeft w:val="0"/>
      <w:marRight w:val="0"/>
      <w:marTop w:val="0"/>
      <w:marBottom w:val="0"/>
      <w:divBdr>
        <w:top w:val="none" w:sz="0" w:space="0" w:color="auto"/>
        <w:left w:val="none" w:sz="0" w:space="0" w:color="auto"/>
        <w:bottom w:val="none" w:sz="0" w:space="0" w:color="auto"/>
        <w:right w:val="none" w:sz="0" w:space="0" w:color="auto"/>
      </w:divBdr>
      <w:divsChild>
        <w:div w:id="1250307613">
          <w:marLeft w:val="0"/>
          <w:marRight w:val="0"/>
          <w:marTop w:val="0"/>
          <w:marBottom w:val="0"/>
          <w:divBdr>
            <w:top w:val="none" w:sz="0" w:space="0" w:color="auto"/>
            <w:left w:val="none" w:sz="0" w:space="0" w:color="auto"/>
            <w:bottom w:val="none" w:sz="0" w:space="0" w:color="auto"/>
            <w:right w:val="none" w:sz="0" w:space="0" w:color="auto"/>
          </w:divBdr>
          <w:divsChild>
            <w:div w:id="1421296957">
              <w:marLeft w:val="0"/>
              <w:marRight w:val="0"/>
              <w:marTop w:val="0"/>
              <w:marBottom w:val="0"/>
              <w:divBdr>
                <w:top w:val="none" w:sz="0" w:space="0" w:color="auto"/>
                <w:left w:val="none" w:sz="0" w:space="0" w:color="auto"/>
                <w:bottom w:val="none" w:sz="0" w:space="0" w:color="auto"/>
                <w:right w:val="none" w:sz="0" w:space="0" w:color="auto"/>
              </w:divBdr>
              <w:divsChild>
                <w:div w:id="1460997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9159944">
      <w:bodyDiv w:val="1"/>
      <w:marLeft w:val="0"/>
      <w:marRight w:val="0"/>
      <w:marTop w:val="0"/>
      <w:marBottom w:val="0"/>
      <w:divBdr>
        <w:top w:val="none" w:sz="0" w:space="0" w:color="auto"/>
        <w:left w:val="none" w:sz="0" w:space="0" w:color="auto"/>
        <w:bottom w:val="none" w:sz="0" w:space="0" w:color="auto"/>
        <w:right w:val="none" w:sz="0" w:space="0" w:color="auto"/>
      </w:divBdr>
    </w:div>
    <w:div w:id="935285073">
      <w:bodyDiv w:val="1"/>
      <w:marLeft w:val="0"/>
      <w:marRight w:val="0"/>
      <w:marTop w:val="0"/>
      <w:marBottom w:val="0"/>
      <w:divBdr>
        <w:top w:val="none" w:sz="0" w:space="0" w:color="auto"/>
        <w:left w:val="none" w:sz="0" w:space="0" w:color="auto"/>
        <w:bottom w:val="none" w:sz="0" w:space="0" w:color="auto"/>
        <w:right w:val="none" w:sz="0" w:space="0" w:color="auto"/>
      </w:divBdr>
    </w:div>
    <w:div w:id="941841459">
      <w:bodyDiv w:val="1"/>
      <w:marLeft w:val="0"/>
      <w:marRight w:val="0"/>
      <w:marTop w:val="0"/>
      <w:marBottom w:val="0"/>
      <w:divBdr>
        <w:top w:val="none" w:sz="0" w:space="0" w:color="auto"/>
        <w:left w:val="none" w:sz="0" w:space="0" w:color="auto"/>
        <w:bottom w:val="none" w:sz="0" w:space="0" w:color="auto"/>
        <w:right w:val="none" w:sz="0" w:space="0" w:color="auto"/>
      </w:divBdr>
      <w:divsChild>
        <w:div w:id="607397438">
          <w:marLeft w:val="0"/>
          <w:marRight w:val="0"/>
          <w:marTop w:val="0"/>
          <w:marBottom w:val="0"/>
          <w:divBdr>
            <w:top w:val="none" w:sz="0" w:space="0" w:color="auto"/>
            <w:left w:val="none" w:sz="0" w:space="0" w:color="auto"/>
            <w:bottom w:val="none" w:sz="0" w:space="0" w:color="auto"/>
            <w:right w:val="none" w:sz="0" w:space="0" w:color="auto"/>
          </w:divBdr>
        </w:div>
        <w:div w:id="1023095136">
          <w:marLeft w:val="0"/>
          <w:marRight w:val="0"/>
          <w:marTop w:val="0"/>
          <w:marBottom w:val="0"/>
          <w:divBdr>
            <w:top w:val="none" w:sz="0" w:space="0" w:color="auto"/>
            <w:left w:val="none" w:sz="0" w:space="0" w:color="auto"/>
            <w:bottom w:val="none" w:sz="0" w:space="0" w:color="auto"/>
            <w:right w:val="none" w:sz="0" w:space="0" w:color="auto"/>
          </w:divBdr>
        </w:div>
        <w:div w:id="1762096297">
          <w:marLeft w:val="0"/>
          <w:marRight w:val="0"/>
          <w:marTop w:val="0"/>
          <w:marBottom w:val="0"/>
          <w:divBdr>
            <w:top w:val="none" w:sz="0" w:space="0" w:color="auto"/>
            <w:left w:val="none" w:sz="0" w:space="0" w:color="auto"/>
            <w:bottom w:val="none" w:sz="0" w:space="0" w:color="auto"/>
            <w:right w:val="none" w:sz="0" w:space="0" w:color="auto"/>
          </w:divBdr>
        </w:div>
      </w:divsChild>
    </w:div>
    <w:div w:id="1097487241">
      <w:bodyDiv w:val="1"/>
      <w:marLeft w:val="0"/>
      <w:marRight w:val="0"/>
      <w:marTop w:val="0"/>
      <w:marBottom w:val="0"/>
      <w:divBdr>
        <w:top w:val="none" w:sz="0" w:space="0" w:color="auto"/>
        <w:left w:val="none" w:sz="0" w:space="0" w:color="auto"/>
        <w:bottom w:val="none" w:sz="0" w:space="0" w:color="auto"/>
        <w:right w:val="none" w:sz="0" w:space="0" w:color="auto"/>
      </w:divBdr>
      <w:divsChild>
        <w:div w:id="673455170">
          <w:marLeft w:val="0"/>
          <w:marRight w:val="0"/>
          <w:marTop w:val="0"/>
          <w:marBottom w:val="0"/>
          <w:divBdr>
            <w:top w:val="none" w:sz="0" w:space="0" w:color="auto"/>
            <w:left w:val="none" w:sz="0" w:space="0" w:color="auto"/>
            <w:bottom w:val="none" w:sz="0" w:space="0" w:color="auto"/>
            <w:right w:val="none" w:sz="0" w:space="0" w:color="auto"/>
          </w:divBdr>
        </w:div>
        <w:div w:id="1013728325">
          <w:marLeft w:val="0"/>
          <w:marRight w:val="0"/>
          <w:marTop w:val="0"/>
          <w:marBottom w:val="0"/>
          <w:divBdr>
            <w:top w:val="none" w:sz="0" w:space="0" w:color="auto"/>
            <w:left w:val="none" w:sz="0" w:space="0" w:color="auto"/>
            <w:bottom w:val="none" w:sz="0" w:space="0" w:color="auto"/>
            <w:right w:val="none" w:sz="0" w:space="0" w:color="auto"/>
          </w:divBdr>
        </w:div>
        <w:div w:id="1328677156">
          <w:marLeft w:val="0"/>
          <w:marRight w:val="0"/>
          <w:marTop w:val="0"/>
          <w:marBottom w:val="0"/>
          <w:divBdr>
            <w:top w:val="none" w:sz="0" w:space="0" w:color="auto"/>
            <w:left w:val="none" w:sz="0" w:space="0" w:color="auto"/>
            <w:bottom w:val="none" w:sz="0" w:space="0" w:color="auto"/>
            <w:right w:val="none" w:sz="0" w:space="0" w:color="auto"/>
          </w:divBdr>
        </w:div>
        <w:div w:id="1917086366">
          <w:marLeft w:val="0"/>
          <w:marRight w:val="0"/>
          <w:marTop w:val="0"/>
          <w:marBottom w:val="0"/>
          <w:divBdr>
            <w:top w:val="none" w:sz="0" w:space="0" w:color="auto"/>
            <w:left w:val="none" w:sz="0" w:space="0" w:color="auto"/>
            <w:bottom w:val="none" w:sz="0" w:space="0" w:color="auto"/>
            <w:right w:val="none" w:sz="0" w:space="0" w:color="auto"/>
          </w:divBdr>
        </w:div>
        <w:div w:id="1957979473">
          <w:marLeft w:val="0"/>
          <w:marRight w:val="0"/>
          <w:marTop w:val="0"/>
          <w:marBottom w:val="0"/>
          <w:divBdr>
            <w:top w:val="none" w:sz="0" w:space="0" w:color="auto"/>
            <w:left w:val="none" w:sz="0" w:space="0" w:color="auto"/>
            <w:bottom w:val="none" w:sz="0" w:space="0" w:color="auto"/>
            <w:right w:val="none" w:sz="0" w:space="0" w:color="auto"/>
          </w:divBdr>
        </w:div>
      </w:divsChild>
    </w:div>
    <w:div w:id="1110473175">
      <w:bodyDiv w:val="1"/>
      <w:marLeft w:val="0"/>
      <w:marRight w:val="0"/>
      <w:marTop w:val="0"/>
      <w:marBottom w:val="0"/>
      <w:divBdr>
        <w:top w:val="none" w:sz="0" w:space="0" w:color="auto"/>
        <w:left w:val="none" w:sz="0" w:space="0" w:color="auto"/>
        <w:bottom w:val="none" w:sz="0" w:space="0" w:color="auto"/>
        <w:right w:val="none" w:sz="0" w:space="0" w:color="auto"/>
      </w:divBdr>
    </w:div>
    <w:div w:id="1216817662">
      <w:bodyDiv w:val="1"/>
      <w:marLeft w:val="0"/>
      <w:marRight w:val="0"/>
      <w:marTop w:val="0"/>
      <w:marBottom w:val="0"/>
      <w:divBdr>
        <w:top w:val="none" w:sz="0" w:space="0" w:color="auto"/>
        <w:left w:val="none" w:sz="0" w:space="0" w:color="auto"/>
        <w:bottom w:val="none" w:sz="0" w:space="0" w:color="auto"/>
        <w:right w:val="none" w:sz="0" w:space="0" w:color="auto"/>
      </w:divBdr>
    </w:div>
    <w:div w:id="1267692886">
      <w:bodyDiv w:val="1"/>
      <w:marLeft w:val="0"/>
      <w:marRight w:val="0"/>
      <w:marTop w:val="0"/>
      <w:marBottom w:val="0"/>
      <w:divBdr>
        <w:top w:val="none" w:sz="0" w:space="0" w:color="auto"/>
        <w:left w:val="none" w:sz="0" w:space="0" w:color="auto"/>
        <w:bottom w:val="none" w:sz="0" w:space="0" w:color="auto"/>
        <w:right w:val="none" w:sz="0" w:space="0" w:color="auto"/>
      </w:divBdr>
      <w:divsChild>
        <w:div w:id="1148982312">
          <w:marLeft w:val="0"/>
          <w:marRight w:val="0"/>
          <w:marTop w:val="0"/>
          <w:marBottom w:val="0"/>
          <w:divBdr>
            <w:top w:val="none" w:sz="0" w:space="0" w:color="auto"/>
            <w:left w:val="none" w:sz="0" w:space="0" w:color="auto"/>
            <w:bottom w:val="none" w:sz="0" w:space="0" w:color="auto"/>
            <w:right w:val="none" w:sz="0" w:space="0" w:color="auto"/>
          </w:divBdr>
        </w:div>
        <w:div w:id="1334842226">
          <w:marLeft w:val="0"/>
          <w:marRight w:val="0"/>
          <w:marTop w:val="0"/>
          <w:marBottom w:val="0"/>
          <w:divBdr>
            <w:top w:val="none" w:sz="0" w:space="0" w:color="auto"/>
            <w:left w:val="none" w:sz="0" w:space="0" w:color="auto"/>
            <w:bottom w:val="none" w:sz="0" w:space="0" w:color="auto"/>
            <w:right w:val="none" w:sz="0" w:space="0" w:color="auto"/>
          </w:divBdr>
        </w:div>
        <w:div w:id="1658805414">
          <w:marLeft w:val="0"/>
          <w:marRight w:val="0"/>
          <w:marTop w:val="0"/>
          <w:marBottom w:val="0"/>
          <w:divBdr>
            <w:top w:val="none" w:sz="0" w:space="0" w:color="auto"/>
            <w:left w:val="none" w:sz="0" w:space="0" w:color="auto"/>
            <w:bottom w:val="none" w:sz="0" w:space="0" w:color="auto"/>
            <w:right w:val="none" w:sz="0" w:space="0" w:color="auto"/>
          </w:divBdr>
        </w:div>
        <w:div w:id="1823691453">
          <w:marLeft w:val="0"/>
          <w:marRight w:val="0"/>
          <w:marTop w:val="0"/>
          <w:marBottom w:val="0"/>
          <w:divBdr>
            <w:top w:val="none" w:sz="0" w:space="0" w:color="auto"/>
            <w:left w:val="none" w:sz="0" w:space="0" w:color="auto"/>
            <w:bottom w:val="none" w:sz="0" w:space="0" w:color="auto"/>
            <w:right w:val="none" w:sz="0" w:space="0" w:color="auto"/>
          </w:divBdr>
        </w:div>
        <w:div w:id="2143502769">
          <w:marLeft w:val="0"/>
          <w:marRight w:val="0"/>
          <w:marTop w:val="0"/>
          <w:marBottom w:val="0"/>
          <w:divBdr>
            <w:top w:val="none" w:sz="0" w:space="0" w:color="auto"/>
            <w:left w:val="none" w:sz="0" w:space="0" w:color="auto"/>
            <w:bottom w:val="none" w:sz="0" w:space="0" w:color="auto"/>
            <w:right w:val="none" w:sz="0" w:space="0" w:color="auto"/>
          </w:divBdr>
        </w:div>
      </w:divsChild>
    </w:div>
    <w:div w:id="1320381357">
      <w:bodyDiv w:val="1"/>
      <w:marLeft w:val="0"/>
      <w:marRight w:val="0"/>
      <w:marTop w:val="0"/>
      <w:marBottom w:val="0"/>
      <w:divBdr>
        <w:top w:val="none" w:sz="0" w:space="0" w:color="auto"/>
        <w:left w:val="none" w:sz="0" w:space="0" w:color="auto"/>
        <w:bottom w:val="none" w:sz="0" w:space="0" w:color="auto"/>
        <w:right w:val="none" w:sz="0" w:space="0" w:color="auto"/>
      </w:divBdr>
    </w:div>
    <w:div w:id="1359040678">
      <w:bodyDiv w:val="1"/>
      <w:marLeft w:val="0"/>
      <w:marRight w:val="0"/>
      <w:marTop w:val="0"/>
      <w:marBottom w:val="0"/>
      <w:divBdr>
        <w:top w:val="none" w:sz="0" w:space="0" w:color="auto"/>
        <w:left w:val="none" w:sz="0" w:space="0" w:color="auto"/>
        <w:bottom w:val="none" w:sz="0" w:space="0" w:color="auto"/>
        <w:right w:val="none" w:sz="0" w:space="0" w:color="auto"/>
      </w:divBdr>
    </w:div>
    <w:div w:id="1468551082">
      <w:bodyDiv w:val="1"/>
      <w:marLeft w:val="0"/>
      <w:marRight w:val="0"/>
      <w:marTop w:val="0"/>
      <w:marBottom w:val="0"/>
      <w:divBdr>
        <w:top w:val="none" w:sz="0" w:space="0" w:color="auto"/>
        <w:left w:val="none" w:sz="0" w:space="0" w:color="auto"/>
        <w:bottom w:val="none" w:sz="0" w:space="0" w:color="auto"/>
        <w:right w:val="none" w:sz="0" w:space="0" w:color="auto"/>
      </w:divBdr>
      <w:divsChild>
        <w:div w:id="492841872">
          <w:marLeft w:val="0"/>
          <w:marRight w:val="0"/>
          <w:marTop w:val="0"/>
          <w:marBottom w:val="0"/>
          <w:divBdr>
            <w:top w:val="none" w:sz="0" w:space="0" w:color="auto"/>
            <w:left w:val="none" w:sz="0" w:space="0" w:color="auto"/>
            <w:bottom w:val="none" w:sz="0" w:space="0" w:color="auto"/>
            <w:right w:val="none" w:sz="0" w:space="0" w:color="auto"/>
          </w:divBdr>
          <w:divsChild>
            <w:div w:id="2139837423">
              <w:marLeft w:val="0"/>
              <w:marRight w:val="0"/>
              <w:marTop w:val="0"/>
              <w:marBottom w:val="0"/>
              <w:divBdr>
                <w:top w:val="none" w:sz="0" w:space="0" w:color="auto"/>
                <w:left w:val="none" w:sz="0" w:space="0" w:color="auto"/>
                <w:bottom w:val="none" w:sz="0" w:space="0" w:color="auto"/>
                <w:right w:val="none" w:sz="0" w:space="0" w:color="auto"/>
              </w:divBdr>
              <w:divsChild>
                <w:div w:id="214440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158211">
      <w:bodyDiv w:val="1"/>
      <w:marLeft w:val="0"/>
      <w:marRight w:val="0"/>
      <w:marTop w:val="0"/>
      <w:marBottom w:val="0"/>
      <w:divBdr>
        <w:top w:val="none" w:sz="0" w:space="0" w:color="auto"/>
        <w:left w:val="none" w:sz="0" w:space="0" w:color="auto"/>
        <w:bottom w:val="none" w:sz="0" w:space="0" w:color="auto"/>
        <w:right w:val="none" w:sz="0" w:space="0" w:color="auto"/>
      </w:divBdr>
    </w:div>
    <w:div w:id="1611669791">
      <w:bodyDiv w:val="1"/>
      <w:marLeft w:val="0"/>
      <w:marRight w:val="0"/>
      <w:marTop w:val="0"/>
      <w:marBottom w:val="0"/>
      <w:divBdr>
        <w:top w:val="none" w:sz="0" w:space="0" w:color="auto"/>
        <w:left w:val="none" w:sz="0" w:space="0" w:color="auto"/>
        <w:bottom w:val="none" w:sz="0" w:space="0" w:color="auto"/>
        <w:right w:val="none" w:sz="0" w:space="0" w:color="auto"/>
      </w:divBdr>
    </w:div>
    <w:div w:id="1618833141">
      <w:bodyDiv w:val="1"/>
      <w:marLeft w:val="0"/>
      <w:marRight w:val="0"/>
      <w:marTop w:val="0"/>
      <w:marBottom w:val="0"/>
      <w:divBdr>
        <w:top w:val="none" w:sz="0" w:space="0" w:color="auto"/>
        <w:left w:val="none" w:sz="0" w:space="0" w:color="auto"/>
        <w:bottom w:val="none" w:sz="0" w:space="0" w:color="auto"/>
        <w:right w:val="none" w:sz="0" w:space="0" w:color="auto"/>
      </w:divBdr>
      <w:divsChild>
        <w:div w:id="64843826">
          <w:marLeft w:val="0"/>
          <w:marRight w:val="0"/>
          <w:marTop w:val="0"/>
          <w:marBottom w:val="0"/>
          <w:divBdr>
            <w:top w:val="none" w:sz="0" w:space="0" w:color="auto"/>
            <w:left w:val="none" w:sz="0" w:space="0" w:color="auto"/>
            <w:bottom w:val="none" w:sz="0" w:space="0" w:color="auto"/>
            <w:right w:val="none" w:sz="0" w:space="0" w:color="auto"/>
          </w:divBdr>
          <w:divsChild>
            <w:div w:id="196355962">
              <w:marLeft w:val="0"/>
              <w:marRight w:val="0"/>
              <w:marTop w:val="0"/>
              <w:marBottom w:val="0"/>
              <w:divBdr>
                <w:top w:val="none" w:sz="0" w:space="0" w:color="auto"/>
                <w:left w:val="none" w:sz="0" w:space="0" w:color="auto"/>
                <w:bottom w:val="none" w:sz="0" w:space="0" w:color="auto"/>
                <w:right w:val="none" w:sz="0" w:space="0" w:color="auto"/>
              </w:divBdr>
              <w:divsChild>
                <w:div w:id="37311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8916747">
      <w:bodyDiv w:val="1"/>
      <w:marLeft w:val="0"/>
      <w:marRight w:val="0"/>
      <w:marTop w:val="0"/>
      <w:marBottom w:val="0"/>
      <w:divBdr>
        <w:top w:val="none" w:sz="0" w:space="0" w:color="auto"/>
        <w:left w:val="none" w:sz="0" w:space="0" w:color="auto"/>
        <w:bottom w:val="none" w:sz="0" w:space="0" w:color="auto"/>
        <w:right w:val="none" w:sz="0" w:space="0" w:color="auto"/>
      </w:divBdr>
      <w:divsChild>
        <w:div w:id="2107387833">
          <w:marLeft w:val="0"/>
          <w:marRight w:val="0"/>
          <w:marTop w:val="0"/>
          <w:marBottom w:val="0"/>
          <w:divBdr>
            <w:top w:val="none" w:sz="0" w:space="0" w:color="auto"/>
            <w:left w:val="none" w:sz="0" w:space="0" w:color="auto"/>
            <w:bottom w:val="none" w:sz="0" w:space="0" w:color="auto"/>
            <w:right w:val="none" w:sz="0" w:space="0" w:color="auto"/>
          </w:divBdr>
          <w:divsChild>
            <w:div w:id="899438117">
              <w:marLeft w:val="0"/>
              <w:marRight w:val="0"/>
              <w:marTop w:val="0"/>
              <w:marBottom w:val="0"/>
              <w:divBdr>
                <w:top w:val="none" w:sz="0" w:space="0" w:color="auto"/>
                <w:left w:val="none" w:sz="0" w:space="0" w:color="auto"/>
                <w:bottom w:val="none" w:sz="0" w:space="0" w:color="auto"/>
                <w:right w:val="none" w:sz="0" w:space="0" w:color="auto"/>
              </w:divBdr>
              <w:divsChild>
                <w:div w:id="1453551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324104">
      <w:bodyDiv w:val="1"/>
      <w:marLeft w:val="0"/>
      <w:marRight w:val="0"/>
      <w:marTop w:val="0"/>
      <w:marBottom w:val="0"/>
      <w:divBdr>
        <w:top w:val="none" w:sz="0" w:space="0" w:color="auto"/>
        <w:left w:val="none" w:sz="0" w:space="0" w:color="auto"/>
        <w:bottom w:val="none" w:sz="0" w:space="0" w:color="auto"/>
        <w:right w:val="none" w:sz="0" w:space="0" w:color="auto"/>
      </w:divBdr>
    </w:div>
    <w:div w:id="2046559384">
      <w:bodyDiv w:val="1"/>
      <w:marLeft w:val="0"/>
      <w:marRight w:val="0"/>
      <w:marTop w:val="0"/>
      <w:marBottom w:val="0"/>
      <w:divBdr>
        <w:top w:val="none" w:sz="0" w:space="0" w:color="auto"/>
        <w:left w:val="none" w:sz="0" w:space="0" w:color="auto"/>
        <w:bottom w:val="none" w:sz="0" w:space="0" w:color="auto"/>
        <w:right w:val="none" w:sz="0" w:space="0" w:color="auto"/>
      </w:divBdr>
    </w:div>
    <w:div w:id="2114354268">
      <w:bodyDiv w:val="1"/>
      <w:marLeft w:val="0"/>
      <w:marRight w:val="0"/>
      <w:marTop w:val="0"/>
      <w:marBottom w:val="0"/>
      <w:divBdr>
        <w:top w:val="none" w:sz="0" w:space="0" w:color="auto"/>
        <w:left w:val="none" w:sz="0" w:space="0" w:color="auto"/>
        <w:bottom w:val="none" w:sz="0" w:space="0" w:color="auto"/>
        <w:right w:val="none" w:sz="0" w:space="0" w:color="auto"/>
      </w:divBdr>
      <w:divsChild>
        <w:div w:id="1360936911">
          <w:marLeft w:val="0"/>
          <w:marRight w:val="0"/>
          <w:marTop w:val="0"/>
          <w:marBottom w:val="0"/>
          <w:divBdr>
            <w:top w:val="none" w:sz="0" w:space="0" w:color="auto"/>
            <w:left w:val="none" w:sz="0" w:space="0" w:color="auto"/>
            <w:bottom w:val="none" w:sz="0" w:space="0" w:color="auto"/>
            <w:right w:val="none" w:sz="0" w:space="0" w:color="auto"/>
          </w:divBdr>
          <w:divsChild>
            <w:div w:id="1431314236">
              <w:marLeft w:val="0"/>
              <w:marRight w:val="0"/>
              <w:marTop w:val="0"/>
              <w:marBottom w:val="0"/>
              <w:divBdr>
                <w:top w:val="none" w:sz="0" w:space="0" w:color="auto"/>
                <w:left w:val="none" w:sz="0" w:space="0" w:color="auto"/>
                <w:bottom w:val="none" w:sz="0" w:space="0" w:color="auto"/>
                <w:right w:val="none" w:sz="0" w:space="0" w:color="auto"/>
              </w:divBdr>
              <w:divsChild>
                <w:div w:id="1902252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159014">
      <w:bodyDiv w:val="1"/>
      <w:marLeft w:val="0"/>
      <w:marRight w:val="0"/>
      <w:marTop w:val="0"/>
      <w:marBottom w:val="0"/>
      <w:divBdr>
        <w:top w:val="none" w:sz="0" w:space="0" w:color="auto"/>
        <w:left w:val="none" w:sz="0" w:space="0" w:color="auto"/>
        <w:bottom w:val="none" w:sz="0" w:space="0" w:color="auto"/>
        <w:right w:val="none" w:sz="0" w:space="0" w:color="auto"/>
      </w:divBdr>
      <w:divsChild>
        <w:div w:id="1435397241">
          <w:marLeft w:val="0"/>
          <w:marRight w:val="0"/>
          <w:marTop w:val="0"/>
          <w:marBottom w:val="0"/>
          <w:divBdr>
            <w:top w:val="none" w:sz="0" w:space="0" w:color="auto"/>
            <w:left w:val="none" w:sz="0" w:space="0" w:color="auto"/>
            <w:bottom w:val="none" w:sz="0" w:space="0" w:color="auto"/>
            <w:right w:val="none" w:sz="0" w:space="0" w:color="auto"/>
          </w:divBdr>
          <w:divsChild>
            <w:div w:id="1532457017">
              <w:marLeft w:val="0"/>
              <w:marRight w:val="0"/>
              <w:marTop w:val="0"/>
              <w:marBottom w:val="0"/>
              <w:divBdr>
                <w:top w:val="none" w:sz="0" w:space="0" w:color="auto"/>
                <w:left w:val="none" w:sz="0" w:space="0" w:color="auto"/>
                <w:bottom w:val="none" w:sz="0" w:space="0" w:color="auto"/>
                <w:right w:val="none" w:sz="0" w:space="0" w:color="auto"/>
              </w:divBdr>
              <w:divsChild>
                <w:div w:id="83083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microsoft.com/office/2018/08/relationships/commentsExtensible" Target="commentsExtensible.xml"/><Relationship Id="rId26" Type="http://schemas.openxmlformats.org/officeDocument/2006/relationships/hyperlink" Target="https://www.epm.com.co/institucional/sala-de-prensa/noticias-y-novedades/epm-aguas-regionales-y-corpouraba-de-la-mano-con-la-comunidad-indigena-para-la-proteccion-hidrica-en-apartado/" TargetMode="External"/><Relationship Id="rId3" Type="http://schemas.openxmlformats.org/officeDocument/2006/relationships/customXml" Target="../customXml/item3.xml"/><Relationship Id="rId21" Type="http://schemas.openxmlformats.org/officeDocument/2006/relationships/hyperlink" Target="https://rutasdelconflicto.com/especiales/bajo-atrato-uraba/factores.html" TargetMode="External"/><Relationship Id="rId34" Type="http://schemas.microsoft.com/office/2011/relationships/people" Target="people.xml"/><Relationship Id="rId7" Type="http://schemas.openxmlformats.org/officeDocument/2006/relationships/settings" Target="settings.xml"/><Relationship Id="rId12" Type="http://schemas.openxmlformats.org/officeDocument/2006/relationships/image" Target="media/image2.png"/><Relationship Id="rId17" Type="http://schemas.microsoft.com/office/2016/09/relationships/commentsIds" Target="commentsIds.xml"/><Relationship Id="rId25" Type="http://schemas.openxmlformats.org/officeDocument/2006/relationships/hyperlink" Target="https://corpouraba.gov.co/plan-clima-y-paz-2040/"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hyperlink" Target="https://hdl.handle.net/10495/33551" TargetMode="External"/><Relationship Id="rId29" Type="http://schemas.openxmlformats.org/officeDocument/2006/relationships/hyperlink" Target="https://www.epm.com.co/institucional/sala-de-prensa/noticias-y-novedades/epm-suma-acciones-de-proteccion-ambienta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ilsa.org.co/2025/09/puerto-antioquia-consulta-previa-comunidades-afro/" TargetMode="External"/><Relationship Id="rId32"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comments" Target="comments.xml"/><Relationship Id="rId23" Type="http://schemas.openxmlformats.org/officeDocument/2006/relationships/hyperlink" Target="https://idbinvest.org/es/projects/puerto-de-antioquia-puerto-de-uraba" TargetMode="External"/><Relationship Id="rId28" Type="http://schemas.openxmlformats.org/officeDocument/2006/relationships/hyperlink" Target="https://www.epm.com.co/institucional/linkedin/el-desarrollo-de-uraba-un-reto-integrado-e-integral-para-epm/?utm_source=chatgpt.com" TargetMode="External"/><Relationship Id="rId10" Type="http://schemas.openxmlformats.org/officeDocument/2006/relationships/endnotes" Target="endnotes.xml"/><Relationship Id="rId19" Type="http://schemas.openxmlformats.org/officeDocument/2006/relationships/hyperlink" Target="https://bibliotecadigital.udea.edu.co/handle/10495/28438" TargetMode="External"/><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svg"/><Relationship Id="rId22" Type="http://schemas.openxmlformats.org/officeDocument/2006/relationships/hyperlink" Target="https://www.camaramedellin.com.co/" TargetMode="External"/><Relationship Id="rId27" Type="http://schemas.openxmlformats.org/officeDocument/2006/relationships/hyperlink" Target="https://www.epm.com.co/institucional/sala-de-prensa/noticias-y-novedades/uraba--territorio-priorizado-para-el-grupo-epm/" TargetMode="External"/><Relationship Id="rId30" Type="http://schemas.openxmlformats.org/officeDocument/2006/relationships/header" Target="header1.xml"/><Relationship Id="rId35" Type="http://schemas.openxmlformats.org/officeDocument/2006/relationships/theme" Target="theme/theme1.xml"/><Relationship Id="rId8" Type="http://schemas.openxmlformats.org/officeDocument/2006/relationships/webSettings" Target="webSettings.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56F935E-7C6C-449B-BF6F-983A01D88890}">
  <we:reference id="f78a3046-9e99-4300-aa2b-5814002b01a2" version="1.55.1.0" store="excatalog" storeType="EXCatalog"/>
  <we:alternateReferences>
    <we:reference id="WA104382081" version="1.55.1.0" store="es-es"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C3FFFD193AA19448D2511175D8D6351" ma:contentTypeVersion="11" ma:contentTypeDescription="Crear nuevo documento." ma:contentTypeScope="" ma:versionID="e550c6c14a9bcdabccfb8438ad0830af">
  <xsd:schema xmlns:xsd="http://www.w3.org/2001/XMLSchema" xmlns:xs="http://www.w3.org/2001/XMLSchema" xmlns:p="http://schemas.microsoft.com/office/2006/metadata/properties" xmlns:ns2="53ebe86d-8b83-445d-be67-139874e4e026" xmlns:ns3="7c2d1960-97a9-43c3-b36f-05e3142ae0d5" targetNamespace="http://schemas.microsoft.com/office/2006/metadata/properties" ma:root="true" ma:fieldsID="9d8b68c97b7a0382fb082104af2e5a80" ns2:_="" ns3:_="">
    <xsd:import namespace="53ebe86d-8b83-445d-be67-139874e4e026"/>
    <xsd:import namespace="7c2d1960-97a9-43c3-b36f-05e3142ae0d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ebe86d-8b83-445d-be67-139874e4e0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0aef40d5-b715-412d-bec7-270c58122046"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c2d1960-97a9-43c3-b36f-05e3142ae0d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9408411-5c6e-4a8d-990d-d35dff004b88}" ma:internalName="TaxCatchAll" ma:showField="CatchAllData" ma:web="7c2d1960-97a9-43c3-b36f-05e3142ae0d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3ebe86d-8b83-445d-be67-139874e4e026">
      <Terms xmlns="http://schemas.microsoft.com/office/infopath/2007/PartnerControls"/>
    </lcf76f155ced4ddcb4097134ff3c332f>
    <TaxCatchAll xmlns="7c2d1960-97a9-43c3-b36f-05e3142ae0d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b:Source>
    <b:Tag>Lon19</b:Tag>
    <b:SourceType>Report</b:SourceType>
    <b:Guid>{E56732D5-76C4-41D2-9580-3D58327DF0D2}</b:Guid>
    <b:Author>
      <b:Author>
        <b:Corporate>Londoño, Jorge</b:Corporate>
      </b:Author>
    </b:Author>
    <b:Title>ACTA DE INFORME DE GESTIÓN</b:Title>
    <b:Year>2019</b:Year>
    <b:City>Medellin</b:City>
    <b:Publisher>Grupo EPM</b:Publisher>
    <b:RefOrder>2</b:RefOrder>
  </b:Source>
  <b:Source>
    <b:Tag>Mej26</b:Tag>
    <b:SourceType>InternetSite</b:SourceType>
    <b:Guid>{6AA526D3-83B4-4E4D-BCC6-ADEEF9D4400C}</b:Guid>
    <b:Title>El desarrollo de Urabá: un reto integrado e integral para EPM</b:Title>
    <b:Year>2026</b:Year>
    <b:InternetSiteTitle>Epm.com.co</b:InternetSiteTitle>
    <b:URL>https://www.epm.com.co/institucional/linkedin/el-desarrollo-de-uraba-un-reto-integrado-e-integral-para-epm/</b:URL>
    <b:Author>
      <b:Author>
        <b:NameList>
          <b:Person>
            <b:Last>Mejía Betancur</b:Last>
            <b:First>Luis Fredy</b:First>
          </b:Person>
        </b:NameList>
      </b:Author>
    </b:Author>
    <b:RefOrder>1</b:RefOrder>
  </b:Source>
  <b:Source>
    <b:Tag>Gru25</b:Tag>
    <b:SourceType>InternetSite</b:SourceType>
    <b:Guid>{DBDAF94F-339A-41AC-813E-DA4B12B6168F}</b:Guid>
    <b:Author>
      <b:Author>
        <b:Corporate>Grupo EPM</b:Corporate>
      </b:Author>
    </b:Author>
    <b:Title>Con Obras por Impuestos, EPM beneficiará a comunidades de Antioquia y Chocó</b:Title>
    <b:InternetSiteTitle>Epm.com.co</b:InternetSiteTitle>
    <b:Year>2025</b:Year>
    <b:URL>https://www.epm.com.co/institucional/sala-de-prensa/noticias-y-novedades/epm-obras-impuestos-comunidades-2025/</b:URL>
    <b:RefOrder>4</b:RefOrder>
  </b:Source>
  <b:Source>
    <b:Tag>EPM19</b:Tag>
    <b:SourceType>DocumentFromInternetSite</b:SourceType>
    <b:Guid>{335D9D9D-1471-41FB-828C-CA50A2C847F7}</b:Guid>
    <b:Author>
      <b:Author>
        <b:NameList>
          <b:Person>
            <b:Last>EPM</b:Last>
          </b:Person>
        </b:NameList>
      </b:Author>
    </b:Author>
    <b:Title>Noticias y novedades</b:Title>
    <b:InternetSiteTitle>Grupo EPM recibió reconocimiento del BID por acueducto aéreo de Turbo </b:InternetSiteTitle>
    <b:Year>2019</b:Year>
    <b:Month>Octubre</b:Month>
    <b:URL>https://www.epm.com.co/institucional/sala-de-prensa/noticias-y-novedades/grupo-epm-recibio-reconocimiento-del-bid-por-acueducto-aereo-de-turbo/</b:URL>
    <b:RefOrder>3</b:RefOrder>
  </b:Source>
</b:Sources>
</file>

<file path=customXml/itemProps1.xml><?xml version="1.0" encoding="utf-8"?>
<ds:datastoreItem xmlns:ds="http://schemas.openxmlformats.org/officeDocument/2006/customXml" ds:itemID="{8AE5375D-3AF1-41A9-9308-214DEE70E8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ebe86d-8b83-445d-be67-139874e4e026"/>
    <ds:schemaRef ds:uri="7c2d1960-97a9-43c3-b36f-05e3142ae0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3DE2911-34DE-4776-9723-358D826E4D9C}">
  <ds:schemaRefs>
    <ds:schemaRef ds:uri="http://schemas.microsoft.com/office/2006/metadata/properties"/>
    <ds:schemaRef ds:uri="http://schemas.microsoft.com/office/infopath/2007/PartnerControls"/>
    <ds:schemaRef ds:uri="53ebe86d-8b83-445d-be67-139874e4e026"/>
    <ds:schemaRef ds:uri="7c2d1960-97a9-43c3-b36f-05e3142ae0d5"/>
  </ds:schemaRefs>
</ds:datastoreItem>
</file>

<file path=customXml/itemProps3.xml><?xml version="1.0" encoding="utf-8"?>
<ds:datastoreItem xmlns:ds="http://schemas.openxmlformats.org/officeDocument/2006/customXml" ds:itemID="{11153E17-5AB5-4D80-A68A-8ECE7638E792}">
  <ds:schemaRefs>
    <ds:schemaRef ds:uri="http://schemas.microsoft.com/sharepoint/v3/contenttype/forms"/>
  </ds:schemaRefs>
</ds:datastoreItem>
</file>

<file path=customXml/itemProps4.xml><?xml version="1.0" encoding="utf-8"?>
<ds:datastoreItem xmlns:ds="http://schemas.openxmlformats.org/officeDocument/2006/customXml" ds:itemID="{4CCB1FED-159E-4676-917D-B3CE5FD21A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TotalTime>
  <Pages>16</Pages>
  <Words>6402</Words>
  <Characters>34961</Characters>
  <Application>Microsoft Office Word</Application>
  <DocSecurity>0</DocSecurity>
  <Lines>998</Lines>
  <Paragraphs>315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Jose Sotomayor Mogollon</dc:creator>
  <cp:keywords/>
  <dc:description/>
  <cp:lastModifiedBy>Manuela Ramirez Agudelo</cp:lastModifiedBy>
  <cp:revision>494</cp:revision>
  <cp:lastPrinted>2025-11-19T18:05:00Z</cp:lastPrinted>
  <dcterms:created xsi:type="dcterms:W3CDTF">2025-10-23T17:05:00Z</dcterms:created>
  <dcterms:modified xsi:type="dcterms:W3CDTF">2026-04-01T18:26:00Z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0x0101002C3FFFD193AA19448D2511175D8D6351</vt:lpwstr>
  </property>
  <property fmtid="{D5CDD505-2E9C-101B-9397-08002B2CF9AE}" pid="3" name="Order">
    <vt:r8>8507400</vt:r8>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MediaServiceImageTags">
    <vt:lpwstr/>
  </property>
</Properties>
</file>