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67EF" w14:textId="77777777" w:rsidR="00693A73" w:rsidRPr="00AF5290" w:rsidRDefault="00693A73" w:rsidP="00693A73">
      <w:pPr>
        <w:pStyle w:val="Caption"/>
        <w:keepNext/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</w:pPr>
      <w:bookmarkStart w:id="0" w:name="_Ref142473012"/>
      <w:bookmarkStart w:id="1" w:name="_Toc136183373"/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eastAsia="Times New Roman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0"/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t>. P</w:t>
      </w:r>
      <w:r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t>rior (pre-calibration) values of key p</w:t>
      </w:r>
      <w:r w:rsidRPr="00AF5290"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t>arameter</w:t>
      </w:r>
      <w:bookmarkEnd w:id="1"/>
      <w:r>
        <w:rPr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  <w:t>s</w:t>
      </w:r>
      <w:r w:rsidRPr="00131971">
        <w:rPr>
          <w:rFonts w:ascii="Arial" w:eastAsia="Times New Roman" w:hAnsi="Arial" w:cs="Arial"/>
          <w:b/>
          <w:bCs/>
          <w:color w:val="auto"/>
          <w:sz w:val="20"/>
          <w:szCs w:val="20"/>
          <w:vertAlign w:val="superscript"/>
        </w:rPr>
        <w:t>a</w: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5125"/>
        <w:gridCol w:w="2070"/>
        <w:gridCol w:w="2282"/>
      </w:tblGrid>
      <w:tr w:rsidR="00693A73" w:rsidRPr="00A36029" w14:paraId="6C28C4C2" w14:textId="77777777" w:rsidTr="00836EC0">
        <w:trPr>
          <w:trHeight w:val="470"/>
        </w:trPr>
        <w:tc>
          <w:tcPr>
            <w:tcW w:w="5125" w:type="dxa"/>
          </w:tcPr>
          <w:p w14:paraId="5D3D3A3A" w14:textId="77777777" w:rsidR="00693A73" w:rsidRPr="00A36029" w:rsidRDefault="00693A73" w:rsidP="00836EC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2070" w:type="dxa"/>
          </w:tcPr>
          <w:p w14:paraId="10EFAD66" w14:textId="77777777" w:rsidR="00693A73" w:rsidRPr="00A36029" w:rsidRDefault="00693A73" w:rsidP="00836EC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</w:t>
            </w: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alue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median prior, with sampling</w:t>
            </w: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range) </w:t>
            </w:r>
          </w:p>
        </w:tc>
        <w:tc>
          <w:tcPr>
            <w:tcW w:w="2282" w:type="dxa"/>
          </w:tcPr>
          <w:p w14:paraId="55DBCBDD" w14:textId="77777777" w:rsidR="00693A73" w:rsidRPr="00A36029" w:rsidRDefault="00693A73" w:rsidP="00836EC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693A73" w:rsidRPr="00A36029" w14:paraId="77EE3D19" w14:textId="77777777" w:rsidTr="00836EC0">
        <w:trPr>
          <w:trHeight w:val="227"/>
        </w:trPr>
        <w:tc>
          <w:tcPr>
            <w:tcW w:w="9477" w:type="dxa"/>
            <w:gridSpan w:val="3"/>
          </w:tcPr>
          <w:p w14:paraId="731140C2" w14:textId="77777777" w:rsidR="00693A73" w:rsidRPr="00A36029" w:rsidRDefault="00693A73" w:rsidP="00836EC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Transmission</w:t>
            </w:r>
            <w:r w:rsidRPr="00131971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93A73" w:rsidRPr="00A36029" w14:paraId="668A40B9" w14:textId="77777777" w:rsidTr="00836EC0">
        <w:trPr>
          <w:trHeight w:val="227"/>
        </w:trPr>
        <w:tc>
          <w:tcPr>
            <w:tcW w:w="5125" w:type="dxa"/>
          </w:tcPr>
          <w:p w14:paraId="09AAD435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Transmission rates by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age/sex/time</w:t>
            </w:r>
          </w:p>
        </w:tc>
        <w:tc>
          <w:tcPr>
            <w:tcW w:w="2070" w:type="dxa"/>
          </w:tcPr>
          <w:p w14:paraId="799BACEC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(Calibrated)</w:t>
            </w:r>
          </w:p>
        </w:tc>
        <w:tc>
          <w:tcPr>
            <w:tcW w:w="2282" w:type="dxa"/>
          </w:tcPr>
          <w:p w14:paraId="6445D85C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(Calibrated) </w:t>
            </w:r>
          </w:p>
        </w:tc>
      </w:tr>
      <w:tr w:rsidR="00693A73" w:rsidRPr="00A36029" w14:paraId="55E83CCF" w14:textId="77777777" w:rsidTr="00836EC0">
        <w:trPr>
          <w:trHeight w:val="227"/>
        </w:trPr>
        <w:tc>
          <w:tcPr>
            <w:tcW w:w="9477" w:type="dxa"/>
            <w:gridSpan w:val="3"/>
          </w:tcPr>
          <w:p w14:paraId="60E1EA59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2C1129E5" w14:textId="77777777" w:rsidTr="00836EC0">
        <w:trPr>
          <w:trHeight w:val="227"/>
        </w:trPr>
        <w:tc>
          <w:tcPr>
            <w:tcW w:w="9477" w:type="dxa"/>
            <w:gridSpan w:val="3"/>
          </w:tcPr>
          <w:p w14:paraId="4971C14B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(Probability of receiving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 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HIV test within the past year) </w:t>
            </w:r>
          </w:p>
        </w:tc>
      </w:tr>
      <w:tr w:rsidR="00693A73" w:rsidRPr="00A36029" w14:paraId="1EA2447A" w14:textId="77777777" w:rsidTr="00836EC0">
        <w:trPr>
          <w:trHeight w:val="227"/>
        </w:trPr>
        <w:tc>
          <w:tcPr>
            <w:tcW w:w="5125" w:type="dxa"/>
          </w:tcPr>
          <w:p w14:paraId="29811341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Female, age 35-39, 2015</w:t>
            </w:r>
          </w:p>
        </w:tc>
        <w:tc>
          <w:tcPr>
            <w:tcW w:w="2070" w:type="dxa"/>
          </w:tcPr>
          <w:p w14:paraId="57CC6F04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0.52 (0.24-0.73)</w:t>
            </w:r>
          </w:p>
        </w:tc>
        <w:tc>
          <w:tcPr>
            <w:tcW w:w="2282" w:type="dxa"/>
            <w:vMerge w:val="restart"/>
          </w:tcPr>
          <w:p w14:paraId="58CBD474" w14:textId="63DC9122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KDHS 2003</w:t>
            </w:r>
            <w:r w:rsidR="002077D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22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, 2008</w:t>
            </w:r>
            <w:r w:rsidR="002077D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, 2014</w:t>
            </w:r>
            <w:r w:rsidR="002077D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4</w:t>
            </w:r>
          </w:p>
        </w:tc>
      </w:tr>
      <w:tr w:rsidR="00693A73" w:rsidRPr="00A36029" w14:paraId="7D1B01C1" w14:textId="77777777" w:rsidTr="00836EC0">
        <w:trPr>
          <w:trHeight w:val="227"/>
        </w:trPr>
        <w:tc>
          <w:tcPr>
            <w:tcW w:w="5125" w:type="dxa"/>
          </w:tcPr>
          <w:p w14:paraId="5229CA18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Female, age 17 and younger, 2015</w:t>
            </w:r>
          </w:p>
        </w:tc>
        <w:tc>
          <w:tcPr>
            <w:tcW w:w="2070" w:type="dxa"/>
          </w:tcPr>
          <w:p w14:paraId="283AE964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0.35 (0.13-0.63)</w:t>
            </w:r>
          </w:p>
        </w:tc>
        <w:tc>
          <w:tcPr>
            <w:tcW w:w="2282" w:type="dxa"/>
            <w:vMerge/>
          </w:tcPr>
          <w:p w14:paraId="77185FAA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62AC5F3E" w14:textId="77777777" w:rsidTr="00836EC0">
        <w:trPr>
          <w:trHeight w:val="227"/>
        </w:trPr>
        <w:tc>
          <w:tcPr>
            <w:tcW w:w="5125" w:type="dxa"/>
          </w:tcPr>
          <w:p w14:paraId="101F32D7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Yearly change in odds of receiving a test, for individuals over 17 (odds ratio) </w:t>
            </w:r>
          </w:p>
        </w:tc>
        <w:tc>
          <w:tcPr>
            <w:tcW w:w="2070" w:type="dxa"/>
          </w:tcPr>
          <w:p w14:paraId="17EE20F9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1.26 (0.32-5.04)</w:t>
            </w:r>
          </w:p>
        </w:tc>
        <w:tc>
          <w:tcPr>
            <w:tcW w:w="2282" w:type="dxa"/>
            <w:vMerge/>
          </w:tcPr>
          <w:p w14:paraId="2573B325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7A574B45" w14:textId="77777777" w:rsidTr="00836EC0">
        <w:trPr>
          <w:trHeight w:val="227"/>
        </w:trPr>
        <w:tc>
          <w:tcPr>
            <w:tcW w:w="5125" w:type="dxa"/>
          </w:tcPr>
          <w:p w14:paraId="09CEAE56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Yearly change in odds of receiving a test, for individuals </w:t>
            </w:r>
            <w:proofErr w:type="gramStart"/>
            <w:r w:rsidRPr="00A36029">
              <w:rPr>
                <w:rFonts w:ascii="Arial" w:eastAsia="Times New Roman" w:hAnsi="Arial" w:cs="Arial"/>
                <w:sz w:val="20"/>
                <w:szCs w:val="20"/>
              </w:rPr>
              <w:t>age</w:t>
            </w:r>
            <w:proofErr w:type="gramEnd"/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17 and under (odds ratio) </w:t>
            </w:r>
          </w:p>
        </w:tc>
        <w:tc>
          <w:tcPr>
            <w:tcW w:w="2070" w:type="dxa"/>
          </w:tcPr>
          <w:p w14:paraId="5902C06E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1.23 (0.31-4.90)</w:t>
            </w:r>
          </w:p>
        </w:tc>
        <w:tc>
          <w:tcPr>
            <w:tcW w:w="2282" w:type="dxa"/>
            <w:vMerge/>
          </w:tcPr>
          <w:p w14:paraId="599D15B9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45BB83E3" w14:textId="77777777" w:rsidTr="00836EC0">
        <w:trPr>
          <w:trHeight w:val="227"/>
        </w:trPr>
        <w:tc>
          <w:tcPr>
            <w:tcW w:w="5125" w:type="dxa"/>
          </w:tcPr>
          <w:p w14:paraId="01EF99F2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Change in odds of receiving a test for every one-year increase in age, for individuals over 17 (odds ratio) </w:t>
            </w:r>
          </w:p>
        </w:tc>
        <w:tc>
          <w:tcPr>
            <w:tcW w:w="2070" w:type="dxa"/>
          </w:tcPr>
          <w:p w14:paraId="5FF18066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0.96 (0.24-3.86)</w:t>
            </w:r>
          </w:p>
        </w:tc>
        <w:tc>
          <w:tcPr>
            <w:tcW w:w="2282" w:type="dxa"/>
            <w:vMerge/>
          </w:tcPr>
          <w:p w14:paraId="4ED7BEB2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72592B94" w14:textId="77777777" w:rsidTr="00836EC0">
        <w:trPr>
          <w:trHeight w:val="227"/>
        </w:trPr>
        <w:tc>
          <w:tcPr>
            <w:tcW w:w="5125" w:type="dxa"/>
          </w:tcPr>
          <w:p w14:paraId="45BF7168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Ratio of testing rates among male vs female</w:t>
            </w:r>
          </w:p>
        </w:tc>
        <w:tc>
          <w:tcPr>
            <w:tcW w:w="2070" w:type="dxa"/>
          </w:tcPr>
          <w:p w14:paraId="5C6E89BB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1 (0.25-4) </w:t>
            </w:r>
          </w:p>
        </w:tc>
        <w:tc>
          <w:tcPr>
            <w:tcW w:w="2282" w:type="dxa"/>
          </w:tcPr>
          <w:p w14:paraId="17A6BACE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(Calibrated) </w:t>
            </w:r>
          </w:p>
        </w:tc>
      </w:tr>
      <w:tr w:rsidR="00693A73" w:rsidRPr="00A36029" w14:paraId="5DFF3F27" w14:textId="77777777" w:rsidTr="00836EC0">
        <w:trPr>
          <w:trHeight w:val="227"/>
        </w:trPr>
        <w:tc>
          <w:tcPr>
            <w:tcW w:w="9477" w:type="dxa"/>
            <w:gridSpan w:val="3"/>
          </w:tcPr>
          <w:p w14:paraId="61E9B630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7BEF28B1" w14:textId="77777777" w:rsidTr="00836EC0">
        <w:trPr>
          <w:trHeight w:val="227"/>
        </w:trPr>
        <w:tc>
          <w:tcPr>
            <w:tcW w:w="9477" w:type="dxa"/>
            <w:gridSpan w:val="3"/>
          </w:tcPr>
          <w:p w14:paraId="2426B4B4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Engagement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Annual 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probability of starting ART) </w:t>
            </w:r>
          </w:p>
        </w:tc>
      </w:tr>
      <w:tr w:rsidR="00693A73" w:rsidRPr="00A36029" w14:paraId="14D5ED49" w14:textId="77777777" w:rsidTr="00836EC0">
        <w:trPr>
          <w:trHeight w:val="227"/>
        </w:trPr>
        <w:tc>
          <w:tcPr>
            <w:tcW w:w="5125" w:type="dxa"/>
          </w:tcPr>
          <w:p w14:paraId="20F8FD32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Female, 2015</w:t>
            </w:r>
          </w:p>
        </w:tc>
        <w:tc>
          <w:tcPr>
            <w:tcW w:w="2070" w:type="dxa"/>
          </w:tcPr>
          <w:p w14:paraId="0B163A6A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0.32 (0.08-1)</w:t>
            </w:r>
          </w:p>
        </w:tc>
        <w:tc>
          <w:tcPr>
            <w:tcW w:w="2282" w:type="dxa"/>
          </w:tcPr>
          <w:p w14:paraId="6ECBA06A" w14:textId="3DCD79BC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AIDSinfo</w:t>
            </w:r>
            <w:r w:rsidR="00C4328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93A73" w:rsidRPr="00A36029" w14:paraId="1B7F73F5" w14:textId="77777777" w:rsidTr="00836EC0">
        <w:trPr>
          <w:trHeight w:val="227"/>
        </w:trPr>
        <w:tc>
          <w:tcPr>
            <w:tcW w:w="5125" w:type="dxa"/>
          </w:tcPr>
          <w:p w14:paraId="6DFCB6D9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Yearly change in odds of starting ART prior to universal ART, 2016 (odds ratio) </w:t>
            </w:r>
          </w:p>
        </w:tc>
        <w:tc>
          <w:tcPr>
            <w:tcW w:w="2070" w:type="dxa"/>
          </w:tcPr>
          <w:p w14:paraId="12FF9EEB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1.34 (0.34-5.36)</w:t>
            </w:r>
          </w:p>
        </w:tc>
        <w:tc>
          <w:tcPr>
            <w:tcW w:w="2282" w:type="dxa"/>
            <w:vMerge w:val="restart"/>
          </w:tcPr>
          <w:p w14:paraId="7380490D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30119C09" w14:textId="77777777" w:rsidTr="00836EC0">
        <w:trPr>
          <w:trHeight w:val="227"/>
        </w:trPr>
        <w:tc>
          <w:tcPr>
            <w:tcW w:w="5125" w:type="dxa"/>
          </w:tcPr>
          <w:p w14:paraId="039037C7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Yearly change in odds of starting ART during rollout of universal ART, 2016-2017 (odds ratio)</w:t>
            </w:r>
          </w:p>
        </w:tc>
        <w:tc>
          <w:tcPr>
            <w:tcW w:w="2070" w:type="dxa"/>
          </w:tcPr>
          <w:p w14:paraId="4EB8827E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1.68 (0.42-6.70)</w:t>
            </w:r>
          </w:p>
        </w:tc>
        <w:tc>
          <w:tcPr>
            <w:tcW w:w="2282" w:type="dxa"/>
            <w:vMerge/>
          </w:tcPr>
          <w:p w14:paraId="1772F444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35ADEF0A" w14:textId="77777777" w:rsidTr="00836EC0">
        <w:trPr>
          <w:trHeight w:val="227"/>
        </w:trPr>
        <w:tc>
          <w:tcPr>
            <w:tcW w:w="5125" w:type="dxa"/>
          </w:tcPr>
          <w:p w14:paraId="2E9BDC1D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Yearly change in odds of starting ART after initial rollout of universal ART, 2017 (odds ratio) </w:t>
            </w:r>
          </w:p>
        </w:tc>
        <w:tc>
          <w:tcPr>
            <w:tcW w:w="2070" w:type="dxa"/>
          </w:tcPr>
          <w:p w14:paraId="2C580C05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1.12 (0.28-4.49)</w:t>
            </w:r>
          </w:p>
        </w:tc>
        <w:tc>
          <w:tcPr>
            <w:tcW w:w="2282" w:type="dxa"/>
            <w:vMerge/>
          </w:tcPr>
          <w:p w14:paraId="48D1DA3B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1625D999" w14:textId="77777777" w:rsidTr="00836EC0">
        <w:trPr>
          <w:trHeight w:val="227"/>
        </w:trPr>
        <w:tc>
          <w:tcPr>
            <w:tcW w:w="5125" w:type="dxa"/>
          </w:tcPr>
          <w:p w14:paraId="6CB811CC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Ratio of engagement rates among male vs female </w:t>
            </w:r>
          </w:p>
        </w:tc>
        <w:tc>
          <w:tcPr>
            <w:tcW w:w="2070" w:type="dxa"/>
          </w:tcPr>
          <w:p w14:paraId="6C8F9DAB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1 (0.25-4) </w:t>
            </w:r>
          </w:p>
        </w:tc>
        <w:tc>
          <w:tcPr>
            <w:tcW w:w="2282" w:type="dxa"/>
          </w:tcPr>
          <w:p w14:paraId="5CA08BF3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(Calibrated) </w:t>
            </w:r>
          </w:p>
        </w:tc>
      </w:tr>
      <w:tr w:rsidR="00693A73" w:rsidRPr="00A36029" w14:paraId="7E6DFCA0" w14:textId="77777777" w:rsidTr="00836EC0">
        <w:trPr>
          <w:trHeight w:val="227"/>
        </w:trPr>
        <w:tc>
          <w:tcPr>
            <w:tcW w:w="9477" w:type="dxa"/>
            <w:gridSpan w:val="3"/>
          </w:tcPr>
          <w:p w14:paraId="451980C6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6DE60EE3" w14:textId="77777777" w:rsidTr="00836EC0">
        <w:trPr>
          <w:trHeight w:val="227"/>
        </w:trPr>
        <w:tc>
          <w:tcPr>
            <w:tcW w:w="9477" w:type="dxa"/>
            <w:gridSpan w:val="3"/>
          </w:tcPr>
          <w:p w14:paraId="5C817804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Disengagement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Annual 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probability of stopping ART)</w:t>
            </w:r>
            <w:r w:rsidRPr="00131971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c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693A73" w:rsidRPr="00A36029" w14:paraId="1943E96D" w14:textId="77777777" w:rsidTr="00836EC0">
        <w:trPr>
          <w:trHeight w:val="227"/>
        </w:trPr>
        <w:tc>
          <w:tcPr>
            <w:tcW w:w="5125" w:type="dxa"/>
          </w:tcPr>
          <w:p w14:paraId="2DD607B6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Among suppressed </w:t>
            </w:r>
          </w:p>
        </w:tc>
        <w:tc>
          <w:tcPr>
            <w:tcW w:w="2070" w:type="dxa"/>
          </w:tcPr>
          <w:p w14:paraId="06F2A4AB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0.098 (0.026-0.329)</w:t>
            </w:r>
          </w:p>
        </w:tc>
        <w:tc>
          <w:tcPr>
            <w:tcW w:w="2282" w:type="dxa"/>
          </w:tcPr>
          <w:p w14:paraId="25A3D58B" w14:textId="27559FED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Lee et al</w:t>
            </w:r>
            <w:r w:rsidR="00C4328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C4328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5</w:t>
            </w:r>
          </w:p>
        </w:tc>
      </w:tr>
      <w:tr w:rsidR="00693A73" w:rsidRPr="00A36029" w14:paraId="2EE6BD33" w14:textId="77777777" w:rsidTr="00836EC0">
        <w:trPr>
          <w:trHeight w:val="227"/>
        </w:trPr>
        <w:tc>
          <w:tcPr>
            <w:tcW w:w="5125" w:type="dxa"/>
          </w:tcPr>
          <w:p w14:paraId="5D5EA95A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Among unsuppressed </w:t>
            </w:r>
          </w:p>
        </w:tc>
        <w:tc>
          <w:tcPr>
            <w:tcW w:w="2070" w:type="dxa"/>
          </w:tcPr>
          <w:p w14:paraId="1393C8BA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0.13 (0.035-0.418)</w:t>
            </w:r>
          </w:p>
        </w:tc>
        <w:tc>
          <w:tcPr>
            <w:tcW w:w="2282" w:type="dxa"/>
          </w:tcPr>
          <w:p w14:paraId="278831AF" w14:textId="5E4B1B54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Lee et al</w:t>
            </w:r>
            <w:r w:rsidR="00C4328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C4328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5</w:t>
            </w:r>
          </w:p>
        </w:tc>
      </w:tr>
      <w:tr w:rsidR="00693A73" w:rsidRPr="00A36029" w14:paraId="2898997E" w14:textId="77777777" w:rsidTr="00836EC0">
        <w:trPr>
          <w:trHeight w:val="227"/>
        </w:trPr>
        <w:tc>
          <w:tcPr>
            <w:tcW w:w="9477" w:type="dxa"/>
            <w:gridSpan w:val="3"/>
          </w:tcPr>
          <w:p w14:paraId="64F510F6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5610C3CF" w14:textId="77777777" w:rsidTr="00836EC0">
        <w:trPr>
          <w:trHeight w:val="227"/>
        </w:trPr>
        <w:tc>
          <w:tcPr>
            <w:tcW w:w="9477" w:type="dxa"/>
            <w:gridSpan w:val="3"/>
          </w:tcPr>
          <w:p w14:paraId="01452E60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Suppression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(average time to suppression, years)</w:t>
            </w:r>
            <w:r w:rsidRPr="00131971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d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693A73" w:rsidRPr="00A36029" w14:paraId="42F8BB75" w14:textId="77777777" w:rsidTr="00836EC0">
        <w:trPr>
          <w:trHeight w:val="227"/>
        </w:trPr>
        <w:tc>
          <w:tcPr>
            <w:tcW w:w="5125" w:type="dxa"/>
          </w:tcPr>
          <w:p w14:paraId="5C34B91C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in 1993 </w:t>
            </w:r>
          </w:p>
        </w:tc>
        <w:tc>
          <w:tcPr>
            <w:tcW w:w="2070" w:type="dxa"/>
          </w:tcPr>
          <w:p w14:paraId="6DAE5577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1.49 (0.38-5.78)</w:t>
            </w:r>
          </w:p>
        </w:tc>
        <w:tc>
          <w:tcPr>
            <w:tcW w:w="2282" w:type="dxa"/>
          </w:tcPr>
          <w:p w14:paraId="54119E74" w14:textId="18999582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Njuguna et a</w:t>
            </w:r>
            <w:r w:rsidR="00C43287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C4328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C4328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6</w:t>
            </w:r>
          </w:p>
        </w:tc>
      </w:tr>
      <w:tr w:rsidR="00693A73" w:rsidRPr="00A36029" w14:paraId="68FA9312" w14:textId="77777777" w:rsidTr="00836EC0">
        <w:trPr>
          <w:trHeight w:val="227"/>
        </w:trPr>
        <w:tc>
          <w:tcPr>
            <w:tcW w:w="5125" w:type="dxa"/>
          </w:tcPr>
          <w:p w14:paraId="5B3C3FE2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/after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2003 </w:t>
            </w:r>
          </w:p>
        </w:tc>
        <w:tc>
          <w:tcPr>
            <w:tcW w:w="2070" w:type="dxa"/>
          </w:tcPr>
          <w:p w14:paraId="316BACC6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1.49 (0.38-5.78)</w:t>
            </w:r>
          </w:p>
        </w:tc>
        <w:tc>
          <w:tcPr>
            <w:tcW w:w="2282" w:type="dxa"/>
          </w:tcPr>
          <w:p w14:paraId="0AD00272" w14:textId="76549AB4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Njuguna et al</w:t>
            </w:r>
            <w:r w:rsidR="00C43287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C4328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6</w:t>
            </w:r>
          </w:p>
        </w:tc>
      </w:tr>
      <w:tr w:rsidR="00693A73" w:rsidRPr="00A36029" w14:paraId="65BB7E69" w14:textId="77777777" w:rsidTr="00836EC0">
        <w:trPr>
          <w:trHeight w:val="227"/>
        </w:trPr>
        <w:tc>
          <w:tcPr>
            <w:tcW w:w="5125" w:type="dxa"/>
          </w:tcPr>
          <w:p w14:paraId="6FE91A90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Ratio of suppression rates among male vs female</w:t>
            </w:r>
          </w:p>
        </w:tc>
        <w:tc>
          <w:tcPr>
            <w:tcW w:w="2070" w:type="dxa"/>
          </w:tcPr>
          <w:p w14:paraId="5CACFE45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1 (0.25-4) </w:t>
            </w:r>
          </w:p>
        </w:tc>
        <w:tc>
          <w:tcPr>
            <w:tcW w:w="2282" w:type="dxa"/>
          </w:tcPr>
          <w:p w14:paraId="73A395EC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(Calibrated) </w:t>
            </w:r>
          </w:p>
        </w:tc>
      </w:tr>
      <w:tr w:rsidR="00693A73" w:rsidRPr="00A36029" w14:paraId="03E58215" w14:textId="77777777" w:rsidTr="00836EC0">
        <w:trPr>
          <w:trHeight w:val="227"/>
        </w:trPr>
        <w:tc>
          <w:tcPr>
            <w:tcW w:w="9477" w:type="dxa"/>
            <w:gridSpan w:val="3"/>
          </w:tcPr>
          <w:p w14:paraId="64ED6FC3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93A73" w:rsidRPr="00A36029" w14:paraId="46139D0D" w14:textId="77777777" w:rsidTr="00836EC0">
        <w:trPr>
          <w:trHeight w:val="227"/>
        </w:trPr>
        <w:tc>
          <w:tcPr>
            <w:tcW w:w="9477" w:type="dxa"/>
            <w:gridSpan w:val="3"/>
          </w:tcPr>
          <w:p w14:paraId="16BC04DF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Viral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360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rebound</w:t>
            </w: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(average time to loss of suppression, years) </w:t>
            </w:r>
          </w:p>
        </w:tc>
      </w:tr>
      <w:tr w:rsidR="00693A73" w:rsidRPr="00A36029" w14:paraId="22FB9085" w14:textId="77777777" w:rsidTr="00836EC0">
        <w:trPr>
          <w:trHeight w:val="227"/>
        </w:trPr>
        <w:tc>
          <w:tcPr>
            <w:tcW w:w="5125" w:type="dxa"/>
          </w:tcPr>
          <w:p w14:paraId="797CE4D8" w14:textId="77777777" w:rsidR="00693A73" w:rsidRPr="00A36029" w:rsidRDefault="00693A73" w:rsidP="00836EC0">
            <w:pPr>
              <w:ind w:left="144"/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>All years</w:t>
            </w:r>
          </w:p>
        </w:tc>
        <w:tc>
          <w:tcPr>
            <w:tcW w:w="2070" w:type="dxa"/>
          </w:tcPr>
          <w:p w14:paraId="47642C9A" w14:textId="77777777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5.07 (1.3-19.7) </w:t>
            </w:r>
          </w:p>
        </w:tc>
        <w:tc>
          <w:tcPr>
            <w:tcW w:w="2282" w:type="dxa"/>
          </w:tcPr>
          <w:p w14:paraId="690FECC7" w14:textId="207A18BC" w:rsidR="00693A73" w:rsidRPr="00A36029" w:rsidRDefault="00693A73" w:rsidP="00836E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029">
              <w:rPr>
                <w:rFonts w:ascii="Arial" w:eastAsia="Times New Roman" w:hAnsi="Arial" w:cs="Arial"/>
                <w:sz w:val="20"/>
                <w:szCs w:val="20"/>
              </w:rPr>
              <w:t>Maina</w:t>
            </w:r>
            <w:proofErr w:type="spellEnd"/>
            <w:r w:rsidRPr="00A36029">
              <w:rPr>
                <w:rFonts w:ascii="Arial" w:eastAsia="Times New Roman" w:hAnsi="Arial" w:cs="Arial"/>
                <w:sz w:val="20"/>
                <w:szCs w:val="20"/>
              </w:rPr>
              <w:t xml:space="preserve"> et al</w:t>
            </w:r>
            <w:r w:rsidR="00A31794" w:rsidRPr="002077D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  <w:r w:rsidR="001964DB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7</w:t>
            </w:r>
          </w:p>
        </w:tc>
      </w:tr>
    </w:tbl>
    <w:p w14:paraId="27E40C52" w14:textId="77777777" w:rsidR="00693A73" w:rsidRDefault="00693A73" w:rsidP="00693A73">
      <w:pPr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4A9">
        <w:rPr>
          <w:rFonts w:ascii="Arial" w:eastAsia="Times New Roman" w:hAnsi="Arial" w:cs="Arial"/>
          <w:i/>
          <w:iCs/>
          <w:kern w:val="0"/>
          <w:sz w:val="20"/>
          <w:szCs w:val="20"/>
          <w:vertAlign w:val="superscript"/>
          <w14:ligatures w14:val="none"/>
        </w:rPr>
        <w:t>a</w:t>
      </w:r>
      <w:r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Select parameters</w:t>
      </w:r>
      <w:proofErr w:type="gramEnd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only; see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 xml:space="preserve"> REF _Ref142473164 \h </w:instrTex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AF5290">
        <w:rPr>
          <w:rFonts w:ascii="Arial" w:hAnsi="Arial" w:cs="Arial"/>
          <w:b/>
          <w:bCs/>
          <w:color w:val="000000" w:themeColor="text1"/>
          <w:sz w:val="20"/>
          <w:szCs w:val="20"/>
        </w:rPr>
        <w:t>Table S</w:t>
      </w: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1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for full parameterization of all parameter values</w:t>
      </w:r>
    </w:p>
    <w:p w14:paraId="72B95CA2" w14:textId="77777777" w:rsidR="00693A73" w:rsidRDefault="00693A73" w:rsidP="00693A73">
      <w:pPr>
        <w:jc w:val="both"/>
        <w:rPr>
          <w:rFonts w:ascii="Arial" w:eastAsia="Times New Roman" w:hAnsi="Arial" w:cs="Arial"/>
          <w:sz w:val="20"/>
          <w:szCs w:val="20"/>
        </w:rPr>
      </w:pPr>
      <w:r w:rsidRPr="00DA64A9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t>b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A36029">
        <w:rPr>
          <w:rFonts w:ascii="Arial" w:eastAsia="Times New Roman" w:hAnsi="Arial" w:cs="Arial"/>
          <w:sz w:val="20"/>
          <w:szCs w:val="20"/>
        </w:rPr>
        <w:t>A composite of number of sexual encounters and rate of transmission per encounter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23B18E" w14:textId="77777777" w:rsidR="00693A73" w:rsidRDefault="00693A73" w:rsidP="00693A73">
      <w:pPr>
        <w:jc w:val="both"/>
        <w:rPr>
          <w:rFonts w:ascii="Arial" w:eastAsia="Times New Roman" w:hAnsi="Arial" w:cs="Arial"/>
          <w:sz w:val="20"/>
          <w:szCs w:val="20"/>
        </w:rPr>
      </w:pPr>
      <w:r w:rsidRPr="00DA64A9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t>c</w:t>
      </w:r>
      <w:r>
        <w:rPr>
          <w:rFonts w:ascii="Arial" w:eastAsia="Times New Roman" w:hAnsi="Arial" w:cs="Arial"/>
          <w:sz w:val="20"/>
          <w:szCs w:val="20"/>
        </w:rPr>
        <w:t xml:space="preserve"> Same for all ages and sexes; constant over time </w:t>
      </w:r>
    </w:p>
    <w:p w14:paraId="105F746C" w14:textId="77777777" w:rsidR="00693A73" w:rsidRPr="00524DA1" w:rsidRDefault="00693A73" w:rsidP="00693A73">
      <w:pPr>
        <w:jc w:val="both"/>
        <w:rPr>
          <w:rFonts w:ascii="Arial" w:eastAsia="Times New Roman" w:hAnsi="Arial" w:cs="Arial"/>
          <w:sz w:val="20"/>
          <w:szCs w:val="20"/>
        </w:rPr>
      </w:pPr>
      <w:r w:rsidRPr="00DA64A9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t>d</w:t>
      </w:r>
      <w:r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Same for all ages </w:t>
      </w:r>
    </w:p>
    <w:p w14:paraId="390212ED" w14:textId="77777777" w:rsidR="00693A73" w:rsidRPr="00A36029" w:rsidRDefault="00693A73" w:rsidP="00693A73">
      <w:pPr>
        <w:jc w:val="both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36029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Abbreviations:</w:t>
      </w:r>
      <w:r w:rsidRPr="00A3602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Kenya Demographic and Health Survey (KDHS); antiretroviral therapy (ART)  </w:t>
      </w:r>
    </w:p>
    <w:p w14:paraId="0B635D1E" w14:textId="77777777" w:rsidR="00AC4FF6" w:rsidRDefault="00AC4FF6"/>
    <w:p w14:paraId="2E595934" w14:textId="4D0C2375" w:rsidR="00AC4FF6" w:rsidRDefault="00AC4FF6">
      <w:r>
        <w:br w:type="page"/>
      </w:r>
    </w:p>
    <w:p w14:paraId="65B928A0" w14:textId="77777777" w:rsidR="00AC4FF6" w:rsidRDefault="00AC4FF6"/>
    <w:p w14:paraId="4118D2F8" w14:textId="1C3556D2" w:rsidR="002077D7" w:rsidRPr="00106F5F" w:rsidRDefault="00106F5F" w:rsidP="002077D7">
      <w:pPr>
        <w:rPr>
          <w:b/>
          <w:bCs/>
        </w:rPr>
      </w:pPr>
      <w:r>
        <w:rPr>
          <w:b/>
          <w:bCs/>
        </w:rPr>
        <w:t xml:space="preserve">Relevant </w:t>
      </w:r>
      <w:r w:rsidRPr="00106F5F">
        <w:rPr>
          <w:b/>
          <w:bCs/>
        </w:rPr>
        <w:t>References (See full text for full reference list)</w:t>
      </w:r>
      <w:r>
        <w:rPr>
          <w:b/>
          <w:bCs/>
        </w:rPr>
        <w:t xml:space="preserve">: </w:t>
      </w:r>
    </w:p>
    <w:p w14:paraId="70623B33" w14:textId="2EDD82EC" w:rsidR="002077D7" w:rsidRDefault="002077D7" w:rsidP="00106F5F">
      <w:pPr>
        <w:ind w:left="360" w:hanging="360"/>
      </w:pPr>
      <w:r>
        <w:t xml:space="preserve">22. </w:t>
      </w:r>
      <w:r>
        <w:t>Central Bureau of Statistics - CBS/Kenya, Ministry of Health - MOH/Kenya, ORC Macro. Kenya Demographic and Health Survey 2003. Calverton, Maryland, USA: CBS, MOH, and ORC Macro;2004.</w:t>
      </w:r>
    </w:p>
    <w:p w14:paraId="0385FBD5" w14:textId="05A84822" w:rsidR="002077D7" w:rsidRDefault="002077D7" w:rsidP="00106F5F">
      <w:pPr>
        <w:ind w:left="360" w:hanging="360"/>
      </w:pPr>
      <w:r>
        <w:t>2</w:t>
      </w:r>
      <w:r>
        <w:t xml:space="preserve">3. </w:t>
      </w:r>
      <w:r>
        <w:t xml:space="preserve">Kenya National Bureau of Statistics - KNBS, National AIDS Control Council/Kenya, National AIDS/STD Control Programme/Kenya, Health </w:t>
      </w:r>
      <w:proofErr w:type="spellStart"/>
      <w:r>
        <w:t>MoP</w:t>
      </w:r>
      <w:proofErr w:type="spellEnd"/>
      <w:r>
        <w:t>, Sanitation/Kenya, Kenya Medical Research Institute. Kenya Demographic and Health Survey 2008-09. Calverton, Maryland, USA: KNBS and ICF Macro;2010.</w:t>
      </w:r>
    </w:p>
    <w:p w14:paraId="461AC7DC" w14:textId="6E567920" w:rsidR="002077D7" w:rsidRDefault="002077D7" w:rsidP="00106F5F">
      <w:pPr>
        <w:ind w:left="360" w:hanging="360"/>
      </w:pPr>
      <w:r>
        <w:t xml:space="preserve">24. </w:t>
      </w:r>
      <w:r>
        <w:t xml:space="preserve">Kenya National Bureau of Statistics, Ministry of Health/Kenya, National AIDS Control Council/Kenya, Kenya Medical Research Institute, Population </w:t>
      </w:r>
      <w:proofErr w:type="spellStart"/>
      <w:r>
        <w:t>NCf</w:t>
      </w:r>
      <w:proofErr w:type="spellEnd"/>
      <w:r>
        <w:t>, Development/Kenya. Kenya Demographic and Health Survey 2014. Rockville, MD, USA2015.</w:t>
      </w:r>
    </w:p>
    <w:p w14:paraId="0C722694" w14:textId="7F390376" w:rsidR="002077D7" w:rsidRDefault="00C43287" w:rsidP="00106F5F">
      <w:pPr>
        <w:ind w:left="360" w:hanging="360"/>
      </w:pPr>
      <w:r>
        <w:t>2.</w:t>
      </w:r>
      <w:r w:rsidR="00F26D7E">
        <w:t xml:space="preserve"> </w:t>
      </w:r>
      <w:r>
        <w:t xml:space="preserve"> </w:t>
      </w:r>
      <w:r w:rsidR="002077D7">
        <w:t xml:space="preserve">HIV/AIDS </w:t>
      </w:r>
      <w:proofErr w:type="spellStart"/>
      <w:r w:rsidR="002077D7">
        <w:t>JUNPo</w:t>
      </w:r>
      <w:proofErr w:type="spellEnd"/>
      <w:r w:rsidR="002077D7">
        <w:t xml:space="preserve">. </w:t>
      </w:r>
      <w:proofErr w:type="spellStart"/>
      <w:r w:rsidR="002077D7">
        <w:t>AIDSInfo</w:t>
      </w:r>
      <w:proofErr w:type="spellEnd"/>
      <w:r w:rsidR="002077D7">
        <w:t>. http://aidsinfo.unaids.org/. Published 2019. Accessed August 30, 2019.</w:t>
      </w:r>
    </w:p>
    <w:p w14:paraId="123EC593" w14:textId="4CDB1DF3" w:rsidR="002077D7" w:rsidRDefault="00C43287" w:rsidP="00106F5F">
      <w:pPr>
        <w:ind w:left="360" w:hanging="360"/>
      </w:pPr>
      <w:r>
        <w:t xml:space="preserve">25. </w:t>
      </w:r>
      <w:r w:rsidR="002077D7">
        <w:t xml:space="preserve">Lee H, Hogan JW, </w:t>
      </w:r>
      <w:proofErr w:type="spellStart"/>
      <w:r w:rsidR="002077D7">
        <w:t>Genberg</w:t>
      </w:r>
      <w:proofErr w:type="spellEnd"/>
      <w:r w:rsidR="002077D7">
        <w:t xml:space="preserve"> BL, et al. A state transition framework for patient‐level modeling of engagement and retention in HIV care using longitudinal cohort data. Statistics in medicine. 2018;37(2):302-319.</w:t>
      </w:r>
    </w:p>
    <w:p w14:paraId="0D2E48A9" w14:textId="50B37229" w:rsidR="002077D7" w:rsidRDefault="00C43287" w:rsidP="00106F5F">
      <w:pPr>
        <w:ind w:left="360" w:hanging="360"/>
      </w:pPr>
      <w:r>
        <w:t xml:space="preserve">26. </w:t>
      </w:r>
      <w:r w:rsidR="002077D7">
        <w:t xml:space="preserve">Njuguna N, </w:t>
      </w:r>
      <w:proofErr w:type="spellStart"/>
      <w:r w:rsidR="002077D7">
        <w:t>Mugo</w:t>
      </w:r>
      <w:proofErr w:type="spellEnd"/>
      <w:r w:rsidR="002077D7">
        <w:t xml:space="preserve"> N, </w:t>
      </w:r>
      <w:proofErr w:type="spellStart"/>
      <w:r w:rsidR="002077D7">
        <w:t>Anzala</w:t>
      </w:r>
      <w:proofErr w:type="spellEnd"/>
      <w:r w:rsidR="002077D7">
        <w:t xml:space="preserve"> O, et al. An empiric tool to identify Kenyans living with HIV who will have unsuppressed viremia 18 months following treatment initiation to guide differentiated care models. </w:t>
      </w:r>
      <w:proofErr w:type="spellStart"/>
      <w:r w:rsidR="002077D7">
        <w:t>PloS</w:t>
      </w:r>
      <w:proofErr w:type="spellEnd"/>
      <w:r w:rsidR="002077D7">
        <w:t xml:space="preserve"> one. 2022;17(7):e0271520.</w:t>
      </w:r>
    </w:p>
    <w:p w14:paraId="43A62DF9" w14:textId="1EF563D0" w:rsidR="002077D7" w:rsidRDefault="00A31794" w:rsidP="00106F5F">
      <w:pPr>
        <w:ind w:left="360" w:hanging="360"/>
      </w:pPr>
      <w:r>
        <w:t xml:space="preserve">27. </w:t>
      </w:r>
      <w:proofErr w:type="spellStart"/>
      <w:r w:rsidR="002077D7">
        <w:t>Maina</w:t>
      </w:r>
      <w:proofErr w:type="spellEnd"/>
      <w:r w:rsidR="002077D7">
        <w:t xml:space="preserve"> E, </w:t>
      </w:r>
      <w:proofErr w:type="spellStart"/>
      <w:r w:rsidR="002077D7">
        <w:t>Mureithi</w:t>
      </w:r>
      <w:proofErr w:type="spellEnd"/>
      <w:r w:rsidR="002077D7">
        <w:t xml:space="preserve"> H, Adan A, </w:t>
      </w:r>
      <w:proofErr w:type="spellStart"/>
      <w:r w:rsidR="002077D7">
        <w:t>Muriuki</w:t>
      </w:r>
      <w:proofErr w:type="spellEnd"/>
      <w:r w:rsidR="002077D7">
        <w:t xml:space="preserve"> J, </w:t>
      </w:r>
      <w:proofErr w:type="spellStart"/>
      <w:r w:rsidR="002077D7">
        <w:t>Lwembe</w:t>
      </w:r>
      <w:proofErr w:type="spellEnd"/>
      <w:r w:rsidR="002077D7">
        <w:t xml:space="preserve"> R, </w:t>
      </w:r>
      <w:proofErr w:type="spellStart"/>
      <w:r w:rsidR="002077D7">
        <w:t>Bukusi</w:t>
      </w:r>
      <w:proofErr w:type="spellEnd"/>
      <w:r w:rsidR="002077D7">
        <w:t xml:space="preserve"> E. </w:t>
      </w:r>
      <w:proofErr w:type="gramStart"/>
      <w:r w:rsidR="002077D7">
        <w:t>Incidences</w:t>
      </w:r>
      <w:proofErr w:type="gramEnd"/>
      <w:r w:rsidR="002077D7">
        <w:t xml:space="preserve"> and factors associated with viral suppression or rebound among HIV patients on combination antiretroviral therapy from three counties in Kenya. International Journal of Infectious Diseases. 2020;97:151-158.</w:t>
      </w:r>
    </w:p>
    <w:p w14:paraId="6686682C" w14:textId="77777777" w:rsidR="002077D7" w:rsidRDefault="002077D7"/>
    <w:sectPr w:rsidR="002077D7" w:rsidSect="00EC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5151" w14:textId="77777777" w:rsidR="00EC23E9" w:rsidRDefault="00EC23E9" w:rsidP="00106F5F">
      <w:r>
        <w:separator/>
      </w:r>
    </w:p>
  </w:endnote>
  <w:endnote w:type="continuationSeparator" w:id="0">
    <w:p w14:paraId="508693F3" w14:textId="77777777" w:rsidR="00EC23E9" w:rsidRDefault="00EC23E9" w:rsidP="0010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62D5" w14:textId="77777777" w:rsidR="00EC23E9" w:rsidRDefault="00EC23E9" w:rsidP="00106F5F">
      <w:r>
        <w:separator/>
      </w:r>
    </w:p>
  </w:footnote>
  <w:footnote w:type="continuationSeparator" w:id="0">
    <w:p w14:paraId="7BD5E8B8" w14:textId="77777777" w:rsidR="00EC23E9" w:rsidRDefault="00EC23E9" w:rsidP="00106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AMA_section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xapezvxywxsace09ssxwft19d5dwv0z9drx&quot;&gt;My EndNote Library-Converted&lt;record-ids&gt;&lt;item&gt;121&lt;/item&gt;&lt;item&gt;226&lt;/item&gt;&lt;item&gt;227&lt;/item&gt;&lt;item&gt;228&lt;/item&gt;&lt;item&gt;230&lt;/item&gt;&lt;item&gt;231&lt;/item&gt;&lt;/record-ids&gt;&lt;/item&gt;&lt;/Libraries&gt;"/>
  </w:docVars>
  <w:rsids>
    <w:rsidRoot w:val="00693A73"/>
    <w:rsid w:val="00031E65"/>
    <w:rsid w:val="00040FE7"/>
    <w:rsid w:val="000530EC"/>
    <w:rsid w:val="00084106"/>
    <w:rsid w:val="00085DA1"/>
    <w:rsid w:val="00086E87"/>
    <w:rsid w:val="00092A7A"/>
    <w:rsid w:val="000B6B0D"/>
    <w:rsid w:val="000C08E2"/>
    <w:rsid w:val="000C24DE"/>
    <w:rsid w:val="000F1B22"/>
    <w:rsid w:val="000F7028"/>
    <w:rsid w:val="0010632C"/>
    <w:rsid w:val="00106F5F"/>
    <w:rsid w:val="00140D27"/>
    <w:rsid w:val="001423E8"/>
    <w:rsid w:val="00172179"/>
    <w:rsid w:val="00172A62"/>
    <w:rsid w:val="0017610D"/>
    <w:rsid w:val="0018770F"/>
    <w:rsid w:val="00191A0E"/>
    <w:rsid w:val="00194FCB"/>
    <w:rsid w:val="001964DB"/>
    <w:rsid w:val="001B44C4"/>
    <w:rsid w:val="001B517A"/>
    <w:rsid w:val="00206815"/>
    <w:rsid w:val="002077D7"/>
    <w:rsid w:val="0021691A"/>
    <w:rsid w:val="002512E8"/>
    <w:rsid w:val="0027217A"/>
    <w:rsid w:val="002A2094"/>
    <w:rsid w:val="002B193E"/>
    <w:rsid w:val="002B3C19"/>
    <w:rsid w:val="002B68D7"/>
    <w:rsid w:val="002F1263"/>
    <w:rsid w:val="00301B4F"/>
    <w:rsid w:val="00306E7B"/>
    <w:rsid w:val="00316AFA"/>
    <w:rsid w:val="003218D8"/>
    <w:rsid w:val="00396700"/>
    <w:rsid w:val="003A0718"/>
    <w:rsid w:val="003B1F80"/>
    <w:rsid w:val="003D17A8"/>
    <w:rsid w:val="003E279C"/>
    <w:rsid w:val="00421EB0"/>
    <w:rsid w:val="00423304"/>
    <w:rsid w:val="00451789"/>
    <w:rsid w:val="00466B2D"/>
    <w:rsid w:val="004944FD"/>
    <w:rsid w:val="004A3B80"/>
    <w:rsid w:val="004A6B86"/>
    <w:rsid w:val="004B752C"/>
    <w:rsid w:val="004C5B37"/>
    <w:rsid w:val="004C7C50"/>
    <w:rsid w:val="004F15DC"/>
    <w:rsid w:val="00520517"/>
    <w:rsid w:val="00523D76"/>
    <w:rsid w:val="00537A92"/>
    <w:rsid w:val="0054137C"/>
    <w:rsid w:val="00547861"/>
    <w:rsid w:val="0055096F"/>
    <w:rsid w:val="00557F46"/>
    <w:rsid w:val="005703BE"/>
    <w:rsid w:val="005876C1"/>
    <w:rsid w:val="005A2983"/>
    <w:rsid w:val="005C6F5A"/>
    <w:rsid w:val="005D69D7"/>
    <w:rsid w:val="005E61F1"/>
    <w:rsid w:val="005F712B"/>
    <w:rsid w:val="006120E6"/>
    <w:rsid w:val="00614138"/>
    <w:rsid w:val="00652C97"/>
    <w:rsid w:val="0068306E"/>
    <w:rsid w:val="00693A73"/>
    <w:rsid w:val="006B6ABF"/>
    <w:rsid w:val="006C1181"/>
    <w:rsid w:val="006C6D39"/>
    <w:rsid w:val="006E7272"/>
    <w:rsid w:val="006F4777"/>
    <w:rsid w:val="0070778C"/>
    <w:rsid w:val="007363F2"/>
    <w:rsid w:val="0073772E"/>
    <w:rsid w:val="00766184"/>
    <w:rsid w:val="00791E48"/>
    <w:rsid w:val="007A1A79"/>
    <w:rsid w:val="007E190E"/>
    <w:rsid w:val="007E6DF8"/>
    <w:rsid w:val="00800BA9"/>
    <w:rsid w:val="008112D4"/>
    <w:rsid w:val="00827644"/>
    <w:rsid w:val="00832BB1"/>
    <w:rsid w:val="00850082"/>
    <w:rsid w:val="008571CD"/>
    <w:rsid w:val="00861011"/>
    <w:rsid w:val="00866067"/>
    <w:rsid w:val="008B4AEB"/>
    <w:rsid w:val="008F3AE6"/>
    <w:rsid w:val="00912812"/>
    <w:rsid w:val="009462C4"/>
    <w:rsid w:val="0095334B"/>
    <w:rsid w:val="00961229"/>
    <w:rsid w:val="00973A7F"/>
    <w:rsid w:val="00987B46"/>
    <w:rsid w:val="009963E5"/>
    <w:rsid w:val="009A24E3"/>
    <w:rsid w:val="009A5097"/>
    <w:rsid w:val="009B0375"/>
    <w:rsid w:val="009B79C2"/>
    <w:rsid w:val="009C33C2"/>
    <w:rsid w:val="009F7FF7"/>
    <w:rsid w:val="00A058DB"/>
    <w:rsid w:val="00A3058C"/>
    <w:rsid w:val="00A31794"/>
    <w:rsid w:val="00A513F8"/>
    <w:rsid w:val="00A676D8"/>
    <w:rsid w:val="00A7480A"/>
    <w:rsid w:val="00A93149"/>
    <w:rsid w:val="00AA30AA"/>
    <w:rsid w:val="00AB4B09"/>
    <w:rsid w:val="00AB60B5"/>
    <w:rsid w:val="00AC4FF6"/>
    <w:rsid w:val="00AE1B7D"/>
    <w:rsid w:val="00AF18B9"/>
    <w:rsid w:val="00AF3D0B"/>
    <w:rsid w:val="00B34BFC"/>
    <w:rsid w:val="00B675B8"/>
    <w:rsid w:val="00B83FD0"/>
    <w:rsid w:val="00B84557"/>
    <w:rsid w:val="00B879FE"/>
    <w:rsid w:val="00BA2841"/>
    <w:rsid w:val="00BB41BB"/>
    <w:rsid w:val="00BC033C"/>
    <w:rsid w:val="00BC54B2"/>
    <w:rsid w:val="00BD598C"/>
    <w:rsid w:val="00BD5E22"/>
    <w:rsid w:val="00C026E1"/>
    <w:rsid w:val="00C26047"/>
    <w:rsid w:val="00C3180A"/>
    <w:rsid w:val="00C42B79"/>
    <w:rsid w:val="00C43287"/>
    <w:rsid w:val="00C46A74"/>
    <w:rsid w:val="00C6005E"/>
    <w:rsid w:val="00C8379A"/>
    <w:rsid w:val="00CD3D64"/>
    <w:rsid w:val="00CD3D9A"/>
    <w:rsid w:val="00CE3D8B"/>
    <w:rsid w:val="00CF0CF8"/>
    <w:rsid w:val="00CF0FD1"/>
    <w:rsid w:val="00CF7BAA"/>
    <w:rsid w:val="00D23DD5"/>
    <w:rsid w:val="00D4630C"/>
    <w:rsid w:val="00D52A7E"/>
    <w:rsid w:val="00D63762"/>
    <w:rsid w:val="00D7496B"/>
    <w:rsid w:val="00D77972"/>
    <w:rsid w:val="00D81B46"/>
    <w:rsid w:val="00D84850"/>
    <w:rsid w:val="00D95AF8"/>
    <w:rsid w:val="00DB1EE3"/>
    <w:rsid w:val="00DD3918"/>
    <w:rsid w:val="00DE3F84"/>
    <w:rsid w:val="00DF25B6"/>
    <w:rsid w:val="00DF40EB"/>
    <w:rsid w:val="00DF7ABF"/>
    <w:rsid w:val="00E233CC"/>
    <w:rsid w:val="00E46494"/>
    <w:rsid w:val="00E622DA"/>
    <w:rsid w:val="00E62B1E"/>
    <w:rsid w:val="00E64CAC"/>
    <w:rsid w:val="00E9576E"/>
    <w:rsid w:val="00EA7586"/>
    <w:rsid w:val="00EB48E2"/>
    <w:rsid w:val="00EC23E9"/>
    <w:rsid w:val="00EE2A06"/>
    <w:rsid w:val="00F25467"/>
    <w:rsid w:val="00F26D7E"/>
    <w:rsid w:val="00F27352"/>
    <w:rsid w:val="00F87748"/>
    <w:rsid w:val="00F93C47"/>
    <w:rsid w:val="00F946AA"/>
    <w:rsid w:val="00FC4061"/>
    <w:rsid w:val="00FC4D7C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D2973"/>
  <w15:chartTrackingRefBased/>
  <w15:docId w15:val="{C2F081FC-983D-FC42-AEDF-17245F4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A73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93A73"/>
    <w:pPr>
      <w:spacing w:after="200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AC4FF6"/>
    <w:pPr>
      <w:jc w:val="center"/>
    </w:pPr>
    <w:rPr>
      <w:rFonts w:ascii="Calibri" w:hAnsi="Calibri" w:cs="Calibri"/>
    </w:rPr>
  </w:style>
  <w:style w:type="character" w:customStyle="1" w:styleId="CaptionChar">
    <w:name w:val="Caption Char"/>
    <w:basedOn w:val="DefaultParagraphFont"/>
    <w:link w:val="Caption"/>
    <w:uiPriority w:val="35"/>
    <w:rsid w:val="00AC4FF6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EndNoteBibliographyTitleChar">
    <w:name w:val="EndNote Bibliography Title Char"/>
    <w:basedOn w:val="CaptionChar"/>
    <w:link w:val="EndNoteBibliographyTitle"/>
    <w:rsid w:val="00AC4FF6"/>
    <w:rPr>
      <w:rFonts w:ascii="Calibri" w:hAnsi="Calibri" w:cs="Calibri"/>
      <w:i w:val="0"/>
      <w:iCs w:val="0"/>
      <w:color w:val="44546A" w:themeColor="text2"/>
      <w:kern w:val="0"/>
      <w:sz w:val="18"/>
      <w:szCs w:val="18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AC4FF6"/>
    <w:rPr>
      <w:rFonts w:ascii="Calibri" w:hAnsi="Calibri" w:cs="Calibri"/>
    </w:rPr>
  </w:style>
  <w:style w:type="character" w:customStyle="1" w:styleId="EndNoteBibliographyChar">
    <w:name w:val="EndNote Bibliography Char"/>
    <w:basedOn w:val="CaptionChar"/>
    <w:link w:val="EndNoteBibliography"/>
    <w:rsid w:val="00AC4FF6"/>
    <w:rPr>
      <w:rFonts w:ascii="Calibri" w:hAnsi="Calibri" w:cs="Calibri"/>
      <w:i w:val="0"/>
      <w:iCs w:val="0"/>
      <w:color w:val="44546A" w:themeColor="text2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AC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F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6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F5F"/>
  </w:style>
  <w:style w:type="paragraph" w:styleId="Footer">
    <w:name w:val="footer"/>
    <w:basedOn w:val="Normal"/>
    <w:link w:val="FooterChar"/>
    <w:uiPriority w:val="99"/>
    <w:unhideWhenUsed/>
    <w:rsid w:val="00106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5F"/>
  </w:style>
  <w:style w:type="paragraph" w:styleId="ListParagraph">
    <w:name w:val="List Paragraph"/>
    <w:basedOn w:val="Normal"/>
    <w:uiPriority w:val="34"/>
    <w:qFormat/>
    <w:rsid w:val="0010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9</cp:revision>
  <dcterms:created xsi:type="dcterms:W3CDTF">2023-09-29T14:04:00Z</dcterms:created>
  <dcterms:modified xsi:type="dcterms:W3CDTF">2024-01-23T21:25:00Z</dcterms:modified>
</cp:coreProperties>
</file>