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F038E" w14:textId="77777777" w:rsidR="0065020F" w:rsidRDefault="00000000">
      <w:pPr>
        <w:keepNext/>
      </w:pPr>
      <w:r>
        <w:rPr>
          <w:b/>
        </w:rPr>
        <w:t>Econ 238 Week One Assignment - Michael Scholz</w:t>
      </w:r>
    </w:p>
    <w:p w14:paraId="3A28374D" w14:textId="77777777" w:rsidR="0065020F" w:rsidRDefault="0065020F"/>
    <w:p w14:paraId="33DE6136" w14:textId="77777777" w:rsidR="0065020F" w:rsidRDefault="00000000">
      <w:pPr>
        <w:pStyle w:val="Heading1"/>
      </w:pPr>
      <w:r>
        <w:rPr>
          <w:rFonts w:ascii="Arial" w:eastAsia="Arial" w:hAnsi="Arial" w:cs="Arial"/>
          <w:szCs w:val="22"/>
        </w:rPr>
        <w:t>One:</w:t>
      </w:r>
    </w:p>
    <w:p w14:paraId="75441F18" w14:textId="77777777" w:rsidR="0065020F" w:rsidRDefault="00000000">
      <w:pPr>
        <w:pStyle w:val="Heading2"/>
      </w:pPr>
      <w:r>
        <w:rPr>
          <w:rFonts w:ascii="Arial" w:eastAsia="Arial" w:hAnsi="Arial" w:cs="Arial"/>
          <w:szCs w:val="22"/>
        </w:rPr>
        <w:t>One - A:</w:t>
      </w:r>
    </w:p>
    <w:p w14:paraId="5169CAB0" w14:textId="34E066D9" w:rsidR="0065020F" w:rsidRDefault="00000000">
      <w:r>
        <w:t>A 1,000-year flood sounds like someone observed one of these floods every 1,000 years, but it is really an estimate built from a much shorter record</w:t>
      </w:r>
      <w:r w:rsidR="001D4D89">
        <w:t xml:space="preserve"> from</w:t>
      </w:r>
      <w:r>
        <w:t xml:space="preserve"> assumptions about the watershed. It also matters what is being measured. Rainfall at one gauge, peak water flow at another gauge, and flooding across all of Houston are not the same event. On top of that, the probability can change as the city adds pavement, changes drainage systems, or experiences different climate conditions. I still think the label is useful for comparing severity, but it sounds much more certain than it really is.</w:t>
      </w:r>
    </w:p>
    <w:p w14:paraId="62919C39" w14:textId="77777777" w:rsidR="0065020F" w:rsidRDefault="00000000">
      <w:pPr>
        <w:pStyle w:val="Heading2"/>
      </w:pPr>
      <w:r>
        <w:rPr>
          <w:rFonts w:ascii="Arial" w:eastAsia="Arial" w:hAnsi="Arial" w:cs="Arial"/>
          <w:szCs w:val="22"/>
        </w:rPr>
        <w:t>One - B:</w:t>
      </w:r>
    </w:p>
    <w:p w14:paraId="07233231" w14:textId="3B429558" w:rsidR="0065020F" w:rsidRDefault="00000000">
      <w:r>
        <w:t xml:space="preserve">A 1,000-year flood means there is an estimated 1-in-1,000 chance, or 0.1%, that a flood at least that large will happen at a specific place in any given year. It does not mean the flood is supposed to happen once every 1,000 years. If the estimate stays the same and each year is independent, the chance is still 0.1% next year even if the flood happened this year. The USGS has moved toward probability language. I think 0.1% annual-chance flood is clearer than 1,000-year </w:t>
      </w:r>
      <w:proofErr w:type="gramStart"/>
      <w:r>
        <w:t>flood.[</w:t>
      </w:r>
      <w:proofErr w:type="gramEnd"/>
      <w:r>
        <w:t>1, 2]</w:t>
      </w:r>
    </w:p>
    <w:p w14:paraId="6C494276" w14:textId="77777777" w:rsidR="0065020F" w:rsidRDefault="00000000">
      <w:pPr>
        <w:pStyle w:val="Calculation"/>
      </w:pPr>
      <w:r>
        <w:t>Using P(at least one event in n years) = 1 - (1 - 0.001)^n, the chance is 2.96% over 30 years and 7.69% over 80 years. If 100 independent places each face that risk for one year, there is a 9.52% chance that at least one of them experiences the event.</w:t>
      </w:r>
    </w:p>
    <w:p w14:paraId="51879FB4" w14:textId="18DDDEB7" w:rsidR="0065020F" w:rsidRDefault="00000000">
      <w:r>
        <w:t xml:space="preserve">A comparison that made this clearer to me is flipping a fair coin ten times. The chance of getting ten heads in a row is 1/1,024, or about 0.098%, which is almost the same as 0.1%. That run of heads could happen immediately, happen twice close together, or not happen for a very long time. Nothing forces it to appear once every 1,024 attempts. The same logic applies to floods. People get confused because 1,000-year sounds like a schedule, while the statistic is </w:t>
      </w:r>
      <w:r w:rsidR="00AB501C">
        <w:t>just</w:t>
      </w:r>
      <w:r>
        <w:t xml:space="preserve"> another way of writing an annual probability.</w:t>
      </w:r>
    </w:p>
    <w:p w14:paraId="5B069960" w14:textId="77777777" w:rsidR="0065020F" w:rsidRDefault="00000000">
      <w:pPr>
        <w:pStyle w:val="Heading2"/>
      </w:pPr>
      <w:r>
        <w:rPr>
          <w:rFonts w:ascii="Arial" w:eastAsia="Arial" w:hAnsi="Arial" w:cs="Arial"/>
          <w:szCs w:val="22"/>
        </w:rPr>
        <w:t>One - C(i):</w:t>
      </w:r>
    </w:p>
    <w:p w14:paraId="2736E1AD" w14:textId="313D75D2" w:rsidR="0065020F" w:rsidRDefault="00000000">
      <w:r>
        <w:t>With two fair dice, snake eyes has a 1/36 chance, or about 2.78%, on each roll. If I used flood-style language, I could call snake eyes a 36-roll event. That wording makes it sound like snake eyes should show up exactly once in every 36 rolls, even though anyone who has played with dice knows that is not true. It could happen twice in a row or not happen at all in 100 rolls. Dice players usually say a 1-in-36 chance per roll,</w:t>
      </w:r>
      <w:r w:rsidR="00AB501C">
        <w:t xml:space="preserve"> </w:t>
      </w:r>
      <w:r>
        <w:t>which I think is much clearer. Flood reports would be easier to understand if they used the same structure and said a 0.1% annual-chance flood.</w:t>
      </w:r>
    </w:p>
    <w:p w14:paraId="7F7C6F9A" w14:textId="77777777" w:rsidR="0065020F" w:rsidRDefault="00000000">
      <w:pPr>
        <w:pStyle w:val="Heading2"/>
      </w:pPr>
      <w:r>
        <w:rPr>
          <w:rFonts w:ascii="Arial" w:eastAsia="Arial" w:hAnsi="Arial" w:cs="Arial"/>
          <w:szCs w:val="22"/>
        </w:rPr>
        <w:t>One - C(ii):</w:t>
      </w:r>
    </w:p>
    <w:p w14:paraId="63D26B44" w14:textId="77777777" w:rsidR="0065020F" w:rsidRDefault="00000000">
      <w:r>
        <w:rPr>
          <w:i/>
        </w:rPr>
        <w:t>"The recurrence interval (sometimes called the return period) is based on the probability that the given event will be equalled or exceeded in any year." [1]</w:t>
      </w:r>
    </w:p>
    <w:p w14:paraId="1A6A075E" w14:textId="5ABF64E2" w:rsidR="0065020F" w:rsidRDefault="00000000">
      <w:r>
        <w:lastRenderedPageBreak/>
        <w:t>At first, the USGS definition seems clear because it uses the words probability and in any year. The problem is that the name 100-year flood pushes people toward the exact misunderstanding the definition is trying to prevent. Most people hear 100 years and think about elapsed time, while news headlines usually leave out the location, flood threshold, uncertainty, and changing conditions behind the estimate. I would explain it more directly: At this location, current models estimate a 1% chance each year of a flood at least this large.</w:t>
      </w:r>
    </w:p>
    <w:p w14:paraId="2B962A7F" w14:textId="77777777" w:rsidR="0065020F" w:rsidRDefault="00000000">
      <w:pPr>
        <w:pStyle w:val="Heading2"/>
      </w:pPr>
      <w:r>
        <w:rPr>
          <w:rFonts w:ascii="Arial" w:eastAsia="Arial" w:hAnsi="Arial" w:cs="Arial"/>
          <w:szCs w:val="22"/>
        </w:rPr>
        <w:t>One - D:</w:t>
      </w:r>
    </w:p>
    <w:p w14:paraId="1AB49AE9" w14:textId="111CC30A" w:rsidR="0065020F" w:rsidRDefault="00000000" w:rsidP="00ED4A05">
      <w:r>
        <w:t>I do not think the statement is useless, but by itself it does not tell me enough. It should mean there is an estimated 0.25% chance each year that a specific flood threshold will be reached or exceeded at a specific location. It does not mean Rochester has 400 years of comparable records or that the next flood is 400 years away. The estimate usually comes from a much shorter record, so the uncertainty for an event this rare can be very large.</w:t>
      </w:r>
      <w:r w:rsidR="00ED4A05">
        <w:t xml:space="preserve"> Given </w:t>
      </w:r>
      <w:r>
        <w:t>Rochester's glacial history also shows why I would not treat the probability as permanent.</w:t>
      </w:r>
      <w:r w:rsidR="00ED4A05">
        <w:t xml:space="preserve"> </w:t>
      </w:r>
      <w:r>
        <w:t xml:space="preserve">To make the claim useful, I would want the annual probability, exact location, measured variable, </w:t>
      </w:r>
      <w:proofErr w:type="gramStart"/>
      <w:r>
        <w:t>time period</w:t>
      </w:r>
      <w:proofErr w:type="gramEnd"/>
      <w:r>
        <w:t xml:space="preserve"> used, confidence interval, and whether today's conditions differ from the historical baseline.</w:t>
      </w:r>
    </w:p>
    <w:p w14:paraId="1DA7AD58" w14:textId="77777777" w:rsidR="0065020F" w:rsidRDefault="00000000">
      <w:pPr>
        <w:pStyle w:val="Heading2"/>
      </w:pPr>
      <w:r>
        <w:rPr>
          <w:rFonts w:ascii="Arial" w:eastAsia="Arial" w:hAnsi="Arial" w:cs="Arial"/>
          <w:szCs w:val="22"/>
        </w:rPr>
        <w:t>One - E:</w:t>
      </w:r>
    </w:p>
    <w:p w14:paraId="44B1D47F" w14:textId="77777777" w:rsidR="0065020F" w:rsidRDefault="00000000">
      <w:r>
        <w:t>The Chinese Robber Fallacy is basically a denominator problem. If you search a large enough population, you can always collect a long list of alarming examples even when the actual rate is normal. In the same way, a list of extreme-weather stories does not prove that extreme weather is becoming more common. You would need to define the total number of opportunities and compare the same rate over time. [3]</w:t>
      </w:r>
    </w:p>
    <w:p w14:paraId="7531E992" w14:textId="2D6AC5D4" w:rsidR="0065020F" w:rsidRDefault="00000000">
      <w:r>
        <w:t>For a simple estimate, I treated 195 countries and five hazard categories</w:t>
      </w:r>
      <w:r w:rsidR="00ED4A05">
        <w:t xml:space="preserve"> (</w:t>
      </w:r>
      <w:r>
        <w:t>drought, a hurricane or major tropical storm, a tornado outbreak, a heat wave, and extreme precipitation or flooding</w:t>
      </w:r>
      <w:r w:rsidR="00ED4A05">
        <w:t xml:space="preserve">) </w:t>
      </w:r>
      <w:r>
        <w:t>as 975 country-hazard opportunities per year. If each opportunity really had a 1% annual probability of crossing its own once-in-a-century threshold, the expected number would be:</w:t>
      </w:r>
    </w:p>
    <w:p w14:paraId="16DA734A" w14:textId="77777777" w:rsidR="0065020F" w:rsidRDefault="00000000">
      <w:pPr>
        <w:pStyle w:val="Calculation"/>
      </w:pPr>
      <w:r>
        <w:t>Expected events = 195 countries x 5 hazards x 0.01 = 9.75 events per year. If all 975 opportunities were independent, which is not realistic, P(at least one) = 1 - 0.99^975 = 99.994%.</w:t>
      </w:r>
    </w:p>
    <w:p w14:paraId="55858AEA" w14:textId="77777777" w:rsidR="0065020F" w:rsidRDefault="00000000">
      <w:r>
        <w:t>This estimate is probably conservative because large countries contain several climate regions and reporters can choose among many time periods, gauges, and definitions after an event happens. If I used five regions per country, the expected number would rise to 48.75 threshold crossings per year. I would not treat either number as a forecast because weather events are correlated and the definitions are not all comparable. Still, the general point is clear. On a planet this large, seeing several individually rare events is expected. To show that the climate is changing, we need a consistently defined time series, not just a collection of dramatic headlines.</w:t>
      </w:r>
    </w:p>
    <w:p w14:paraId="7F2F1336" w14:textId="77777777" w:rsidR="0065020F" w:rsidRDefault="00000000">
      <w:pPr>
        <w:pStyle w:val="Heading1"/>
      </w:pPr>
      <w:r>
        <w:rPr>
          <w:rFonts w:ascii="Arial" w:eastAsia="Arial" w:hAnsi="Arial" w:cs="Arial"/>
          <w:szCs w:val="22"/>
        </w:rPr>
        <w:lastRenderedPageBreak/>
        <w:t>Two:</w:t>
      </w:r>
    </w:p>
    <w:p w14:paraId="4C010783" w14:textId="77777777" w:rsidR="0065020F" w:rsidRDefault="00000000">
      <w:pPr>
        <w:pStyle w:val="Heading2"/>
      </w:pPr>
      <w:r>
        <w:rPr>
          <w:rFonts w:ascii="Arial" w:eastAsia="Arial" w:hAnsi="Arial" w:cs="Arial"/>
          <w:szCs w:val="22"/>
        </w:rPr>
        <w:t>Two - A:</w:t>
      </w:r>
    </w:p>
    <w:p w14:paraId="5E8A0108" w14:textId="77777777" w:rsidR="0065020F" w:rsidRDefault="00000000">
      <w:r>
        <w:t>When I first read that hydraulic fracturing used 70 million gallons of water in California during 2014, the number sounded huge. [4] Almost any statewide total measured in gallons will sound huge, though, so I looked for a denominator. Seventy million gallons is about 215 acre-feet. For comparison, California public-supply systems withdrew about 5.148 billion gallons per day in 2015 and served about 37.7 million people. [5] The years and water categories are not a perfect match, but the comparison gives the number some scale.</w:t>
      </w:r>
    </w:p>
    <w:p w14:paraId="6F5684F1" w14:textId="77777777" w:rsidR="0065020F" w:rsidRDefault="00000000">
      <w:pPr>
        <w:pStyle w:val="Calculation"/>
      </w:pPr>
      <w:r>
        <w:t>70 million gallons / 5.148 billion gallons per day = 0.0136 day, or about 19.6 minutes of statewide public-supply withdrawals. It equals about 0.0037% of a full year of that public supply, or roughly 1.9 gallons per person served for the entire year.</w:t>
      </w:r>
    </w:p>
    <w:p w14:paraId="6537071D" w14:textId="77777777" w:rsidR="0065020F" w:rsidRDefault="00000000">
      <w:r>
        <w:t>Based on the statewide scale, I do not think this number supports the narrow claim that fracking was a major cause of California's overall water shortage. That does not mean the water use was harmless. A small statewide share could still be important if it came from a stressed local basin, occurred during the worst part of a drought, was not returned, created contamination risks, or was priced below its real scarcity. Overall, the extra context makes the headline less dramatic, but it also shows what information is actually needed: location, timing, source, alternative uses, water-quality effects, and price.</w:t>
      </w:r>
    </w:p>
    <w:p w14:paraId="0B18BD3A" w14:textId="77777777" w:rsidR="0065020F" w:rsidRDefault="00000000">
      <w:pPr>
        <w:pStyle w:val="Heading2"/>
      </w:pPr>
      <w:r>
        <w:rPr>
          <w:rFonts w:ascii="Arial" w:eastAsia="Arial" w:hAnsi="Arial" w:cs="Arial"/>
          <w:szCs w:val="22"/>
        </w:rPr>
        <w:t>Two - B:</w:t>
      </w:r>
    </w:p>
    <w:p w14:paraId="4F201DCE" w14:textId="77777777" w:rsidR="0065020F" w:rsidRDefault="00000000">
      <w:r>
        <w:t>For my own Big Number Boogeyman example, I used a May 2026 Memphis Flyer article about water use at xAI's Colossus I data center. The article reported that xAI bought more than 25 million gallons in March and was using about 812,502 gallons per day, based on figures from Protect Our Aquifer. [6] Twenty-five million gallons sounds alarming, but it does not tell us how large the use is compared with the Memphis system.</w:t>
      </w:r>
    </w:p>
    <w:p w14:paraId="1E244978" w14:textId="77777777" w:rsidR="0065020F" w:rsidRDefault="00000000">
      <w:r>
        <w:t>To find a denominator, I used MLGW's drought-management figures. The system reports average daily demand of about 138.9 million gallons during its base peak period and 117.5 million gallons during the off-peak period. [7] Compared with those totals, Colossus used about 0.58% of peak-period demand or 0.69% of off-peak demand. I would call that noticeable for one customer, but it is not evidence by itself of a citywide shortage.</w:t>
      </w:r>
    </w:p>
    <w:p w14:paraId="71234E11" w14:textId="77777777" w:rsidR="0065020F" w:rsidRDefault="00000000">
      <w:pPr>
        <w:pStyle w:val="Calculation"/>
      </w:pPr>
      <w:r>
        <w:t>812,502 / 138,900,000 = 0.00585, or 0.585% of peak-period system demand. Using the off-peak benchmark, 812,502 / 117,500,000 = 0.00691, or 0.691%.</w:t>
      </w:r>
    </w:p>
    <w:p w14:paraId="7276DB55" w14:textId="51CA57DA" w:rsidR="0065020F" w:rsidRDefault="00000000">
      <w:r>
        <w:t xml:space="preserve">These percentages make the concern more specific instead of making it disappear. The water comes from the Memphis Sand Aquifer, residents depend on the same resource, and the article reports that this large industrial customer paid a lower rate per gallon than residential customers. That lower rate is not automatically a subsidy because a large customer may cost less per unit to serve, but I would want to see a cost-of-service study before deciding. I would also want to know whether the price reflects aquifer depletion, whether nearby wells or water quality are affected, whether use is publicly metered, and whether the promised recycled-water </w:t>
      </w:r>
      <w:r>
        <w:lastRenderedPageBreak/>
        <w:t xml:space="preserve">system is enforceable. </w:t>
      </w:r>
      <w:proofErr w:type="gramStart"/>
      <w:r>
        <w:t>So</w:t>
      </w:r>
      <w:proofErr w:type="gramEnd"/>
      <w:r>
        <w:t xml:space="preserve"> the denominator weakens the claim based only on 25 million gallons,</w:t>
      </w:r>
      <w:r w:rsidR="00AF290E">
        <w:t xml:space="preserve"> </w:t>
      </w:r>
      <w:r>
        <w:t>while strengthening a more serious argument about pricing and oversight.</w:t>
      </w:r>
    </w:p>
    <w:p w14:paraId="54C94124" w14:textId="77777777" w:rsidR="0065020F" w:rsidRDefault="00000000">
      <w:pPr>
        <w:pStyle w:val="Heading2"/>
      </w:pPr>
      <w:r>
        <w:rPr>
          <w:rFonts w:ascii="Arial" w:eastAsia="Arial" w:hAnsi="Arial" w:cs="Arial"/>
          <w:szCs w:val="22"/>
        </w:rPr>
        <w:t>Two - C:</w:t>
      </w:r>
    </w:p>
    <w:p w14:paraId="47D4E642" w14:textId="77777777" w:rsidR="0065020F" w:rsidRDefault="00000000">
      <w:pPr>
        <w:pStyle w:val="Heading3"/>
      </w:pPr>
      <w:r>
        <w:rPr>
          <w:rFonts w:ascii="Arial" w:eastAsia="Arial" w:hAnsi="Arial" w:cs="Arial"/>
        </w:rPr>
        <w:t>Big Number, Small Number, or Both?</w:t>
      </w:r>
    </w:p>
    <w:p w14:paraId="4D924632" w14:textId="77777777" w:rsidR="0065020F" w:rsidRDefault="00000000">
      <w:r>
        <w:t>I think the reporting can create both a Big Number Boogeyman and a Small Number Swindle. Calling 18,000 acre-feet almost 5.9 billion gallons makes the number sound catastrophic without giving a denominator. But saying it is only about 0.26% of all Arizona water use can also be misleading because the important scarcity may be local, not statewide. Water is expensive to move, aquifers are different, and the damage can be concentrated around nearby wells. In this case, the relevant physical and economic system may be the local basin rather than all of Arizona.</w:t>
      </w:r>
    </w:p>
    <w:p w14:paraId="7F9BCC4B" w14:textId="77777777" w:rsidR="0065020F" w:rsidRDefault="00000000">
      <w:pPr>
        <w:pStyle w:val="Heading3"/>
      </w:pPr>
      <w:r>
        <w:rPr>
          <w:rFonts w:ascii="Arial" w:eastAsia="Arial" w:hAnsi="Arial" w:cs="Arial"/>
        </w:rPr>
        <w:t>Statewide context:</w:t>
      </w:r>
    </w:p>
    <w:p w14:paraId="16F95B2D" w14:textId="77777777" w:rsidR="0065020F" w:rsidRDefault="00000000">
      <w:r>
        <w:t>For a statewide denominator, Arizona PBS reported a State Land Department estimate of up to 18,000 acre-feet per year for Fondomonte's Butler Valley operation. [8, 11] Arizona uses about 7.0 million acre-feet of water per year, with roughly 72% going to agriculture, 22% to municipal users, and 6% to industry. [9, 10]</w:t>
      </w:r>
    </w:p>
    <w:p w14:paraId="772B7F79" w14:textId="77777777" w:rsidR="0065020F" w:rsidRDefault="00000000">
      <w:pPr>
        <w:pStyle w:val="Calculation"/>
      </w:pPr>
      <w:r>
        <w:t>Statewide: 18,000 / 7,000,000 = 0.257%. Agricultural use: 18,000 / (7,000,000 x 0.72) = 0.357%. Municipal use: 18,000 / (7,000,000 x 0.22) = 1.17%. The same 18,000 acre-feet equals about 5.87 billion gallons per year, or about 16.1 million gallons per day.</w:t>
      </w:r>
    </w:p>
    <w:p w14:paraId="5AC632A7" w14:textId="77777777" w:rsidR="0065020F" w:rsidRDefault="00000000">
      <w:r>
        <w:t>These calculations make the farm look small compared with all agricultural water use in Arizona, but the amount is still equal to more than 1% of statewide municipal use. Neither comparison tells me the local marginal cost. More importantly, the 2024 Arizona Auditor General report found that these leases did not require groundwater reporting or payment and were outside the state's Active Management Areas. The report also said agriculture made up 99% of Butler Valley groundwater demand from 1990 through 2022. [20]</w:t>
      </w:r>
    </w:p>
    <w:p w14:paraId="00920784" w14:textId="77777777" w:rsidR="0065020F" w:rsidRDefault="00000000">
      <w:pPr>
        <w:pStyle w:val="Heading3"/>
      </w:pPr>
      <w:r>
        <w:rPr>
          <w:rFonts w:ascii="Arial" w:eastAsia="Arial" w:hAnsi="Arial" w:cs="Arial"/>
        </w:rPr>
        <w:t>Does the context weaken or strengthen the narrative?</w:t>
      </w:r>
    </w:p>
    <w:p w14:paraId="7D36F411" w14:textId="77777777" w:rsidR="0065020F" w:rsidRDefault="00000000">
      <w:r>
        <w:t>Overall, the added context weakens the simplest version of the story. One foreign-owned farm was not draining a large percentage of all Arizona water. At the same time, it strengthens the argument that the rules were poorly designed. Groundwater was basically bundled with cheap state land, pumping was not separately metered or priced, and some of the costs could fall on nearby well owners or future users. To me, the owner's nationality is less important than the incentive problem. A domestic company facing the same rules would have the same reason to overuse the resource.</w:t>
      </w:r>
    </w:p>
    <w:p w14:paraId="403E3B52" w14:textId="77777777" w:rsidR="0065020F" w:rsidRDefault="00000000">
      <w:r>
        <w:t xml:space="preserve">The current update also matters. Arizona ended Fondomonte's Butler Valley leases, and the governor's office reported that pumping there stopped in February 2024. [12] Fondomonte still faced a 2026 public-nuisance case involving pumping in the Ranegras Plain Basin. [21] Because of that, I would separate the historical Butler Valley controversy from the groundwater disputes that remain. The best conclusion is not that billions of gallons are automatically </w:t>
      </w:r>
      <w:r>
        <w:lastRenderedPageBreak/>
        <w:t>disastrous or that foreign ownership is automatically wrong. The important questions are scarcity, pricing, property rights, monitoring, and harm to other people.</w:t>
      </w:r>
    </w:p>
    <w:p w14:paraId="2E76837E" w14:textId="77777777" w:rsidR="0065020F" w:rsidRDefault="00000000">
      <w:pPr>
        <w:pStyle w:val="Heading1"/>
      </w:pPr>
      <w:r>
        <w:rPr>
          <w:rFonts w:ascii="Arial" w:eastAsia="Arial" w:hAnsi="Arial" w:cs="Arial"/>
          <w:szCs w:val="22"/>
        </w:rPr>
        <w:t>Three:</w:t>
      </w:r>
    </w:p>
    <w:p w14:paraId="139F5649" w14:textId="77777777" w:rsidR="0065020F" w:rsidRDefault="00000000">
      <w:pPr>
        <w:pStyle w:val="Heading2"/>
      </w:pPr>
      <w:r>
        <w:rPr>
          <w:rFonts w:ascii="Arial" w:eastAsia="Arial" w:hAnsi="Arial" w:cs="Arial"/>
          <w:szCs w:val="22"/>
        </w:rPr>
        <w:t>Three - A:</w:t>
      </w:r>
    </w:p>
    <w:p w14:paraId="62BDFC5E" w14:textId="77777777" w:rsidR="0065020F" w:rsidRDefault="00000000">
      <w:r>
        <w:t>My first guess is that data centers have become so unpopular because the costs are easy to see locally while the benefits are spread across the country or the world. Residents see the building, power lines, cooling equipment, noise, backup generators, water use, and possible utility upgrades in their own neighborhood. The benefits - faster digital services, new AI tools, and company profits - are much less visible and often go to people far away. Because of this, a project could create benefits overall and still look like a terrible deal to the people living next to it.</w:t>
      </w:r>
    </w:p>
    <w:p w14:paraId="2D8797CA" w14:textId="77777777" w:rsidR="0065020F" w:rsidRDefault="00000000">
      <w:r>
        <w:t>I also think the speed and secrecy of development make people more suspicious. Communities are being asked to trust unfamiliar companies about energy loads that can look like major industrial plants, while the number of permanent jobs may seem small compared with the land, electricity, water, and tax benefits the company receives. Data centers have also become the physical symbol of AI. People who are worried about job losses, surveillance, Big Tech, or the speed of technological change can oppose the building even when water is not their biggest concern.</w:t>
      </w:r>
    </w:p>
    <w:p w14:paraId="45D6DA9A" w14:textId="519238BE" w:rsidR="0065020F" w:rsidRDefault="00000000">
      <w:r>
        <w:t xml:space="preserve">The polling fits this explanation. Gallup found that 71% of Americans opposed building an AI data center in their area, compared with 53% who opposed a local nuclear plant. Half of the opponents mentioned resource use, while others mentioned pollution, quality of life, higher bills, taxpayer costs, and AI itself. Gallup also found majority opposition in every political group, although the strength of the opposition was different. [13] Pew found that Democrats were more likely than Republicans to expect environmental harm and higher household energy costs, while relatively few people in either party expected benefits in those areas. [14] The exact percentage changes with the wording of the poll, so I would not treat the </w:t>
      </w:r>
      <w:proofErr w:type="gramStart"/>
      <w:r>
        <w:t>assignment's</w:t>
      </w:r>
      <w:proofErr w:type="gramEnd"/>
      <w:r>
        <w:t xml:space="preserve"> about 75% figure as a fixed fact.</w:t>
      </w:r>
    </w:p>
    <w:p w14:paraId="5E8D24F4" w14:textId="77777777" w:rsidR="0065020F" w:rsidRDefault="00000000">
      <w:r>
        <w:t>To me, the bipartisan opposition makes sense because people can dislike the same project for completely different reasons. One person may care most about the environment, another about utility bills or tax breaks, and another about local control, Big Tech, or AI itself. Those groups do not have to agree on national politics to end up opposing the same data center.</w:t>
      </w:r>
    </w:p>
    <w:p w14:paraId="200B7126" w14:textId="77777777" w:rsidR="0065020F" w:rsidRDefault="00000000">
      <w:pPr>
        <w:pStyle w:val="Heading2"/>
      </w:pPr>
      <w:r>
        <w:rPr>
          <w:rFonts w:ascii="Arial" w:eastAsia="Arial" w:hAnsi="Arial" w:cs="Arial"/>
          <w:szCs w:val="22"/>
        </w:rPr>
        <w:t>Three - B:</w:t>
      </w:r>
    </w:p>
    <w:p w14:paraId="72008084" w14:textId="77777777" w:rsidR="0065020F" w:rsidRDefault="00000000">
      <w:r>
        <w:t xml:space="preserve">The Meliora reveal shows how easy it is to frame a large organization as destructive by listing only its resource use. It does not prove that every concern about Colossus is fake. The University of Rochester really operates more than 15 million square feet across more than 700 acres, and it buys roughly 225 million kWh of electricity and 2.6 million dekatherms of natural gas for a large property portfolio. [15, 16] Those numbers sound terrible when the university's education, health care, research, and other services are left out. The exercise also combines numbers that should not automatically be added. Water entering a system and wastewater </w:t>
      </w:r>
      <w:r>
        <w:lastRenderedPageBreak/>
        <w:t>leaving it are not two separate amounts of destruction, and a maximum permitted cooling-water discharge is not the same as daily drinking-water consumption.</w:t>
      </w:r>
    </w:p>
    <w:p w14:paraId="184F2D42" w14:textId="77777777" w:rsidR="0065020F" w:rsidRDefault="00000000">
      <w:r>
        <w:t>However, it would be a mistake to jump from that example to the conclusion that every large user is harmless. A 150 MW load running continuously would equal 1.314 billion kWh per year, although actual energy use depends on how often the facility runs at full capacity. MLGW reported 150 MW of grid service for Colossus I, customer-funded upgrades, the normal industrial rate, and an agreement to reduce demand when the grid is stressed. [17] I think those facts answer some concerns about reliability and who pays for upgrades, but they do not answer every question about emissions, water, or neighborhood effects. Nationally, data centers used about 4.4% of U.S. electricity in 2023, and the DOE projected 6.7% to 12% by 2028. [18] The scale is real, but the scale alone is not the final economic argument.</w:t>
      </w:r>
    </w:p>
    <w:p w14:paraId="308806A2" w14:textId="77777777" w:rsidR="0065020F" w:rsidRDefault="00000000">
      <w:pPr>
        <w:pStyle w:val="Heading2"/>
      </w:pPr>
      <w:r>
        <w:rPr>
          <w:rFonts w:ascii="Arial" w:eastAsia="Arial" w:hAnsi="Arial" w:cs="Arial"/>
          <w:szCs w:val="22"/>
        </w:rPr>
        <w:t>ECON 108:</w:t>
      </w:r>
    </w:p>
    <w:p w14:paraId="6D733D88" w14:textId="77777777" w:rsidR="0065020F" w:rsidRDefault="00000000">
      <w:r>
        <w:t>The biggest thing missing from a list of burdens is everything created with the resources. Land, water, electricity, steel, and labor are inputs, not automatically extra social costs beyond what the developer pays. If the prices reflect scarcity and the relevant harms, the spending already shows that those inputs have alternative uses. In Econ 108 terms, the real question is whether the value of the project is larger than its full social opportunity cost, including any costs that the market price misses.</w:t>
      </w:r>
    </w:p>
    <w:p w14:paraId="790C6B96" w14:textId="77777777" w:rsidR="0065020F" w:rsidRDefault="00000000">
      <w:r>
        <w:t>The benefit side could include computing services, higher productivity, construction work, permanent jobs, utility revenue, tax revenue, and infrastructure or knowledge spillovers. The counterfactual also matters. Without the data center, does the land stay empty, become housing or manufacturing, or get used by another large institution? Does the computing demand disappear, become more efficient, or move to a place with dirtier electricity and weaker water rules? I do not think we can judge the project without knowing what the realistic alternative is.</w:t>
      </w:r>
    </w:p>
    <w:p w14:paraId="6C8849F5" w14:textId="77777777" w:rsidR="0065020F" w:rsidRDefault="00000000">
      <w:r>
        <w:t>It also matters who gets the benefits and who bears the costs. A project can have positive total net benefits while putting unpaid noise or pollution costs on one neighborhood. On the other hand, a dramatic regional total may mostly be resources bought at normal prices from systems that have plenty of capacity. Because of this, I would convert the big totals into marginal changes: added peak demand, added generation and emissions, water actually consumed instead of returned, new infrastructure costs, and new damage.</w:t>
      </w:r>
    </w:p>
    <w:p w14:paraId="438A2E92" w14:textId="77777777" w:rsidR="0065020F" w:rsidRDefault="00000000">
      <w:pPr>
        <w:pStyle w:val="Heading2"/>
      </w:pPr>
      <w:r>
        <w:rPr>
          <w:rFonts w:ascii="Arial" w:eastAsia="Arial" w:hAnsi="Arial" w:cs="Arial"/>
          <w:szCs w:val="22"/>
        </w:rPr>
        <w:t>ECON 207/238:</w:t>
      </w:r>
    </w:p>
    <w:p w14:paraId="2729668A" w14:textId="77777777" w:rsidR="0065020F" w:rsidRDefault="00000000">
      <w:pPr>
        <w:pStyle w:val="Heading3"/>
      </w:pPr>
      <w:r>
        <w:rPr>
          <w:rFonts w:ascii="Arial" w:eastAsia="Arial" w:hAnsi="Arial" w:cs="Arial"/>
        </w:rPr>
        <w:t>Conditions that increase concern:</w:t>
      </w:r>
    </w:p>
    <w:p w14:paraId="7A4F8B41" w14:textId="77777777" w:rsidR="0065020F" w:rsidRDefault="00000000">
      <w:r>
        <w:t>I would be more concerned when the resource is locally scarce, water withdrawals exceed recharge, the electricity load forces new peak capacity, or the marginal generator is highly polluting. I would also be more concerned if special rates or tax incentives move costs onto other customers, if noise or health risks are not priced, if the damage is hard to reverse, or if the same neighborhood already carries a large pollution burden. Secrecy makes all of these issues worse because residents and regulators cannot tell whether the deal is actually good.</w:t>
      </w:r>
    </w:p>
    <w:p w14:paraId="589E359F" w14:textId="77777777" w:rsidR="0065020F" w:rsidRDefault="00000000">
      <w:r>
        <w:lastRenderedPageBreak/>
        <w:t>The natural-gas turbine dispute around the Colossus expansion seems like a more serious economic issue than the fact that the facility buys electricity. Reuters reported 59 turbines connected with Colossus 2 and disputes over permits and local nitrogen-oxide emissions. [19] If those emissions harm nearby residents and are not fully priced or limited, the company can shift a real cost onto other people. The same logic applies to groundwater. Even a small percentage of citywide use can be a problem if the price does not include depletion or damage to nearby wells.</w:t>
      </w:r>
    </w:p>
    <w:p w14:paraId="487BFC16" w14:textId="77777777" w:rsidR="0065020F" w:rsidRDefault="00000000">
      <w:pPr>
        <w:pStyle w:val="Heading3"/>
      </w:pPr>
      <w:r>
        <w:rPr>
          <w:rFonts w:ascii="Arial" w:eastAsia="Arial" w:hAnsi="Arial" w:cs="Arial"/>
        </w:rPr>
        <w:t>Conditions that reduce concern:</w:t>
      </w:r>
    </w:p>
    <w:p w14:paraId="5782C456" w14:textId="77777777" w:rsidR="0065020F" w:rsidRDefault="00000000">
      <w:r>
        <w:t>I would be less concerned if the project reused an industrial site, paid the full cost of substations and transmission, faced higher prices during peak demand, used recycled water, published real consumption data, followed enforceable emissions limits, and compensated people for identifiable local harms. MLGW says xAI paid for transmission and substation upgrades and agreed to reduce load when demand is high. [17] I do not think that evidence should be ignored. It reduces specific concerns about reliability and cost shifting even though other issues remain.</w:t>
      </w:r>
    </w:p>
    <w:p w14:paraId="4EB30A1B" w14:textId="77777777" w:rsidR="0065020F" w:rsidRDefault="00000000">
      <w:pPr>
        <w:pStyle w:val="Heading3"/>
      </w:pPr>
      <w:r>
        <w:rPr>
          <w:rFonts w:ascii="Arial" w:eastAsia="Arial" w:hAnsi="Arial" w:cs="Arial"/>
        </w:rPr>
        <w:t>The role of institutions:</w:t>
      </w:r>
    </w:p>
    <w:p w14:paraId="4597991B" w14:textId="77777777" w:rsidR="0065020F" w:rsidRDefault="00000000">
      <w:r>
        <w:t>Institutions decide whether the company's incentives match the real social costs. Utility rules can make the customer that causes new grid costs pay for them. Water rights, metering, pumping limits, scarcity pricing, or tradable permits can protect an aquifer. Zoning and environmental permits can address air pollution, noise, stormwater, and habitat, while carbon pricing or clean-energy standards can address climate costs. I also think transparency, insurance, performance bonds, and decommissioning rules matter because they protect the public if a company does not follow through on its promises.</w:t>
      </w:r>
    </w:p>
    <w:p w14:paraId="63D97ED7" w14:textId="77777777" w:rsidR="0065020F" w:rsidRDefault="00000000">
      <w:pPr>
        <w:pStyle w:val="Heading3"/>
      </w:pPr>
      <w:r>
        <w:rPr>
          <w:rFonts w:ascii="Arial" w:eastAsia="Arial" w:hAnsi="Arial" w:cs="Arial"/>
        </w:rPr>
        <w:t>Genuine problems, scale, and unanswered questions:</w:t>
      </w:r>
    </w:p>
    <w:p w14:paraId="29E3FCBC" w14:textId="77777777" w:rsidR="0065020F" w:rsidRDefault="00000000">
      <w:r>
        <w:t>The problems that could be economically real include unpriced greenhouse-gas or local-air-pollution damage, groundwater depletion, interference with nearby wells, noise, reliability risk, grid or water costs shifted to other customers, tax breaks larger than the public benefit, land or habitat loss, and harms concentrated in communities with little bargaining power. I would not assume all of these are happening, but each one is a real question that requires evidence about the marginal effect and who pays.</w:t>
      </w:r>
    </w:p>
    <w:p w14:paraId="2A639117" w14:textId="77777777" w:rsidR="0065020F" w:rsidRDefault="00000000">
      <w:r>
        <w:t>Some facts mainly describe scale without proving a problem. Examples include total electricity bought at a properly designed rate, land used on an existing industrial site, water that is circulated and returned, wastewater discharged under a protective permit, or ordinary waste handled at its full disposal cost. The University of Rochester example shows how adding unrelated maximums, geographic areas, and both inflow and outflow can create a total that sounds meaningful but is not.</w:t>
      </w:r>
    </w:p>
    <w:p w14:paraId="48C1DC32" w14:textId="77777777" w:rsidR="0065020F" w:rsidRDefault="00000000">
      <w:r>
        <w:t xml:space="preserve">The information we have still cannot show the actual hourly electricity profile, annual capacity factor, marginal generating source, added grid investment, who ultimately pays, local water recharge, the share of water actually consumed, seasonal scarcity, exact emissions, neighborhood exposure, permanent job quality, tax abatements, net fiscal impact, or the value </w:t>
      </w:r>
      <w:r>
        <w:lastRenderedPageBreak/>
        <w:t>of the services created. I would ask for hourly energy and water data, grid-impact and cost-of-service studies, water-basin budgets, permits and continuous emissions data, alternative-site analysis, tax and employment agreements, and a lifecycle assessment with a clear baseline.</w:t>
      </w:r>
    </w:p>
    <w:p w14:paraId="502956E2" w14:textId="77777777" w:rsidR="0065020F" w:rsidRDefault="00000000">
      <w:pPr>
        <w:pStyle w:val="Heading2"/>
      </w:pPr>
      <w:r>
        <w:rPr>
          <w:rFonts w:ascii="Arial" w:eastAsia="Arial" w:hAnsi="Arial" w:cs="Arial"/>
          <w:szCs w:val="22"/>
        </w:rPr>
        <w:t>ECON 300+:</w:t>
      </w:r>
    </w:p>
    <w:p w14:paraId="5CF70B72" w14:textId="77777777" w:rsidR="0065020F" w:rsidRDefault="00000000">
      <w:pPr>
        <w:numPr>
          <w:ilvl w:val="0"/>
          <w:numId w:val="1"/>
        </w:numPr>
        <w:spacing w:after="220" w:line="276" w:lineRule="auto"/>
        <w:ind w:left="0" w:firstLine="720"/>
      </w:pPr>
      <w:r>
        <w:rPr>
          <w:b/>
        </w:rPr>
        <w:t>Encouraging development.</w:t>
      </w:r>
      <w:r>
        <w:t xml:space="preserve"> If one community welcomes a data center, it may attract more data centers, suppliers, transmission, generation, and technical workers. That cluster could create learning, tax revenue, and clean generation or storage that helps other customers. The next effects could also be negative. Rapid load growth could crowd out manufacturing or electrification, lock in natural-gas infrastructure, raise peak costs, or start a competition where cities give away more in subsidies than they receive. Cheaper computing could also create a rebound effect by encouraging so much additional AI use that it offsets efficiency improvements.</w:t>
      </w:r>
    </w:p>
    <w:p w14:paraId="0C7EEB1C" w14:textId="77777777" w:rsidR="0065020F" w:rsidRDefault="00000000">
      <w:pPr>
        <w:numPr>
          <w:ilvl w:val="0"/>
          <w:numId w:val="1"/>
        </w:numPr>
        <w:spacing w:after="220" w:line="276" w:lineRule="auto"/>
        <w:ind w:left="0" w:firstLine="720"/>
      </w:pPr>
      <w:r>
        <w:rPr>
          <w:b/>
        </w:rPr>
        <w:t>Restricting development.</w:t>
      </w:r>
      <w:r>
        <w:t xml:space="preserve"> A local ban could stop a badly designed project and give residents more bargaining power. However, if demand for computing remains, the company may move to another county, state, or country with dirtier electricity, scarcer water, weaker pollution rules, or less political voice. The first community's measured emissions fall while total emissions stay the same or increase, and it also loses any tax revenue or infrastructure investment. If many jurisdictions coordinate strong standards, restrictions could instead push companies toward cleaner locations rather than just moving the problem.</w:t>
      </w:r>
    </w:p>
    <w:p w14:paraId="7C0E4AB7" w14:textId="77777777" w:rsidR="0065020F" w:rsidRDefault="00000000">
      <w:pPr>
        <w:numPr>
          <w:ilvl w:val="0"/>
          <w:numId w:val="1"/>
        </w:numPr>
        <w:spacing w:after="220" w:line="276" w:lineRule="auto"/>
        <w:ind w:left="0" w:firstLine="720"/>
      </w:pPr>
      <w:r>
        <w:rPr>
          <w:b/>
        </w:rPr>
        <w:t>Taxing or pricing the externality.</w:t>
      </w:r>
      <w:r>
        <w:t xml:space="preserve"> A general tax on all data centers could discourage low-impact and high-impact projects equally. I think targeted prices would work better. Full interconnection charges push companies toward sites with grid capacity, peak electricity prices reward flexible demand and storage, carbon prices reward cleaner power, and basin-specific water prices reward recycled water or air cooling where water is scarce. Those incentives could lead companies to build batteries, schedule computing around grid conditions, or locate near wastewater plants. In the long run, that can also create new technology and infrastructure that helps other users.</w:t>
      </w:r>
    </w:p>
    <w:p w14:paraId="4B553B80" w14:textId="77777777" w:rsidR="0065020F" w:rsidRDefault="00000000">
      <w:pPr>
        <w:numPr>
          <w:ilvl w:val="0"/>
          <w:numId w:val="1"/>
        </w:numPr>
        <w:spacing w:after="220" w:line="276" w:lineRule="auto"/>
        <w:ind w:left="0" w:firstLine="720"/>
      </w:pPr>
      <w:r>
        <w:rPr>
          <w:b/>
        </w:rPr>
        <w:t>Geopolitics and national competition.</w:t>
      </w:r>
      <w:r>
        <w:t xml:space="preserve"> Computing capacity has economic and strategic value. If one country blocks facilities while global demand continues, investment and technical ability can move abroad. That does not mean local harm should be ignored, but it changes the level at which the rules should be set. National or interstate standards could reduce a race to the bottom while still allowing projects to locate where the grid, water system, and community can support them at the lowest social cost.</w:t>
      </w:r>
    </w:p>
    <w:p w14:paraId="1FD8826E" w14:textId="77777777" w:rsidR="0065020F" w:rsidRDefault="00000000">
      <w:r>
        <w:t>My preferred approach would not be a blanket subsidy or a blanket ban. I would allow projects under conditions that make them pay the costs they cause, publish real energy and water data, follow enforceable air and water limits, reduce demand during peaks, and protect nearby residents. I would give credit for reusing industrial land and making verifiable clean-power or recycled-water investments. Any major promise should be written into a permit or backed by a bond so the public does not take the risk if the company delays it.</w:t>
      </w:r>
    </w:p>
    <w:p w14:paraId="50108323" w14:textId="39A04146" w:rsidR="0065020F" w:rsidRDefault="00000000">
      <w:r>
        <w:lastRenderedPageBreak/>
        <w:t xml:space="preserve">Overall, my answer depends on the conditions. A facility that pays for the infrastructure it causes, uses an industrial site, reduces demand at peaks, uses low-scarcity or recycled water, and controls emissions could create net benefits even while using a huge amount of resources. A facility that gets underpriced water, moves grid costs onto other customers, avoids pollution rules, or concentrates harm on nearby residents could be a real economic problem even when its statewide percentages look small. Because of this, </w:t>
      </w:r>
      <w:proofErr w:type="gramStart"/>
      <w:r>
        <w:t>How</w:t>
      </w:r>
      <w:proofErr w:type="gramEnd"/>
      <w:r>
        <w:t xml:space="preserve"> big is the number?</w:t>
      </w:r>
      <w:r w:rsidR="00AF290E">
        <w:t xml:space="preserve"> </w:t>
      </w:r>
      <w:r>
        <w:t>is the wrong final question. I think the better questions are Compared with what?</w:t>
      </w:r>
      <w:r w:rsidR="00AF290E">
        <w:t xml:space="preserve"> </w:t>
      </w:r>
      <w:r>
        <w:t xml:space="preserve">Who </w:t>
      </w:r>
      <w:proofErr w:type="gramStart"/>
      <w:r>
        <w:t>pays?,</w:t>
      </w:r>
      <w:proofErr w:type="gramEnd"/>
      <w:r>
        <w:t xml:space="preserve"> What changes at the </w:t>
      </w:r>
      <w:proofErr w:type="gramStart"/>
      <w:r>
        <w:t>margin?,</w:t>
      </w:r>
      <w:proofErr w:type="gramEnd"/>
      <w:r>
        <w:t xml:space="preserve"> and What happens next?</w:t>
      </w:r>
    </w:p>
    <w:p w14:paraId="2483B301" w14:textId="77777777" w:rsidR="0065020F" w:rsidRDefault="00000000">
      <w:pPr>
        <w:pStyle w:val="Heading1"/>
        <w:spacing w:before="0"/>
      </w:pPr>
      <w:r>
        <w:rPr>
          <w:rFonts w:ascii="Arial" w:eastAsia="Arial" w:hAnsi="Arial" w:cs="Arial"/>
          <w:szCs w:val="22"/>
        </w:rPr>
        <w:t>Sources:</w:t>
      </w:r>
    </w:p>
    <w:p w14:paraId="6B76E64E" w14:textId="77777777" w:rsidR="0065020F" w:rsidRDefault="00000000">
      <w:pPr>
        <w:spacing w:after="0"/>
      </w:pPr>
      <w:r>
        <w:t>All calculations are my own using the cited inputs. Web sources were checked September 5, 2026. The course assignment is the source for the fictional Meliora framing and the questions answered above.</w:t>
      </w:r>
    </w:p>
    <w:p w14:paraId="4B6E4056" w14:textId="77777777" w:rsidR="0065020F" w:rsidRDefault="00000000">
      <w:pPr>
        <w:pStyle w:val="SourceEntry"/>
      </w:pPr>
      <w:r>
        <w:t xml:space="preserve">[1] U.S. Geological Survey. </w:t>
      </w:r>
      <w:hyperlink r:id="rId8">
        <w:r w:rsidR="0065020F">
          <w:rPr>
            <w:color w:val="2E74B5"/>
            <w:u w:val="single"/>
          </w:rPr>
          <w:t>What Is a Recurrence Interval?</w:t>
        </w:r>
      </w:hyperlink>
    </w:p>
    <w:p w14:paraId="5FA702C6" w14:textId="77777777" w:rsidR="0065020F" w:rsidRDefault="00000000">
      <w:pPr>
        <w:pStyle w:val="SourceEntry"/>
      </w:pPr>
      <w:r>
        <w:t xml:space="preserve">[2] U.S. Geological Survey. </w:t>
      </w:r>
      <w:hyperlink r:id="rId9">
        <w:r w:rsidR="0065020F">
          <w:rPr>
            <w:color w:val="2E74B5"/>
            <w:u w:val="single"/>
          </w:rPr>
          <w:t>We Had a '100-Year Flood' Two Years in a Row. How Can That Be?</w:t>
        </w:r>
      </w:hyperlink>
    </w:p>
    <w:p w14:paraId="25225679" w14:textId="77777777" w:rsidR="0065020F" w:rsidRDefault="00000000">
      <w:pPr>
        <w:pStyle w:val="SourceEntry"/>
      </w:pPr>
      <w:r>
        <w:t xml:space="preserve">[3] LessWrong / Scott Alexander. </w:t>
      </w:r>
      <w:hyperlink r:id="rId10">
        <w:r w:rsidR="0065020F">
          <w:rPr>
            <w:color w:val="2E74B5"/>
            <w:u w:val="single"/>
          </w:rPr>
          <w:t>Cardiologists and Chinese Robbers</w:t>
        </w:r>
      </w:hyperlink>
    </w:p>
    <w:p w14:paraId="315C330E" w14:textId="77777777" w:rsidR="0065020F" w:rsidRDefault="00000000">
      <w:pPr>
        <w:pStyle w:val="SourceEntry"/>
      </w:pPr>
      <w:r>
        <w:t xml:space="preserve">[4] The Huffington Post. </w:t>
      </w:r>
      <w:hyperlink r:id="rId11">
        <w:r w:rsidR="0065020F">
          <w:rPr>
            <w:color w:val="2E74B5"/>
            <w:u w:val="single"/>
          </w:rPr>
          <w:t>Fracking Used 70 Million Gallons of Water in California in 2014</w:t>
        </w:r>
      </w:hyperlink>
    </w:p>
    <w:p w14:paraId="391F646C" w14:textId="77777777" w:rsidR="0065020F" w:rsidRDefault="00000000">
      <w:pPr>
        <w:pStyle w:val="SourceEntry"/>
      </w:pPr>
      <w:r>
        <w:t xml:space="preserve">[5] U.S. Geological Survey. </w:t>
      </w:r>
      <w:hyperlink r:id="rId12">
        <w:r w:rsidR="0065020F">
          <w:rPr>
            <w:color w:val="2E74B5"/>
            <w:u w:val="single"/>
          </w:rPr>
          <w:t>Water Use Data for California: Public Supply, 2015</w:t>
        </w:r>
      </w:hyperlink>
    </w:p>
    <w:p w14:paraId="045C4FE4" w14:textId="77777777" w:rsidR="0065020F" w:rsidRDefault="00000000">
      <w:pPr>
        <w:pStyle w:val="SourceEntry"/>
      </w:pPr>
      <w:r>
        <w:t xml:space="preserve">[6] Memphis Flyer. </w:t>
      </w:r>
      <w:hyperlink r:id="rId13">
        <w:r w:rsidR="0065020F">
          <w:rPr>
            <w:color w:val="2E74B5"/>
            <w:u w:val="single"/>
          </w:rPr>
          <w:t>Protect Our Aquifer: xAI Bought 25M Gallons of Water from MLGW</w:t>
        </w:r>
      </w:hyperlink>
    </w:p>
    <w:p w14:paraId="64718A55" w14:textId="77777777" w:rsidR="0065020F" w:rsidRDefault="00000000">
      <w:pPr>
        <w:pStyle w:val="SourceEntry"/>
      </w:pPr>
      <w:r>
        <w:t xml:space="preserve">[7] Memphis Light, Gas and Water. </w:t>
      </w:r>
      <w:hyperlink r:id="rId14">
        <w:r w:rsidR="0065020F">
          <w:rPr>
            <w:color w:val="2E74B5"/>
            <w:u w:val="single"/>
          </w:rPr>
          <w:t>Water Shortage Contingency Plan</w:t>
        </w:r>
      </w:hyperlink>
      <w:r>
        <w:t xml:space="preserve"> Demand figures are in the plan's drought-management section.</w:t>
      </w:r>
    </w:p>
    <w:p w14:paraId="72D4DB08" w14:textId="77777777" w:rsidR="0065020F" w:rsidRDefault="00000000">
      <w:pPr>
        <w:pStyle w:val="SourceEntry"/>
      </w:pPr>
      <w:r>
        <w:t xml:space="preserve">[8] PBS NewsHour / Associated Press. </w:t>
      </w:r>
      <w:hyperlink r:id="rId15">
        <w:r w:rsidR="0065020F">
          <w:rPr>
            <w:color w:val="2E74B5"/>
            <w:u w:val="single"/>
          </w:rPr>
          <w:t>In Drought-Stricken Arizona, Fresh Scrutiny of Saudi Arabia-Owned Farm's Water Use</w:t>
        </w:r>
      </w:hyperlink>
    </w:p>
    <w:p w14:paraId="6AE3C148" w14:textId="77777777" w:rsidR="0065020F" w:rsidRDefault="00000000">
      <w:pPr>
        <w:pStyle w:val="SourceEntry"/>
      </w:pPr>
      <w:r>
        <w:t xml:space="preserve">[9] Arizona Department of Water Resources. </w:t>
      </w:r>
      <w:hyperlink r:id="rId16">
        <w:r w:rsidR="0065020F">
          <w:rPr>
            <w:color w:val="2E74B5"/>
            <w:u w:val="single"/>
          </w:rPr>
          <w:t>Agriculture</w:t>
        </w:r>
      </w:hyperlink>
    </w:p>
    <w:p w14:paraId="3E7ADF44" w14:textId="77777777" w:rsidR="0065020F" w:rsidRDefault="00000000">
      <w:pPr>
        <w:pStyle w:val="SourceEntry"/>
      </w:pPr>
      <w:r>
        <w:t xml:space="preserve">[10] University of Arizona MAP Dashboard. </w:t>
      </w:r>
      <w:hyperlink r:id="rId17">
        <w:r w:rsidR="0065020F">
          <w:rPr>
            <w:color w:val="2E74B5"/>
            <w:u w:val="single"/>
          </w:rPr>
          <w:t>Arizona's Water Use by Sector</w:t>
        </w:r>
      </w:hyperlink>
    </w:p>
    <w:p w14:paraId="0AD41424" w14:textId="77777777" w:rsidR="0065020F" w:rsidRDefault="00000000">
      <w:pPr>
        <w:pStyle w:val="SourceEntry"/>
      </w:pPr>
      <w:r>
        <w:t xml:space="preserve">[11] Arizona PBS. </w:t>
      </w:r>
      <w:hyperlink r:id="rId18">
        <w:r w:rsidR="0065020F">
          <w:rPr>
            <w:color w:val="2E74B5"/>
            <w:u w:val="single"/>
          </w:rPr>
          <w:t>Saudi Water Deal Threatening Water Supply in Phoenix</w:t>
        </w:r>
      </w:hyperlink>
    </w:p>
    <w:p w14:paraId="051553CB" w14:textId="77777777" w:rsidR="0065020F" w:rsidRDefault="00000000">
      <w:pPr>
        <w:pStyle w:val="SourceEntry"/>
      </w:pPr>
      <w:r>
        <w:t xml:space="preserve">[12] Office of the Arizona Governor. </w:t>
      </w:r>
      <w:hyperlink r:id="rId19">
        <w:r w:rsidR="0065020F">
          <w:rPr>
            <w:color w:val="2E74B5"/>
            <w:u w:val="single"/>
          </w:rPr>
          <w:t>Fondomonte Officially No Longer Pumping Arizona Groundwater in Butler Valley</w:t>
        </w:r>
      </w:hyperlink>
    </w:p>
    <w:p w14:paraId="1E3C3464" w14:textId="77777777" w:rsidR="0065020F" w:rsidRDefault="00000000">
      <w:pPr>
        <w:pStyle w:val="SourceEntry"/>
      </w:pPr>
      <w:r>
        <w:t xml:space="preserve">[13] Gallup. </w:t>
      </w:r>
      <w:hyperlink r:id="rId20">
        <w:r w:rsidR="0065020F">
          <w:rPr>
            <w:color w:val="2E74B5"/>
            <w:u w:val="single"/>
          </w:rPr>
          <w:t>Americans Oppose AI Data Centers in Their Area</w:t>
        </w:r>
      </w:hyperlink>
    </w:p>
    <w:p w14:paraId="06B2A92A" w14:textId="77777777" w:rsidR="0065020F" w:rsidRDefault="00000000">
      <w:pPr>
        <w:pStyle w:val="SourceEntry"/>
      </w:pPr>
      <w:r>
        <w:t xml:space="preserve">[14] Pew Research Center. </w:t>
      </w:r>
      <w:hyperlink r:id="rId21">
        <w:r w:rsidR="0065020F">
          <w:rPr>
            <w:color w:val="2E74B5"/>
            <w:u w:val="single"/>
          </w:rPr>
          <w:t>How Americans View Data Centers' Impact in Key Areas</w:t>
        </w:r>
      </w:hyperlink>
    </w:p>
    <w:p w14:paraId="0F1052A7" w14:textId="77777777" w:rsidR="0065020F" w:rsidRDefault="00000000">
      <w:pPr>
        <w:pStyle w:val="SourceEntry"/>
      </w:pPr>
      <w:r>
        <w:t xml:space="preserve">[15] University of Rochester. </w:t>
      </w:r>
      <w:hyperlink r:id="rId22">
        <w:r w:rsidR="0065020F">
          <w:rPr>
            <w:color w:val="2E74B5"/>
            <w:u w:val="single"/>
          </w:rPr>
          <w:t>Facilities Operations</w:t>
        </w:r>
      </w:hyperlink>
    </w:p>
    <w:p w14:paraId="003F9276" w14:textId="77777777" w:rsidR="0065020F" w:rsidRDefault="00000000">
      <w:pPr>
        <w:pStyle w:val="SourceEntry"/>
      </w:pPr>
      <w:r>
        <w:t xml:space="preserve">[16] University of Rochester. </w:t>
      </w:r>
      <w:hyperlink r:id="rId23">
        <w:r w:rsidR="0065020F">
          <w:rPr>
            <w:color w:val="2E74B5"/>
            <w:u w:val="single"/>
          </w:rPr>
          <w:t>Energy Services: Finance</w:t>
        </w:r>
      </w:hyperlink>
    </w:p>
    <w:p w14:paraId="21E2586A" w14:textId="77777777" w:rsidR="0065020F" w:rsidRDefault="00000000">
      <w:pPr>
        <w:pStyle w:val="SourceEntry"/>
      </w:pPr>
      <w:r>
        <w:t xml:space="preserve">[17] Memphis Light, Gas and Water. </w:t>
      </w:r>
      <w:hyperlink r:id="rId24">
        <w:r w:rsidR="0065020F">
          <w:rPr>
            <w:color w:val="2E74B5"/>
            <w:u w:val="single"/>
          </w:rPr>
          <w:t>Utility Support for xAI: May 5, 2025 Update</w:t>
        </w:r>
      </w:hyperlink>
    </w:p>
    <w:p w14:paraId="0366A00C" w14:textId="77777777" w:rsidR="0065020F" w:rsidRDefault="00000000">
      <w:pPr>
        <w:pStyle w:val="SourceEntry"/>
      </w:pPr>
      <w:r>
        <w:t xml:space="preserve">[18] U.S. Department of Energy. </w:t>
      </w:r>
      <w:hyperlink r:id="rId25">
        <w:r w:rsidR="0065020F">
          <w:rPr>
            <w:color w:val="2E74B5"/>
            <w:u w:val="single"/>
          </w:rPr>
          <w:t>Data Centers and U.S. Electricity Demand</w:t>
        </w:r>
      </w:hyperlink>
    </w:p>
    <w:p w14:paraId="13169D71" w14:textId="77777777" w:rsidR="0065020F" w:rsidRDefault="00000000">
      <w:pPr>
        <w:pStyle w:val="SourceEntry"/>
      </w:pPr>
      <w:r>
        <w:t xml:space="preserve">[19] Reuters. </w:t>
      </w:r>
      <w:hyperlink r:id="rId26">
        <w:r w:rsidR="0065020F">
          <w:rPr>
            <w:color w:val="2E74B5"/>
            <w:u w:val="single"/>
          </w:rPr>
          <w:t>Pollution from Musk's Unpermitted xAI Power Project</w:t>
        </w:r>
      </w:hyperlink>
    </w:p>
    <w:p w14:paraId="65A2AA8D" w14:textId="77777777" w:rsidR="0065020F" w:rsidRDefault="00000000">
      <w:pPr>
        <w:pStyle w:val="SourceEntry"/>
      </w:pPr>
      <w:r>
        <w:t xml:space="preserve">[20] Arizona Auditor General. </w:t>
      </w:r>
      <w:hyperlink r:id="rId27">
        <w:r w:rsidR="0065020F">
          <w:rPr>
            <w:color w:val="2E74B5"/>
            <w:u w:val="single"/>
          </w:rPr>
          <w:t>Agricultural Leasing Process, Report 24-101</w:t>
        </w:r>
      </w:hyperlink>
    </w:p>
    <w:p w14:paraId="2C75CD66" w14:textId="77777777" w:rsidR="0065020F" w:rsidRDefault="00000000">
      <w:pPr>
        <w:pStyle w:val="SourceEntry"/>
      </w:pPr>
      <w:r>
        <w:t xml:space="preserve">[21] Arizona Attorney General's Office. </w:t>
      </w:r>
      <w:hyperlink r:id="rId28">
        <w:r w:rsidR="0065020F">
          <w:rPr>
            <w:color w:val="2E74B5"/>
            <w:u w:val="single"/>
          </w:rPr>
          <w:t>Fondomonte Public-Nuisance Lawsuit Moves Forward</w:t>
        </w:r>
      </w:hyperlink>
    </w:p>
    <w:sectPr w:rsidR="0065020F" w:rsidSect="00034616">
      <w:headerReference w:type="default" r:id="rId29"/>
      <w:footerReference w:type="default" r:id="rId30"/>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7A255" w14:textId="77777777" w:rsidR="001D38DC" w:rsidRDefault="001D38DC">
      <w:pPr>
        <w:spacing w:after="0" w:line="240" w:lineRule="auto"/>
      </w:pPr>
      <w:r>
        <w:separator/>
      </w:r>
    </w:p>
  </w:endnote>
  <w:endnote w:type="continuationSeparator" w:id="0">
    <w:p w14:paraId="1052CAC7" w14:textId="77777777" w:rsidR="001D38DC" w:rsidRDefault="001D3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63B82" w14:textId="77777777" w:rsidR="0065020F" w:rsidRDefault="0065020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27AC5" w14:textId="77777777" w:rsidR="001D38DC" w:rsidRDefault="001D38DC">
      <w:pPr>
        <w:spacing w:after="0" w:line="240" w:lineRule="auto"/>
      </w:pPr>
      <w:r>
        <w:separator/>
      </w:r>
    </w:p>
  </w:footnote>
  <w:footnote w:type="continuationSeparator" w:id="0">
    <w:p w14:paraId="1DBF6099" w14:textId="77777777" w:rsidR="001D38DC" w:rsidRDefault="001D38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DD1BC" w14:textId="77777777" w:rsidR="0065020F" w:rsidRDefault="006502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36905C0"/>
    <w:multiLevelType w:val="singleLevel"/>
    <w:tmpl w:val="A15608EE"/>
    <w:lvl w:ilvl="0">
      <w:start w:val="1"/>
      <w:numFmt w:val="decimal"/>
      <w:pStyle w:val="ListBullet"/>
      <w:lvlText w:val="%1."/>
      <w:lvlJc w:val="left"/>
      <w:pPr>
        <w:tabs>
          <w:tab w:val="num" w:pos="720"/>
        </w:tabs>
        <w:spacing w:after="120" w:line="280" w:lineRule="auto"/>
        <w:ind w:left="720" w:hanging="360"/>
      </w:pPr>
    </w:lvl>
  </w:abstractNum>
  <w:num w:numId="1" w16cid:durableId="20496490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38DC"/>
    <w:rsid w:val="001D4D89"/>
    <w:rsid w:val="00233394"/>
    <w:rsid w:val="0029639D"/>
    <w:rsid w:val="00326F90"/>
    <w:rsid w:val="0065020F"/>
    <w:rsid w:val="006F12E8"/>
    <w:rsid w:val="008D19AA"/>
    <w:rsid w:val="009913AA"/>
    <w:rsid w:val="00AA1D8D"/>
    <w:rsid w:val="00AB501C"/>
    <w:rsid w:val="00AF290E"/>
    <w:rsid w:val="00B25CD3"/>
    <w:rsid w:val="00B47730"/>
    <w:rsid w:val="00C02A13"/>
    <w:rsid w:val="00CB0664"/>
    <w:rsid w:val="00ED37C2"/>
    <w:rsid w:val="00ED4A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CEC217"/>
  <w14:defaultImageDpi w14:val="300"/>
  <w15:docId w15:val="{11560999-E8E2-0B4B-86E5-C2F226EA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20"/>
      <w:ind w:firstLine="720"/>
    </w:pPr>
    <w:rPr>
      <w:rFonts w:ascii="Arial" w:eastAsia="Arial" w:hAnsi="Arial" w:cs="Arial"/>
      <w:color w:val="000000"/>
    </w:rPr>
  </w:style>
  <w:style w:type="paragraph" w:styleId="Heading1">
    <w:name w:val="heading 1"/>
    <w:basedOn w:val="Normal"/>
    <w:next w:val="Normal"/>
    <w:link w:val="Heading1Char"/>
    <w:uiPriority w:val="9"/>
    <w:qFormat/>
    <w:rsid w:val="00FC693F"/>
    <w:pPr>
      <w:keepNext/>
      <w:spacing w:before="220" w:after="0"/>
      <w:ind w:firstLine="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spacing w:before="220" w:after="0"/>
      <w:ind w:firstLine="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spacing w:before="220" w:after="0"/>
      <w:ind w:firstLine="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culation">
    <w:name w:val="Calculation"/>
    <w:pPr>
      <w:spacing w:after="220"/>
      <w:ind w:firstLine="720"/>
    </w:pPr>
    <w:rPr>
      <w:rFonts w:ascii="Arial" w:eastAsia="Arial" w:hAnsi="Arial" w:cs="Arial"/>
      <w:color w:val="000000"/>
    </w:rPr>
  </w:style>
  <w:style w:type="paragraph" w:customStyle="1" w:styleId="ActionRequired">
    <w:name w:val="Action Required"/>
    <w:pPr>
      <w:spacing w:after="220"/>
      <w:ind w:firstLine="720"/>
    </w:pPr>
    <w:rPr>
      <w:rFonts w:ascii="Arial" w:eastAsia="Arial" w:hAnsi="Arial" w:cs="Arial"/>
      <w:color w:val="000000"/>
    </w:rPr>
  </w:style>
  <w:style w:type="paragraph" w:customStyle="1" w:styleId="SourceEntry">
    <w:name w:val="Source Entry"/>
    <w:pPr>
      <w:spacing w:after="0"/>
    </w:pPr>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s.usgs.gov/fs/FS-036-98/text/what.html" TargetMode="External"/><Relationship Id="rId13" Type="http://schemas.openxmlformats.org/officeDocument/2006/relationships/hyperlink" Target="https://www.memphisflyer.com/protect-our-aquifer-xai-bought-25m-gallons-of-water-from-mlgw-projects-increases/" TargetMode="External"/><Relationship Id="rId18" Type="http://schemas.openxmlformats.org/officeDocument/2006/relationships/hyperlink" Target="https://azpbs.org/horizon/2022/06/saudi-water-deal-threatening-water-supply-in-phoenix/" TargetMode="External"/><Relationship Id="rId26" Type="http://schemas.openxmlformats.org/officeDocument/2006/relationships/hyperlink" Target="https://www.reuters.com/business/energy/pollution-musks-unpermitted-xai-power-project-hits-hardest-black-communities-2026-07-14/" TargetMode="External"/><Relationship Id="rId3" Type="http://schemas.openxmlformats.org/officeDocument/2006/relationships/styles" Target="styles.xml"/><Relationship Id="rId21" Type="http://schemas.openxmlformats.org/officeDocument/2006/relationships/hyperlink" Target="https://www.pewresearch.org/short-reads/2026/03/12/how-americans-view-data-centers-impact-in-key-areas-from-the-environment-to-jobs/" TargetMode="External"/><Relationship Id="rId7" Type="http://schemas.openxmlformats.org/officeDocument/2006/relationships/endnotes" Target="endnotes.xml"/><Relationship Id="rId12" Type="http://schemas.openxmlformats.org/officeDocument/2006/relationships/hyperlink" Target="https://waterdata.usgs.gov/ca/nwis/water_use?format=html_table&amp;rdb_compression=file&amp;wu_area=State+Total&amp;wu_category=PS&amp;wu_category_nms=Public%2BSupply&amp;wu_year=2015" TargetMode="External"/><Relationship Id="rId17" Type="http://schemas.openxmlformats.org/officeDocument/2006/relationships/hyperlink" Target="https://mapazdashboard.arizona.edu/article/arizonas-water-use-sector" TargetMode="External"/><Relationship Id="rId25" Type="http://schemas.openxmlformats.org/officeDocument/2006/relationships/hyperlink" Target="https://www.energy.gov/articles/doe-releases-new-report-evaluating-increase-electricity-demand-data-centers" TargetMode="External"/><Relationship Id="rId2" Type="http://schemas.openxmlformats.org/officeDocument/2006/relationships/numbering" Target="numbering.xml"/><Relationship Id="rId16" Type="http://schemas.openxmlformats.org/officeDocument/2006/relationships/hyperlink" Target="https://www.azwater.gov/conservation/agriculture" TargetMode="External"/><Relationship Id="rId20" Type="http://schemas.openxmlformats.org/officeDocument/2006/relationships/hyperlink" Target="https://news.gallup.com/poll/709772/americans-oppose-data-centers-area.aspx"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uffpost.com/entry/fracking-california-water_n_6997324" TargetMode="External"/><Relationship Id="rId24" Type="http://schemas.openxmlformats.org/officeDocument/2006/relationships/hyperlink" Target="https://www.mlgw.com/images/content/files/pdf/new/5-5-25%20xAI%20Update.pdf"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pbs.org/newshour/politics/in-drought-stricken-arizona-fresh-scrutiny-of-saudi-arabia-owned-farms-water-use" TargetMode="External"/><Relationship Id="rId23" Type="http://schemas.openxmlformats.org/officeDocument/2006/relationships/hyperlink" Target="https://www.facilities.rochester.edu/utilities/finance.php" TargetMode="External"/><Relationship Id="rId28" Type="http://schemas.openxmlformats.org/officeDocument/2006/relationships/hyperlink" Target="https://www.azag.gov/press-release/attorney-general-mayes-wins-ruling-keep-public-nuisance-lawsuit-against-fondomonte" TargetMode="External"/><Relationship Id="rId10" Type="http://schemas.openxmlformats.org/officeDocument/2006/relationships/hyperlink" Target="https://www.lesswrong.com/s/XsMTxdQ6fprAQMoKi/p/DSzpr8Y9299jdDLc9" TargetMode="External"/><Relationship Id="rId19" Type="http://schemas.openxmlformats.org/officeDocument/2006/relationships/hyperlink" Target="https://azgovernor.gov/node/6252"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usgs.gov/faqs/we-had-a-100-year-flood-two-years-a-row-how-can-be" TargetMode="External"/><Relationship Id="rId14" Type="http://schemas.openxmlformats.org/officeDocument/2006/relationships/hyperlink" Target="https://www.mlgw.com/images/content/files/board_meeting/boardPoct125.pdf" TargetMode="External"/><Relationship Id="rId22" Type="http://schemas.openxmlformats.org/officeDocument/2006/relationships/hyperlink" Target="https://adminfinance.rochester.edu/departments/facilities-operations/" TargetMode="External"/><Relationship Id="rId27" Type="http://schemas.openxmlformats.org/officeDocument/2006/relationships/hyperlink" Target="https://www.azauditor.gov/sites/default/files/2024-02/24-101_Report_0.pdf"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4355</Words>
  <Characters>24829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Econ 238 Week One Assignment</vt:lpstr>
    </vt:vector>
  </TitlesOfParts>
  <Manager/>
  <Company/>
  <LinksUpToDate>false</LinksUpToDate>
  <CharactersWithSpaces>29126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 238 Week One Assignment</dc:title>
  <dc:subject>Week One research questions 1 through 3</dc:subject>
  <dc:creator>Michael Scholz</dc:creator>
  <cp:keywords>Econ 238, floods, water use, data centers, environmental economics</cp:keywords>
  <dc:description>generated by python-docx</dc:description>
  <cp:lastModifiedBy>Scholz, Michael</cp:lastModifiedBy>
  <cp:revision>4</cp:revision>
  <dcterms:created xsi:type="dcterms:W3CDTF">2026-09-06T22:34:00Z</dcterms:created>
  <dcterms:modified xsi:type="dcterms:W3CDTF">2026-09-10T13:50:00Z</dcterms:modified>
  <cp:category/>
</cp:coreProperties>
</file>