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39CADD06" w:rsidR="007F1434" w:rsidRPr="00613D1C" w:rsidRDefault="000236F3" w:rsidP="00613D1C">
      <w:pPr>
        <w:spacing w:line="360" w:lineRule="auto"/>
        <w:rPr>
          <w:rFonts w:cs="Times New Roman"/>
          <w:sz w:val="24"/>
          <w:szCs w:val="24"/>
          <w:lang w:val="en-GB"/>
        </w:rPr>
      </w:pPr>
      <w:r w:rsidRPr="00613D1C">
        <w:rPr>
          <w:rFonts w:cs="Times New Roman"/>
          <w:b/>
          <w:sz w:val="24"/>
          <w:szCs w:val="24"/>
          <w:lang w:val="en-GB"/>
        </w:rPr>
        <w:t xml:space="preserve">Title: </w:t>
      </w:r>
      <w:r w:rsidR="002D181E" w:rsidRPr="002D181E">
        <w:rPr>
          <w:rFonts w:cs="Times New Roman"/>
          <w:sz w:val="24"/>
          <w:szCs w:val="24"/>
          <w:lang w:val="en-GB"/>
        </w:rPr>
        <w:t>The function-dominance correlation drives the direction and strength of biodiversity-ecosystem functioning relationships</w:t>
      </w:r>
    </w:p>
    <w:p w14:paraId="00000002" w14:textId="77777777" w:rsidR="007F1434" w:rsidRPr="00613D1C" w:rsidRDefault="007F1434" w:rsidP="00613D1C">
      <w:pPr>
        <w:spacing w:line="360" w:lineRule="auto"/>
        <w:rPr>
          <w:rFonts w:cs="Times New Roman"/>
          <w:sz w:val="24"/>
          <w:szCs w:val="24"/>
          <w:lang w:val="en-GB"/>
        </w:rPr>
      </w:pPr>
    </w:p>
    <w:p w14:paraId="00000003" w14:textId="60DBEAA9" w:rsidR="007F1434" w:rsidRPr="00613D1C" w:rsidRDefault="000236F3" w:rsidP="00613D1C">
      <w:pPr>
        <w:spacing w:line="360" w:lineRule="auto"/>
        <w:rPr>
          <w:rFonts w:cs="Times New Roman"/>
          <w:sz w:val="24"/>
          <w:szCs w:val="24"/>
          <w:lang w:val="en-GB"/>
        </w:rPr>
      </w:pPr>
      <w:r w:rsidRPr="00613D1C">
        <w:rPr>
          <w:rFonts w:cs="Times New Roman"/>
          <w:b/>
          <w:sz w:val="24"/>
          <w:szCs w:val="24"/>
          <w:lang w:val="en-GB"/>
        </w:rPr>
        <w:t xml:space="preserve">Running title: </w:t>
      </w:r>
      <w:r w:rsidR="002D181E">
        <w:rPr>
          <w:rFonts w:cs="Times New Roman"/>
          <w:sz w:val="24"/>
          <w:szCs w:val="24"/>
          <w:lang w:val="en-GB"/>
        </w:rPr>
        <w:t>F</w:t>
      </w:r>
      <w:r w:rsidR="002D181E" w:rsidRPr="002D181E">
        <w:rPr>
          <w:rFonts w:cs="Times New Roman"/>
          <w:sz w:val="24"/>
          <w:szCs w:val="24"/>
          <w:lang w:val="en-GB"/>
        </w:rPr>
        <w:t xml:space="preserve">unction-dominance correlation </w:t>
      </w:r>
      <w:r w:rsidRPr="00613D1C">
        <w:rPr>
          <w:rFonts w:cs="Times New Roman"/>
          <w:sz w:val="24"/>
          <w:szCs w:val="24"/>
          <w:lang w:val="en-GB"/>
        </w:rPr>
        <w:t>drives BEF</w:t>
      </w:r>
    </w:p>
    <w:p w14:paraId="00000004" w14:textId="77777777" w:rsidR="007F1434" w:rsidRPr="00613D1C" w:rsidRDefault="007F1434" w:rsidP="00613D1C">
      <w:pPr>
        <w:spacing w:line="360" w:lineRule="auto"/>
        <w:rPr>
          <w:rFonts w:cs="Times New Roman"/>
          <w:b/>
          <w:sz w:val="24"/>
          <w:szCs w:val="24"/>
          <w:lang w:val="en-GB"/>
        </w:rPr>
      </w:pPr>
    </w:p>
    <w:p w14:paraId="00000005" w14:textId="723FE0B1" w:rsidR="007F1434" w:rsidRPr="00613D1C" w:rsidRDefault="000236F3" w:rsidP="00613D1C">
      <w:pPr>
        <w:spacing w:line="360" w:lineRule="auto"/>
        <w:rPr>
          <w:rFonts w:cs="Times New Roman"/>
          <w:i/>
          <w:sz w:val="24"/>
          <w:szCs w:val="24"/>
          <w:vertAlign w:val="superscript"/>
          <w:lang w:val="en-GB"/>
        </w:rPr>
      </w:pPr>
      <w:r w:rsidRPr="00613D1C">
        <w:rPr>
          <w:rFonts w:cs="Times New Roman"/>
          <w:b/>
          <w:sz w:val="24"/>
          <w:szCs w:val="24"/>
          <w:lang w:val="en-GB"/>
        </w:rPr>
        <w:t>Authors:</w:t>
      </w:r>
      <w:r w:rsidRPr="00613D1C">
        <w:rPr>
          <w:rFonts w:cs="Times New Roman"/>
          <w:sz w:val="24"/>
          <w:szCs w:val="24"/>
          <w:lang w:val="en-GB"/>
        </w:rPr>
        <w:t xml:space="preserve"> Michael S. Crawford</w:t>
      </w:r>
      <w:r w:rsidRPr="00613D1C">
        <w:rPr>
          <w:rFonts w:cs="Times New Roman"/>
          <w:i/>
          <w:sz w:val="24"/>
          <w:szCs w:val="24"/>
          <w:vertAlign w:val="superscript"/>
          <w:lang w:val="en-GB"/>
        </w:rPr>
        <w:t>1,2,</w:t>
      </w:r>
      <w:proofErr w:type="gramStart"/>
      <w:r w:rsidRPr="00613D1C">
        <w:rPr>
          <w:rFonts w:cs="Times New Roman"/>
          <w:i/>
          <w:sz w:val="24"/>
          <w:szCs w:val="24"/>
          <w:vertAlign w:val="superscript"/>
          <w:lang w:val="en-GB"/>
        </w:rPr>
        <w:t>3,§</w:t>
      </w:r>
      <w:proofErr w:type="gramEnd"/>
      <w:r w:rsidRPr="00613D1C">
        <w:rPr>
          <w:rFonts w:cs="Times New Roman"/>
          <w:i/>
          <w:sz w:val="24"/>
          <w:szCs w:val="24"/>
          <w:vertAlign w:val="superscript"/>
          <w:lang w:val="en-GB"/>
        </w:rPr>
        <w:t>,*</w:t>
      </w:r>
      <w:r w:rsidRPr="00613D1C">
        <w:rPr>
          <w:rFonts w:cs="Times New Roman"/>
          <w:sz w:val="24"/>
          <w:szCs w:val="24"/>
          <w:lang w:val="en-GB"/>
        </w:rPr>
        <w:t>, Kathryn E. Barry</w:t>
      </w:r>
      <w:r w:rsidRPr="00613D1C">
        <w:rPr>
          <w:rFonts w:cs="Times New Roman"/>
          <w:i/>
          <w:sz w:val="24"/>
          <w:szCs w:val="24"/>
          <w:vertAlign w:val="superscript"/>
          <w:lang w:val="en-GB"/>
        </w:rPr>
        <w:t>1,2,§</w:t>
      </w:r>
      <w:r w:rsidRPr="00613D1C">
        <w:rPr>
          <w:rFonts w:cs="Times New Roman"/>
          <w:sz w:val="24"/>
          <w:szCs w:val="24"/>
          <w:lang w:val="en-GB"/>
        </w:rPr>
        <w:t>, Adam T. Clark</w:t>
      </w:r>
      <w:r w:rsidRPr="00613D1C">
        <w:rPr>
          <w:rFonts w:cs="Times New Roman"/>
          <w:i/>
          <w:sz w:val="24"/>
          <w:szCs w:val="24"/>
          <w:vertAlign w:val="superscript"/>
          <w:lang w:val="en-GB"/>
        </w:rPr>
        <w:t>1,4,5</w:t>
      </w:r>
      <w:r w:rsidRPr="00613D1C">
        <w:rPr>
          <w:rFonts w:cs="Times New Roman"/>
          <w:sz w:val="24"/>
          <w:szCs w:val="24"/>
          <w:lang w:val="en-GB"/>
        </w:rPr>
        <w:t>, Caroline E. Farrior</w:t>
      </w:r>
      <w:r w:rsidRPr="00613D1C">
        <w:rPr>
          <w:rFonts w:cs="Times New Roman"/>
          <w:i/>
          <w:sz w:val="24"/>
          <w:szCs w:val="24"/>
          <w:vertAlign w:val="superscript"/>
          <w:lang w:val="en-GB"/>
        </w:rPr>
        <w:t>6</w:t>
      </w:r>
      <w:r w:rsidRPr="00613D1C">
        <w:rPr>
          <w:rFonts w:cs="Times New Roman"/>
          <w:sz w:val="24"/>
          <w:szCs w:val="24"/>
          <w:lang w:val="en-GB"/>
        </w:rPr>
        <w:t xml:space="preserve">, </w:t>
      </w:r>
      <w:proofErr w:type="spellStart"/>
      <w:r w:rsidRPr="00613D1C">
        <w:rPr>
          <w:rFonts w:cs="Times New Roman"/>
          <w:sz w:val="24"/>
          <w:szCs w:val="24"/>
          <w:lang w:val="en-GB"/>
        </w:rPr>
        <w:t>Jes</w:t>
      </w:r>
      <w:proofErr w:type="spellEnd"/>
      <w:r w:rsidRPr="00613D1C">
        <w:rPr>
          <w:rFonts w:cs="Times New Roman"/>
          <w:sz w:val="24"/>
          <w:szCs w:val="24"/>
          <w:lang w:val="en-GB"/>
        </w:rPr>
        <w:t xml:space="preserve"> Hines</w:t>
      </w:r>
      <w:r w:rsidRPr="00613D1C">
        <w:rPr>
          <w:rFonts w:cs="Times New Roman"/>
          <w:i/>
          <w:sz w:val="24"/>
          <w:szCs w:val="24"/>
          <w:vertAlign w:val="superscript"/>
          <w:lang w:val="en-GB"/>
        </w:rPr>
        <w:t>1,</w:t>
      </w:r>
      <w:r w:rsidR="00E347D9">
        <w:rPr>
          <w:rFonts w:cs="Times New Roman"/>
          <w:i/>
          <w:sz w:val="24"/>
          <w:szCs w:val="24"/>
          <w:vertAlign w:val="superscript"/>
          <w:lang w:val="en-GB"/>
        </w:rPr>
        <w:t>2</w:t>
      </w:r>
      <w:r w:rsidRPr="00613D1C">
        <w:rPr>
          <w:rFonts w:cs="Times New Roman"/>
          <w:sz w:val="24"/>
          <w:szCs w:val="24"/>
          <w:lang w:val="en-GB"/>
        </w:rPr>
        <w:t>, Emma Ladouceur</w:t>
      </w:r>
      <w:r w:rsidRPr="00613D1C">
        <w:rPr>
          <w:rFonts w:cs="Times New Roman"/>
          <w:i/>
          <w:sz w:val="24"/>
          <w:szCs w:val="24"/>
          <w:vertAlign w:val="superscript"/>
          <w:lang w:val="en-GB"/>
        </w:rPr>
        <w:t>1,4,</w:t>
      </w:r>
      <w:r w:rsidR="00E347D9">
        <w:rPr>
          <w:rFonts w:cs="Times New Roman"/>
          <w:i/>
          <w:sz w:val="24"/>
          <w:szCs w:val="24"/>
          <w:vertAlign w:val="superscript"/>
          <w:lang w:val="en-GB"/>
        </w:rPr>
        <w:t>7</w:t>
      </w:r>
      <w:r w:rsidRPr="00613D1C">
        <w:rPr>
          <w:rFonts w:cs="Times New Roman"/>
          <w:sz w:val="24"/>
          <w:szCs w:val="24"/>
          <w:lang w:val="en-GB"/>
        </w:rPr>
        <w:t>, Jeremy W. Lichstein</w:t>
      </w:r>
      <w:r w:rsidR="00E347D9">
        <w:rPr>
          <w:rFonts w:cs="Times New Roman"/>
          <w:i/>
          <w:sz w:val="24"/>
          <w:szCs w:val="24"/>
          <w:vertAlign w:val="superscript"/>
          <w:lang w:val="en-GB"/>
        </w:rPr>
        <w:t>8</w:t>
      </w:r>
      <w:r w:rsidRPr="00613D1C">
        <w:rPr>
          <w:rFonts w:cs="Times New Roman"/>
          <w:sz w:val="24"/>
          <w:szCs w:val="24"/>
          <w:lang w:val="en-GB"/>
        </w:rPr>
        <w:t>, Isabelle Maréchaux</w:t>
      </w:r>
      <w:r w:rsidR="00E347D9">
        <w:rPr>
          <w:rFonts w:cs="Times New Roman"/>
          <w:i/>
          <w:sz w:val="24"/>
          <w:szCs w:val="24"/>
          <w:vertAlign w:val="superscript"/>
          <w:lang w:val="en-GB"/>
        </w:rPr>
        <w:t>9</w:t>
      </w:r>
      <w:r w:rsidRPr="00613D1C">
        <w:rPr>
          <w:rFonts w:cs="Times New Roman"/>
          <w:i/>
          <w:sz w:val="24"/>
          <w:szCs w:val="24"/>
          <w:vertAlign w:val="superscript"/>
          <w:lang w:val="en-GB"/>
        </w:rPr>
        <w:t>,1</w:t>
      </w:r>
      <w:r w:rsidR="00E347D9">
        <w:rPr>
          <w:rFonts w:cs="Times New Roman"/>
          <w:i/>
          <w:sz w:val="24"/>
          <w:szCs w:val="24"/>
          <w:vertAlign w:val="superscript"/>
          <w:lang w:val="en-GB"/>
        </w:rPr>
        <w:t>0</w:t>
      </w:r>
      <w:r w:rsidRPr="00613D1C">
        <w:rPr>
          <w:rFonts w:cs="Times New Roman"/>
          <w:sz w:val="24"/>
          <w:szCs w:val="24"/>
          <w:lang w:val="en-GB"/>
        </w:rPr>
        <w:t>, Felix May</w:t>
      </w:r>
      <w:r w:rsidRPr="00613D1C">
        <w:rPr>
          <w:rFonts w:cs="Times New Roman"/>
          <w:i/>
          <w:sz w:val="24"/>
          <w:szCs w:val="24"/>
          <w:vertAlign w:val="superscript"/>
          <w:lang w:val="en-GB"/>
        </w:rPr>
        <w:t>1</w:t>
      </w:r>
      <w:r w:rsidR="00E347D9">
        <w:rPr>
          <w:rFonts w:cs="Times New Roman"/>
          <w:i/>
          <w:sz w:val="24"/>
          <w:szCs w:val="24"/>
          <w:vertAlign w:val="superscript"/>
          <w:lang w:val="en-GB"/>
        </w:rPr>
        <w:t>1</w:t>
      </w:r>
      <w:r w:rsidRPr="00613D1C">
        <w:rPr>
          <w:rFonts w:cs="Times New Roman"/>
          <w:sz w:val="24"/>
          <w:szCs w:val="24"/>
          <w:lang w:val="en-GB"/>
        </w:rPr>
        <w:t>, Akira S. Mori</w:t>
      </w:r>
      <w:r w:rsidRPr="00613D1C">
        <w:rPr>
          <w:rFonts w:cs="Times New Roman"/>
          <w:i/>
          <w:sz w:val="24"/>
          <w:szCs w:val="24"/>
          <w:vertAlign w:val="superscript"/>
          <w:lang w:val="en-GB"/>
        </w:rPr>
        <w:t>1</w:t>
      </w:r>
      <w:r w:rsidR="00E347D9">
        <w:rPr>
          <w:rFonts w:cs="Times New Roman"/>
          <w:i/>
          <w:sz w:val="24"/>
          <w:szCs w:val="24"/>
          <w:vertAlign w:val="superscript"/>
          <w:lang w:val="en-GB"/>
        </w:rPr>
        <w:t>2</w:t>
      </w:r>
      <w:r w:rsidRPr="00613D1C">
        <w:rPr>
          <w:rFonts w:cs="Times New Roman"/>
          <w:sz w:val="24"/>
          <w:szCs w:val="24"/>
          <w:lang w:val="en-GB"/>
        </w:rPr>
        <w:t>, Björn Reineking</w:t>
      </w:r>
      <w:r w:rsidRPr="00613D1C">
        <w:rPr>
          <w:rFonts w:cs="Times New Roman"/>
          <w:i/>
          <w:sz w:val="24"/>
          <w:szCs w:val="24"/>
          <w:vertAlign w:val="superscript"/>
          <w:lang w:val="en-GB"/>
        </w:rPr>
        <w:t>1</w:t>
      </w:r>
      <w:r w:rsidR="00E347D9">
        <w:rPr>
          <w:rFonts w:cs="Times New Roman"/>
          <w:i/>
          <w:sz w:val="24"/>
          <w:szCs w:val="24"/>
          <w:vertAlign w:val="superscript"/>
          <w:lang w:val="en-GB"/>
        </w:rPr>
        <w:t>3</w:t>
      </w:r>
      <w:r w:rsidRPr="00613D1C">
        <w:rPr>
          <w:rFonts w:cs="Times New Roman"/>
          <w:sz w:val="24"/>
          <w:szCs w:val="24"/>
          <w:lang w:val="en-GB"/>
        </w:rPr>
        <w:t>, Lindsay A. Turnbull</w:t>
      </w:r>
      <w:r w:rsidRPr="00613D1C">
        <w:rPr>
          <w:rFonts w:cs="Times New Roman"/>
          <w:i/>
          <w:sz w:val="24"/>
          <w:szCs w:val="24"/>
          <w:vertAlign w:val="superscript"/>
          <w:lang w:val="en-GB"/>
        </w:rPr>
        <w:t>1</w:t>
      </w:r>
      <w:r w:rsidR="00E347D9">
        <w:rPr>
          <w:rFonts w:cs="Times New Roman"/>
          <w:i/>
          <w:sz w:val="24"/>
          <w:szCs w:val="24"/>
          <w:vertAlign w:val="superscript"/>
          <w:lang w:val="en-GB"/>
        </w:rPr>
        <w:t>4</w:t>
      </w:r>
      <w:r w:rsidRPr="00613D1C">
        <w:rPr>
          <w:rFonts w:cs="Times New Roman"/>
          <w:sz w:val="24"/>
          <w:szCs w:val="24"/>
          <w:lang w:val="en-GB"/>
        </w:rPr>
        <w:t>, Christian Wirth</w:t>
      </w:r>
      <w:r w:rsidRPr="00613D1C">
        <w:rPr>
          <w:rFonts w:cs="Times New Roman"/>
          <w:i/>
          <w:sz w:val="24"/>
          <w:szCs w:val="24"/>
          <w:vertAlign w:val="superscript"/>
          <w:lang w:val="en-GB"/>
        </w:rPr>
        <w:t>1,2,1</w:t>
      </w:r>
      <w:r w:rsidR="00E347D9">
        <w:rPr>
          <w:rFonts w:cs="Times New Roman"/>
          <w:i/>
          <w:sz w:val="24"/>
          <w:szCs w:val="24"/>
          <w:vertAlign w:val="superscript"/>
          <w:lang w:val="en-GB"/>
        </w:rPr>
        <w:t>5</w:t>
      </w:r>
      <w:r w:rsidRPr="00613D1C">
        <w:rPr>
          <w:rFonts w:cs="Times New Roman"/>
          <w:sz w:val="24"/>
          <w:szCs w:val="24"/>
          <w:lang w:val="en-GB"/>
        </w:rPr>
        <w:t xml:space="preserve"> &amp; Nadja Rüger</w:t>
      </w:r>
      <w:r w:rsidRPr="00613D1C">
        <w:rPr>
          <w:rFonts w:cs="Times New Roman"/>
          <w:i/>
          <w:sz w:val="24"/>
          <w:szCs w:val="24"/>
          <w:vertAlign w:val="superscript"/>
          <w:lang w:val="en-GB"/>
        </w:rPr>
        <w:t>1,1</w:t>
      </w:r>
      <w:r w:rsidR="00E347D9">
        <w:rPr>
          <w:rFonts w:cs="Times New Roman"/>
          <w:i/>
          <w:sz w:val="24"/>
          <w:szCs w:val="24"/>
          <w:vertAlign w:val="superscript"/>
          <w:lang w:val="en-GB"/>
        </w:rPr>
        <w:t>6</w:t>
      </w:r>
      <w:r w:rsidRPr="00613D1C">
        <w:rPr>
          <w:rFonts w:cs="Times New Roman"/>
          <w:i/>
          <w:sz w:val="24"/>
          <w:szCs w:val="24"/>
          <w:vertAlign w:val="superscript"/>
          <w:lang w:val="en-GB"/>
        </w:rPr>
        <w:t>,1</w:t>
      </w:r>
      <w:r w:rsidR="00E347D9">
        <w:rPr>
          <w:rFonts w:cs="Times New Roman"/>
          <w:i/>
          <w:sz w:val="24"/>
          <w:szCs w:val="24"/>
          <w:vertAlign w:val="superscript"/>
          <w:lang w:val="en-GB"/>
        </w:rPr>
        <w:t>7</w:t>
      </w:r>
    </w:p>
    <w:p w14:paraId="00000006" w14:textId="77777777" w:rsidR="007F1434" w:rsidRPr="00613D1C" w:rsidRDefault="007F1434" w:rsidP="00613D1C">
      <w:pPr>
        <w:spacing w:line="360" w:lineRule="auto"/>
        <w:rPr>
          <w:rFonts w:cs="Times New Roman"/>
          <w:sz w:val="24"/>
          <w:szCs w:val="24"/>
          <w:lang w:val="en-GB"/>
        </w:rPr>
      </w:pPr>
    </w:p>
    <w:p w14:paraId="00000007" w14:textId="77777777" w:rsidR="007F1434" w:rsidRPr="00613D1C" w:rsidRDefault="000236F3" w:rsidP="00613D1C">
      <w:pPr>
        <w:spacing w:line="360" w:lineRule="auto"/>
        <w:rPr>
          <w:rFonts w:cs="Times New Roman"/>
          <w:b/>
          <w:sz w:val="24"/>
          <w:szCs w:val="24"/>
          <w:lang w:val="en-GB"/>
        </w:rPr>
      </w:pPr>
      <w:r w:rsidRPr="00613D1C">
        <w:rPr>
          <w:rFonts w:cs="Times New Roman"/>
          <w:b/>
          <w:sz w:val="24"/>
          <w:szCs w:val="24"/>
          <w:lang w:val="en-GB"/>
        </w:rPr>
        <w:t>Affiliations:</w:t>
      </w:r>
    </w:p>
    <w:p w14:paraId="00000008" w14:textId="77777777" w:rsidR="007F1434" w:rsidRPr="00613D1C" w:rsidRDefault="000236F3" w:rsidP="008437E4">
      <w:pPr>
        <w:spacing w:line="360" w:lineRule="auto"/>
        <w:ind w:left="180" w:hanging="180"/>
        <w:rPr>
          <w:rFonts w:cs="Times New Roman"/>
          <w:i/>
          <w:sz w:val="24"/>
          <w:szCs w:val="24"/>
          <w:lang w:val="en-GB"/>
        </w:rPr>
      </w:pPr>
      <w:r w:rsidRPr="00613D1C">
        <w:rPr>
          <w:rFonts w:cs="Times New Roman"/>
          <w:i/>
          <w:sz w:val="24"/>
          <w:szCs w:val="24"/>
          <w:lang w:val="en-GB"/>
        </w:rPr>
        <w:t>1 German Centre for Integrative Biodiversity Research (</w:t>
      </w:r>
      <w:proofErr w:type="spellStart"/>
      <w:r w:rsidRPr="00613D1C">
        <w:rPr>
          <w:rFonts w:cs="Times New Roman"/>
          <w:i/>
          <w:sz w:val="24"/>
          <w:szCs w:val="24"/>
          <w:lang w:val="en-GB"/>
        </w:rPr>
        <w:t>iDiv</w:t>
      </w:r>
      <w:proofErr w:type="spellEnd"/>
      <w:r w:rsidRPr="00613D1C">
        <w:rPr>
          <w:rFonts w:cs="Times New Roman"/>
          <w:i/>
          <w:sz w:val="24"/>
          <w:szCs w:val="24"/>
          <w:lang w:val="en-GB"/>
        </w:rPr>
        <w:t xml:space="preserve">) Halle-Jena-Leipzig, </w:t>
      </w:r>
      <w:proofErr w:type="spellStart"/>
      <w:r w:rsidRPr="00613D1C">
        <w:rPr>
          <w:rFonts w:cs="Times New Roman"/>
          <w:i/>
          <w:sz w:val="24"/>
          <w:szCs w:val="24"/>
          <w:lang w:val="en-GB"/>
        </w:rPr>
        <w:t>Puschstr</w:t>
      </w:r>
      <w:proofErr w:type="spellEnd"/>
      <w:r w:rsidRPr="00613D1C">
        <w:rPr>
          <w:rFonts w:cs="Times New Roman"/>
          <w:i/>
          <w:sz w:val="24"/>
          <w:szCs w:val="24"/>
          <w:lang w:val="en-GB"/>
        </w:rPr>
        <w:t>. 4, 04103 Leipzig, Germany</w:t>
      </w:r>
    </w:p>
    <w:p w14:paraId="00000009" w14:textId="77777777" w:rsidR="007F1434" w:rsidRPr="00613D1C" w:rsidRDefault="000236F3" w:rsidP="008437E4">
      <w:pPr>
        <w:spacing w:line="360" w:lineRule="auto"/>
        <w:ind w:left="180" w:hanging="180"/>
        <w:rPr>
          <w:rFonts w:cs="Times New Roman"/>
          <w:i/>
          <w:sz w:val="24"/>
          <w:szCs w:val="24"/>
          <w:lang w:val="en-GB"/>
        </w:rPr>
      </w:pPr>
      <w:r w:rsidRPr="00613D1C">
        <w:rPr>
          <w:rFonts w:cs="Times New Roman"/>
          <w:i/>
          <w:sz w:val="24"/>
          <w:szCs w:val="24"/>
          <w:lang w:val="en-GB"/>
        </w:rPr>
        <w:t>2 Institute of Biology</w:t>
      </w:r>
      <w:bookmarkStart w:id="0" w:name="OLE_LINK1"/>
      <w:bookmarkStart w:id="1" w:name="OLE_LINK2"/>
      <w:r w:rsidRPr="00613D1C">
        <w:rPr>
          <w:rFonts w:cs="Times New Roman"/>
          <w:i/>
          <w:sz w:val="24"/>
          <w:szCs w:val="24"/>
          <w:lang w:val="en-GB"/>
        </w:rPr>
        <w:t>, University of Leipzig</w:t>
      </w:r>
      <w:bookmarkEnd w:id="0"/>
      <w:bookmarkEnd w:id="1"/>
      <w:r w:rsidRPr="00613D1C">
        <w:rPr>
          <w:rFonts w:cs="Times New Roman"/>
          <w:i/>
          <w:sz w:val="24"/>
          <w:szCs w:val="24"/>
          <w:lang w:val="en-GB"/>
        </w:rPr>
        <w:t xml:space="preserve">, </w:t>
      </w:r>
      <w:proofErr w:type="spellStart"/>
      <w:r w:rsidRPr="00613D1C">
        <w:rPr>
          <w:rFonts w:cs="Times New Roman"/>
          <w:i/>
          <w:sz w:val="24"/>
          <w:szCs w:val="24"/>
          <w:lang w:val="en-GB"/>
        </w:rPr>
        <w:t>Johannisallee</w:t>
      </w:r>
      <w:proofErr w:type="spellEnd"/>
      <w:r w:rsidRPr="00613D1C">
        <w:rPr>
          <w:rFonts w:cs="Times New Roman"/>
          <w:i/>
          <w:sz w:val="24"/>
          <w:szCs w:val="24"/>
          <w:lang w:val="en-GB"/>
        </w:rPr>
        <w:t xml:space="preserve"> 21-23, 04103 Leipzig, Germany </w:t>
      </w:r>
    </w:p>
    <w:p w14:paraId="0000000A" w14:textId="77777777" w:rsidR="007F1434" w:rsidRPr="00613D1C" w:rsidRDefault="000236F3" w:rsidP="008437E4">
      <w:pPr>
        <w:spacing w:line="360" w:lineRule="auto"/>
        <w:ind w:left="180" w:hanging="180"/>
        <w:rPr>
          <w:rFonts w:cs="Times New Roman"/>
          <w:i/>
          <w:sz w:val="24"/>
          <w:szCs w:val="24"/>
          <w:lang w:val="en-GB"/>
        </w:rPr>
      </w:pPr>
      <w:r w:rsidRPr="00613D1C">
        <w:rPr>
          <w:rFonts w:cs="Times New Roman"/>
          <w:i/>
          <w:sz w:val="24"/>
          <w:szCs w:val="24"/>
          <w:lang w:val="en-GB"/>
        </w:rPr>
        <w:t xml:space="preserve">3 Potsdam Institute for Climate Impact Research (PIK), </w:t>
      </w:r>
      <w:proofErr w:type="spellStart"/>
      <w:r w:rsidRPr="00613D1C">
        <w:rPr>
          <w:rFonts w:cs="Times New Roman"/>
          <w:i/>
          <w:sz w:val="24"/>
          <w:szCs w:val="24"/>
          <w:lang w:val="en-GB"/>
        </w:rPr>
        <w:t>Telegrafenberg</w:t>
      </w:r>
      <w:proofErr w:type="spellEnd"/>
      <w:r w:rsidRPr="00613D1C">
        <w:rPr>
          <w:rFonts w:cs="Times New Roman"/>
          <w:i/>
          <w:sz w:val="24"/>
          <w:szCs w:val="24"/>
          <w:lang w:val="en-GB"/>
        </w:rPr>
        <w:t>, 14473 Potsdam, Germany</w:t>
      </w:r>
    </w:p>
    <w:p w14:paraId="0000000B" w14:textId="77777777" w:rsidR="007F1434" w:rsidRPr="00613D1C" w:rsidRDefault="000236F3" w:rsidP="008437E4">
      <w:pPr>
        <w:spacing w:line="360" w:lineRule="auto"/>
        <w:ind w:left="180" w:hanging="180"/>
        <w:rPr>
          <w:rFonts w:cs="Times New Roman"/>
          <w:i/>
          <w:sz w:val="24"/>
          <w:szCs w:val="24"/>
          <w:lang w:val="en-GB"/>
        </w:rPr>
      </w:pPr>
      <w:r w:rsidRPr="00613D1C">
        <w:rPr>
          <w:rFonts w:cs="Times New Roman"/>
          <w:i/>
          <w:sz w:val="24"/>
          <w:szCs w:val="24"/>
          <w:lang w:val="en-GB"/>
        </w:rPr>
        <w:t xml:space="preserve">4 Department of Physiological Diversity, Helmholtz Centre for Environmental Research (UFZ), </w:t>
      </w:r>
      <w:proofErr w:type="spellStart"/>
      <w:r w:rsidRPr="00613D1C">
        <w:rPr>
          <w:rFonts w:cs="Times New Roman"/>
          <w:i/>
          <w:sz w:val="24"/>
          <w:szCs w:val="24"/>
          <w:lang w:val="en-GB"/>
        </w:rPr>
        <w:t>Permoserstraße</w:t>
      </w:r>
      <w:proofErr w:type="spellEnd"/>
      <w:r w:rsidRPr="00613D1C">
        <w:rPr>
          <w:rFonts w:cs="Times New Roman"/>
          <w:i/>
          <w:sz w:val="24"/>
          <w:szCs w:val="24"/>
          <w:lang w:val="en-GB"/>
        </w:rPr>
        <w:t xml:space="preserve"> 15, 04318 Leipzig, Germany</w:t>
      </w:r>
    </w:p>
    <w:p w14:paraId="0000000C" w14:textId="392BD415" w:rsidR="007F1434" w:rsidRPr="00613D1C" w:rsidRDefault="000236F3" w:rsidP="008437E4">
      <w:pPr>
        <w:spacing w:line="360" w:lineRule="auto"/>
        <w:ind w:left="180" w:hanging="180"/>
        <w:rPr>
          <w:rFonts w:cs="Times New Roman"/>
          <w:i/>
          <w:sz w:val="24"/>
          <w:szCs w:val="24"/>
          <w:lang w:val="en-GB"/>
        </w:rPr>
      </w:pPr>
      <w:r w:rsidRPr="00613D1C">
        <w:rPr>
          <w:rFonts w:cs="Times New Roman"/>
          <w:i/>
          <w:sz w:val="24"/>
          <w:szCs w:val="24"/>
          <w:lang w:val="en-GB"/>
        </w:rPr>
        <w:t xml:space="preserve">5 Institute of Biology, University of Graz, </w:t>
      </w:r>
      <w:proofErr w:type="spellStart"/>
      <w:r w:rsidRPr="00613D1C">
        <w:rPr>
          <w:rFonts w:cs="Times New Roman"/>
          <w:i/>
          <w:sz w:val="24"/>
          <w:szCs w:val="24"/>
          <w:lang w:val="en-GB"/>
        </w:rPr>
        <w:t>Holteigasse</w:t>
      </w:r>
      <w:proofErr w:type="spellEnd"/>
      <w:r w:rsidRPr="00613D1C">
        <w:rPr>
          <w:rFonts w:cs="Times New Roman"/>
          <w:i/>
          <w:sz w:val="24"/>
          <w:szCs w:val="24"/>
          <w:lang w:val="en-GB"/>
        </w:rPr>
        <w:t xml:space="preserve"> 6, 8010 Graz, Austria</w:t>
      </w:r>
    </w:p>
    <w:p w14:paraId="0000000E" w14:textId="5FE7A791" w:rsidR="007F1434" w:rsidRPr="00613D1C" w:rsidRDefault="000236F3" w:rsidP="00E347D9">
      <w:pPr>
        <w:spacing w:line="360" w:lineRule="auto"/>
        <w:ind w:left="180" w:hanging="180"/>
        <w:rPr>
          <w:rFonts w:cs="Times New Roman"/>
          <w:i/>
          <w:sz w:val="24"/>
          <w:szCs w:val="24"/>
          <w:lang w:val="en-GB"/>
        </w:rPr>
      </w:pPr>
      <w:r w:rsidRPr="00613D1C">
        <w:rPr>
          <w:rFonts w:cs="Times New Roman"/>
          <w:i/>
          <w:sz w:val="24"/>
          <w:szCs w:val="24"/>
          <w:lang w:val="en-GB"/>
        </w:rPr>
        <w:t>6 Department of Integrative Biology, University of Texas at Austin, 2415 Speedway Austin, TX 78705, USA</w:t>
      </w:r>
    </w:p>
    <w:p w14:paraId="0000000F" w14:textId="18811A34" w:rsidR="007F1434" w:rsidRPr="00613D1C" w:rsidRDefault="00E347D9" w:rsidP="008437E4">
      <w:pPr>
        <w:spacing w:line="360" w:lineRule="auto"/>
        <w:ind w:left="180" w:hanging="180"/>
        <w:rPr>
          <w:rFonts w:cs="Times New Roman"/>
          <w:i/>
          <w:sz w:val="24"/>
          <w:szCs w:val="24"/>
          <w:lang w:val="en-GB"/>
        </w:rPr>
      </w:pPr>
      <w:r>
        <w:rPr>
          <w:rFonts w:cs="Times New Roman"/>
          <w:i/>
          <w:sz w:val="24"/>
          <w:szCs w:val="24"/>
          <w:lang w:val="en-GB"/>
        </w:rPr>
        <w:t>7</w:t>
      </w:r>
      <w:r w:rsidR="000236F3" w:rsidRPr="00613D1C">
        <w:rPr>
          <w:rFonts w:cs="Times New Roman"/>
          <w:i/>
          <w:sz w:val="24"/>
          <w:szCs w:val="24"/>
          <w:lang w:val="en-GB"/>
        </w:rPr>
        <w:t xml:space="preserve"> Biodiversity Synthesis, Institute of Computer Science, Martin Luther University Halle-Wittenberg, 06120 Halle (Saale), Germany</w:t>
      </w:r>
    </w:p>
    <w:p w14:paraId="00000010" w14:textId="5714C836" w:rsidR="007F1434" w:rsidRPr="00613D1C" w:rsidRDefault="00E347D9" w:rsidP="008437E4">
      <w:pPr>
        <w:spacing w:line="360" w:lineRule="auto"/>
        <w:ind w:left="180" w:hanging="180"/>
        <w:rPr>
          <w:rFonts w:cs="Times New Roman"/>
          <w:i/>
          <w:color w:val="222222"/>
          <w:sz w:val="24"/>
          <w:szCs w:val="24"/>
          <w:highlight w:val="white"/>
          <w:lang w:val="en-GB"/>
        </w:rPr>
      </w:pPr>
      <w:r>
        <w:rPr>
          <w:rFonts w:cs="Times New Roman"/>
          <w:i/>
          <w:sz w:val="24"/>
          <w:szCs w:val="24"/>
          <w:lang w:val="en-GB"/>
        </w:rPr>
        <w:t>8</w:t>
      </w:r>
      <w:r w:rsidR="000236F3" w:rsidRPr="00613D1C">
        <w:rPr>
          <w:rFonts w:cs="Times New Roman"/>
          <w:i/>
          <w:sz w:val="24"/>
          <w:szCs w:val="24"/>
          <w:lang w:val="en-GB"/>
        </w:rPr>
        <w:t xml:space="preserve"> </w:t>
      </w:r>
      <w:r w:rsidR="000236F3" w:rsidRPr="00613D1C">
        <w:rPr>
          <w:rFonts w:cs="Times New Roman"/>
          <w:i/>
          <w:color w:val="222222"/>
          <w:sz w:val="24"/>
          <w:szCs w:val="24"/>
          <w:highlight w:val="white"/>
          <w:lang w:val="en-GB"/>
        </w:rPr>
        <w:t>Department of Biology, University of Florida, P.O. Box 118525, Gainesville, FL 32611, USA</w:t>
      </w:r>
    </w:p>
    <w:p w14:paraId="00000011" w14:textId="5AB08CD4" w:rsidR="007F1434" w:rsidRPr="00613D1C" w:rsidRDefault="00E347D9" w:rsidP="008437E4">
      <w:pPr>
        <w:spacing w:line="360" w:lineRule="auto"/>
        <w:ind w:left="180" w:hanging="180"/>
        <w:rPr>
          <w:rFonts w:cs="Times New Roman"/>
          <w:i/>
          <w:sz w:val="24"/>
          <w:szCs w:val="24"/>
          <w:lang w:val="en-GB"/>
        </w:rPr>
      </w:pPr>
      <w:r>
        <w:rPr>
          <w:rFonts w:cs="Times New Roman"/>
          <w:i/>
          <w:sz w:val="24"/>
          <w:szCs w:val="24"/>
          <w:lang w:val="en-GB"/>
        </w:rPr>
        <w:t>9</w:t>
      </w:r>
      <w:r w:rsidR="000236F3" w:rsidRPr="00613D1C">
        <w:rPr>
          <w:rFonts w:cs="Times New Roman"/>
          <w:i/>
          <w:sz w:val="24"/>
          <w:szCs w:val="24"/>
          <w:lang w:val="en-GB"/>
        </w:rPr>
        <w:t xml:space="preserve"> AMAP, </w:t>
      </w:r>
      <w:proofErr w:type="spellStart"/>
      <w:r w:rsidR="000236F3" w:rsidRPr="00613D1C">
        <w:rPr>
          <w:rFonts w:cs="Times New Roman"/>
          <w:i/>
          <w:sz w:val="24"/>
          <w:szCs w:val="24"/>
          <w:lang w:val="en-GB"/>
        </w:rPr>
        <w:t>Univ</w:t>
      </w:r>
      <w:proofErr w:type="spellEnd"/>
      <w:r w:rsidR="000236F3" w:rsidRPr="00613D1C">
        <w:rPr>
          <w:rFonts w:cs="Times New Roman"/>
          <w:i/>
          <w:sz w:val="24"/>
          <w:szCs w:val="24"/>
          <w:lang w:val="en-GB"/>
        </w:rPr>
        <w:t xml:space="preserve"> Montpellier, CIRAD, CNRS, INRAE, IRD, 34000 Montpellier, France</w:t>
      </w:r>
    </w:p>
    <w:p w14:paraId="00000012" w14:textId="7ED7EEA7" w:rsidR="007F1434" w:rsidRPr="00613D1C" w:rsidRDefault="000236F3" w:rsidP="008437E4">
      <w:pPr>
        <w:spacing w:line="360" w:lineRule="auto"/>
        <w:ind w:left="180" w:hanging="180"/>
        <w:rPr>
          <w:rFonts w:cs="Times New Roman"/>
          <w:i/>
          <w:sz w:val="24"/>
          <w:szCs w:val="24"/>
          <w:lang w:val="en-GB"/>
        </w:rPr>
      </w:pPr>
      <w:r w:rsidRPr="00613D1C">
        <w:rPr>
          <w:rFonts w:cs="Times New Roman"/>
          <w:i/>
          <w:sz w:val="24"/>
          <w:szCs w:val="24"/>
          <w:lang w:val="en-GB"/>
        </w:rPr>
        <w:t>1</w:t>
      </w:r>
      <w:r w:rsidR="00E347D9">
        <w:rPr>
          <w:rFonts w:cs="Times New Roman"/>
          <w:i/>
          <w:sz w:val="24"/>
          <w:szCs w:val="24"/>
          <w:lang w:val="en-GB"/>
        </w:rPr>
        <w:t>0</w:t>
      </w:r>
      <w:r w:rsidRPr="00613D1C">
        <w:rPr>
          <w:rFonts w:cs="Times New Roman"/>
          <w:i/>
          <w:sz w:val="24"/>
          <w:szCs w:val="24"/>
          <w:lang w:val="en-GB"/>
        </w:rPr>
        <w:t xml:space="preserve"> </w:t>
      </w:r>
      <w:proofErr w:type="spellStart"/>
      <w:r w:rsidRPr="00613D1C">
        <w:rPr>
          <w:rFonts w:cs="Times New Roman"/>
          <w:i/>
          <w:sz w:val="24"/>
          <w:szCs w:val="24"/>
          <w:lang w:val="en-GB"/>
        </w:rPr>
        <w:t>Laboratoire</w:t>
      </w:r>
      <w:proofErr w:type="spellEnd"/>
      <w:r w:rsidRPr="00613D1C">
        <w:rPr>
          <w:rFonts w:cs="Times New Roman"/>
          <w:i/>
          <w:sz w:val="24"/>
          <w:szCs w:val="24"/>
          <w:lang w:val="en-GB"/>
        </w:rPr>
        <w:t xml:space="preserve"> </w:t>
      </w:r>
      <w:proofErr w:type="spellStart"/>
      <w:r w:rsidRPr="00613D1C">
        <w:rPr>
          <w:rFonts w:cs="Times New Roman"/>
          <w:i/>
          <w:sz w:val="24"/>
          <w:szCs w:val="24"/>
          <w:lang w:val="en-GB"/>
        </w:rPr>
        <w:t>Évolution</w:t>
      </w:r>
      <w:proofErr w:type="spellEnd"/>
      <w:r w:rsidRPr="00613D1C">
        <w:rPr>
          <w:rFonts w:cs="Times New Roman"/>
          <w:i/>
          <w:sz w:val="24"/>
          <w:szCs w:val="24"/>
          <w:lang w:val="en-GB"/>
        </w:rPr>
        <w:t xml:space="preserve"> et </w:t>
      </w:r>
      <w:proofErr w:type="spellStart"/>
      <w:r w:rsidRPr="00613D1C">
        <w:rPr>
          <w:rFonts w:cs="Times New Roman"/>
          <w:i/>
          <w:sz w:val="24"/>
          <w:szCs w:val="24"/>
          <w:lang w:val="en-GB"/>
        </w:rPr>
        <w:t>Diversité</w:t>
      </w:r>
      <w:proofErr w:type="spellEnd"/>
      <w:r w:rsidRPr="00613D1C">
        <w:rPr>
          <w:rFonts w:cs="Times New Roman"/>
          <w:i/>
          <w:sz w:val="24"/>
          <w:szCs w:val="24"/>
          <w:lang w:val="en-GB"/>
        </w:rPr>
        <w:t xml:space="preserve"> </w:t>
      </w:r>
      <w:proofErr w:type="spellStart"/>
      <w:r w:rsidRPr="00613D1C">
        <w:rPr>
          <w:rFonts w:cs="Times New Roman"/>
          <w:i/>
          <w:sz w:val="24"/>
          <w:szCs w:val="24"/>
          <w:lang w:val="en-GB"/>
        </w:rPr>
        <w:t>Biologique</w:t>
      </w:r>
      <w:proofErr w:type="spellEnd"/>
      <w:r w:rsidRPr="00613D1C">
        <w:rPr>
          <w:rFonts w:cs="Times New Roman"/>
          <w:i/>
          <w:sz w:val="24"/>
          <w:szCs w:val="24"/>
          <w:lang w:val="en-GB"/>
        </w:rPr>
        <w:t>, UMR 5174 (CNRS/IRD/UPS), 118 Route de Narbonne, Toulouse Cedex 9 31062, France</w:t>
      </w:r>
    </w:p>
    <w:p w14:paraId="00000013" w14:textId="4EE2D343" w:rsidR="007F1434" w:rsidRPr="00613D1C" w:rsidRDefault="000236F3" w:rsidP="008437E4">
      <w:pPr>
        <w:spacing w:line="360" w:lineRule="auto"/>
        <w:ind w:left="180" w:hanging="180"/>
        <w:rPr>
          <w:rFonts w:cs="Times New Roman"/>
          <w:i/>
          <w:sz w:val="24"/>
          <w:szCs w:val="24"/>
          <w:lang w:val="en-GB"/>
        </w:rPr>
      </w:pPr>
      <w:r w:rsidRPr="00613D1C">
        <w:rPr>
          <w:rFonts w:cs="Times New Roman"/>
          <w:i/>
          <w:sz w:val="24"/>
          <w:szCs w:val="24"/>
          <w:lang w:val="en-GB"/>
        </w:rPr>
        <w:t>1</w:t>
      </w:r>
      <w:r w:rsidR="00E347D9">
        <w:rPr>
          <w:rFonts w:cs="Times New Roman"/>
          <w:i/>
          <w:sz w:val="24"/>
          <w:szCs w:val="24"/>
          <w:lang w:val="en-GB"/>
        </w:rPr>
        <w:t>1</w:t>
      </w:r>
      <w:r w:rsidRPr="00613D1C">
        <w:rPr>
          <w:rFonts w:cs="Times New Roman"/>
          <w:i/>
          <w:sz w:val="24"/>
          <w:szCs w:val="24"/>
          <w:lang w:val="en-GB"/>
        </w:rPr>
        <w:t xml:space="preserve"> </w:t>
      </w:r>
      <w:proofErr w:type="spellStart"/>
      <w:r w:rsidRPr="00613D1C">
        <w:rPr>
          <w:rFonts w:cs="Times New Roman"/>
          <w:i/>
          <w:sz w:val="24"/>
          <w:szCs w:val="24"/>
          <w:lang w:val="en-GB"/>
        </w:rPr>
        <w:t>Freie</w:t>
      </w:r>
      <w:proofErr w:type="spellEnd"/>
      <w:r w:rsidRPr="00613D1C">
        <w:rPr>
          <w:rFonts w:cs="Times New Roman"/>
          <w:i/>
          <w:sz w:val="24"/>
          <w:szCs w:val="24"/>
          <w:lang w:val="en-GB"/>
        </w:rPr>
        <w:t xml:space="preserve"> Universität Berlin, Institute of Biology, </w:t>
      </w:r>
      <w:proofErr w:type="spellStart"/>
      <w:r w:rsidRPr="00613D1C">
        <w:rPr>
          <w:rFonts w:cs="Times New Roman"/>
          <w:i/>
          <w:sz w:val="24"/>
          <w:szCs w:val="24"/>
          <w:lang w:val="en-GB"/>
        </w:rPr>
        <w:t>Königin-Luise-Straße</w:t>
      </w:r>
      <w:proofErr w:type="spellEnd"/>
      <w:r w:rsidRPr="00613D1C">
        <w:rPr>
          <w:rFonts w:cs="Times New Roman"/>
          <w:i/>
          <w:sz w:val="24"/>
          <w:szCs w:val="24"/>
          <w:lang w:val="en-GB"/>
        </w:rPr>
        <w:t xml:space="preserve"> 2/4, </w:t>
      </w:r>
      <w:proofErr w:type="spellStart"/>
      <w:r w:rsidRPr="00613D1C">
        <w:rPr>
          <w:rFonts w:cs="Times New Roman"/>
          <w:i/>
          <w:sz w:val="24"/>
          <w:szCs w:val="24"/>
          <w:lang w:val="en-GB"/>
        </w:rPr>
        <w:t>Gartenhaus</w:t>
      </w:r>
      <w:proofErr w:type="spellEnd"/>
      <w:r w:rsidRPr="00613D1C">
        <w:rPr>
          <w:rFonts w:cs="Times New Roman"/>
          <w:i/>
          <w:sz w:val="24"/>
          <w:szCs w:val="24"/>
          <w:lang w:val="en-GB"/>
        </w:rPr>
        <w:t>, 14195 Berlin, Germany</w:t>
      </w:r>
    </w:p>
    <w:p w14:paraId="00000014" w14:textId="4145B679" w:rsidR="007F1434" w:rsidRPr="00613D1C" w:rsidRDefault="000236F3" w:rsidP="008437E4">
      <w:pPr>
        <w:spacing w:line="360" w:lineRule="auto"/>
        <w:ind w:left="180" w:hanging="180"/>
        <w:rPr>
          <w:rFonts w:cs="Times New Roman"/>
          <w:i/>
          <w:sz w:val="24"/>
          <w:szCs w:val="24"/>
          <w:lang w:val="en-GB"/>
        </w:rPr>
      </w:pPr>
      <w:r w:rsidRPr="00613D1C">
        <w:rPr>
          <w:rFonts w:cs="Times New Roman"/>
          <w:i/>
          <w:sz w:val="24"/>
          <w:szCs w:val="24"/>
          <w:lang w:val="en-GB"/>
        </w:rPr>
        <w:t>1</w:t>
      </w:r>
      <w:r w:rsidR="00E347D9">
        <w:rPr>
          <w:rFonts w:cs="Times New Roman"/>
          <w:i/>
          <w:sz w:val="24"/>
          <w:szCs w:val="24"/>
          <w:lang w:val="en-GB"/>
        </w:rPr>
        <w:t>2</w:t>
      </w:r>
      <w:r w:rsidRPr="00613D1C">
        <w:rPr>
          <w:rFonts w:cs="Times New Roman"/>
          <w:i/>
          <w:sz w:val="24"/>
          <w:szCs w:val="24"/>
          <w:lang w:val="en-GB"/>
        </w:rPr>
        <w:t xml:space="preserve"> Graduate School of Environment and Information Sciences, Yokohama National University, Yokohama, 240-8501, Japan</w:t>
      </w:r>
    </w:p>
    <w:p w14:paraId="00000015" w14:textId="4B4E7098" w:rsidR="007F1434" w:rsidRPr="00613D1C" w:rsidRDefault="000236F3" w:rsidP="008437E4">
      <w:pPr>
        <w:spacing w:line="360" w:lineRule="auto"/>
        <w:ind w:left="180" w:hanging="180"/>
        <w:rPr>
          <w:rFonts w:cs="Times New Roman"/>
          <w:i/>
          <w:sz w:val="24"/>
          <w:szCs w:val="24"/>
          <w:lang w:val="en-GB"/>
        </w:rPr>
      </w:pPr>
      <w:r w:rsidRPr="00613D1C">
        <w:rPr>
          <w:rFonts w:cs="Times New Roman"/>
          <w:i/>
          <w:sz w:val="24"/>
          <w:szCs w:val="24"/>
          <w:lang w:val="en-GB"/>
        </w:rPr>
        <w:t>1</w:t>
      </w:r>
      <w:r w:rsidR="00E347D9">
        <w:rPr>
          <w:rFonts w:cs="Times New Roman"/>
          <w:i/>
          <w:sz w:val="24"/>
          <w:szCs w:val="24"/>
          <w:lang w:val="en-GB"/>
        </w:rPr>
        <w:t>3</w:t>
      </w:r>
      <w:r w:rsidRPr="00613D1C">
        <w:rPr>
          <w:rFonts w:cs="Times New Roman"/>
          <w:i/>
          <w:sz w:val="24"/>
          <w:szCs w:val="24"/>
          <w:lang w:val="en-GB"/>
        </w:rPr>
        <w:t xml:space="preserve"> Univ. Grenoble Alpes, INRAE, LESSEM, 38000 Grenoble, France</w:t>
      </w:r>
    </w:p>
    <w:p w14:paraId="00000016" w14:textId="6623C061" w:rsidR="007F1434" w:rsidRPr="00613D1C" w:rsidRDefault="000236F3" w:rsidP="008437E4">
      <w:pPr>
        <w:spacing w:line="360" w:lineRule="auto"/>
        <w:ind w:left="180" w:hanging="180"/>
        <w:rPr>
          <w:rFonts w:cs="Times New Roman"/>
          <w:i/>
          <w:sz w:val="24"/>
          <w:szCs w:val="24"/>
          <w:lang w:val="en-GB"/>
        </w:rPr>
      </w:pPr>
      <w:r w:rsidRPr="00613D1C">
        <w:rPr>
          <w:rFonts w:cs="Times New Roman"/>
          <w:i/>
          <w:sz w:val="24"/>
          <w:szCs w:val="24"/>
          <w:lang w:val="en-GB"/>
        </w:rPr>
        <w:lastRenderedPageBreak/>
        <w:t>1</w:t>
      </w:r>
      <w:r w:rsidR="00E347D9">
        <w:rPr>
          <w:rFonts w:cs="Times New Roman"/>
          <w:i/>
          <w:sz w:val="24"/>
          <w:szCs w:val="24"/>
          <w:lang w:val="en-GB"/>
        </w:rPr>
        <w:t>4</w:t>
      </w:r>
      <w:r w:rsidRPr="00613D1C">
        <w:rPr>
          <w:rFonts w:cs="Times New Roman"/>
          <w:i/>
          <w:sz w:val="24"/>
          <w:szCs w:val="24"/>
          <w:lang w:val="en-GB"/>
        </w:rPr>
        <w:t xml:space="preserve"> Department of Plant Sciences, University of Oxford, South Parks Road, Oxford, England OX1 3RB</w:t>
      </w:r>
    </w:p>
    <w:p w14:paraId="00000017" w14:textId="3493C2CA" w:rsidR="007F1434" w:rsidRPr="00613D1C" w:rsidRDefault="000236F3" w:rsidP="008437E4">
      <w:pPr>
        <w:spacing w:line="360" w:lineRule="auto"/>
        <w:ind w:left="180" w:hanging="180"/>
        <w:rPr>
          <w:rFonts w:cs="Times New Roman"/>
          <w:i/>
          <w:sz w:val="24"/>
          <w:szCs w:val="24"/>
          <w:lang w:val="en-GB"/>
        </w:rPr>
      </w:pPr>
      <w:r w:rsidRPr="00613D1C">
        <w:rPr>
          <w:rFonts w:cs="Times New Roman"/>
          <w:i/>
          <w:sz w:val="24"/>
          <w:szCs w:val="24"/>
          <w:lang w:val="en-GB"/>
        </w:rPr>
        <w:t>1</w:t>
      </w:r>
      <w:r w:rsidR="00E347D9">
        <w:rPr>
          <w:rFonts w:cs="Times New Roman"/>
          <w:i/>
          <w:sz w:val="24"/>
          <w:szCs w:val="24"/>
          <w:lang w:val="en-GB"/>
        </w:rPr>
        <w:t>5</w:t>
      </w:r>
      <w:r w:rsidRPr="00613D1C">
        <w:rPr>
          <w:rFonts w:cs="Times New Roman"/>
          <w:i/>
          <w:sz w:val="24"/>
          <w:szCs w:val="24"/>
          <w:lang w:val="en-GB"/>
        </w:rPr>
        <w:t xml:space="preserve"> Max-Planck-Institute for Biogeochemistry, Hans-</w:t>
      </w:r>
      <w:proofErr w:type="spellStart"/>
      <w:r w:rsidRPr="00613D1C">
        <w:rPr>
          <w:rFonts w:cs="Times New Roman"/>
          <w:i/>
          <w:sz w:val="24"/>
          <w:szCs w:val="24"/>
          <w:lang w:val="en-GB"/>
        </w:rPr>
        <w:t>Knöll</w:t>
      </w:r>
      <w:proofErr w:type="spellEnd"/>
      <w:r w:rsidRPr="00613D1C">
        <w:rPr>
          <w:rFonts w:cs="Times New Roman"/>
          <w:i/>
          <w:sz w:val="24"/>
          <w:szCs w:val="24"/>
          <w:lang w:val="en-GB"/>
        </w:rPr>
        <w:t>-Str. 20, 07745 Jena, Germany</w:t>
      </w:r>
    </w:p>
    <w:p w14:paraId="00000018" w14:textId="16AB0D74" w:rsidR="007F1434" w:rsidRPr="00613D1C" w:rsidRDefault="000236F3" w:rsidP="008437E4">
      <w:pPr>
        <w:spacing w:line="360" w:lineRule="auto"/>
        <w:ind w:left="180" w:hanging="180"/>
        <w:rPr>
          <w:rFonts w:cs="Times New Roman"/>
          <w:i/>
          <w:sz w:val="24"/>
          <w:szCs w:val="24"/>
          <w:lang w:val="en-GB"/>
        </w:rPr>
      </w:pPr>
      <w:r w:rsidRPr="00613D1C">
        <w:rPr>
          <w:rFonts w:cs="Times New Roman"/>
          <w:i/>
          <w:sz w:val="24"/>
          <w:szCs w:val="24"/>
          <w:lang w:val="en-GB"/>
        </w:rPr>
        <w:t>1</w:t>
      </w:r>
      <w:r w:rsidR="00E347D9">
        <w:rPr>
          <w:rFonts w:cs="Times New Roman"/>
          <w:i/>
          <w:sz w:val="24"/>
          <w:szCs w:val="24"/>
          <w:lang w:val="en-GB"/>
        </w:rPr>
        <w:t>6</w:t>
      </w:r>
      <w:r w:rsidRPr="00613D1C">
        <w:rPr>
          <w:rFonts w:cs="Times New Roman"/>
          <w:i/>
          <w:sz w:val="24"/>
          <w:szCs w:val="24"/>
          <w:lang w:val="en-GB"/>
        </w:rPr>
        <w:t xml:space="preserve"> Department of Economics, </w:t>
      </w:r>
      <w:bookmarkStart w:id="2" w:name="OLE_LINK3"/>
      <w:bookmarkStart w:id="3" w:name="OLE_LINK4"/>
      <w:r w:rsidRPr="00613D1C">
        <w:rPr>
          <w:rFonts w:cs="Times New Roman"/>
          <w:i/>
          <w:sz w:val="24"/>
          <w:szCs w:val="24"/>
          <w:lang w:val="en-GB"/>
        </w:rPr>
        <w:t>University of Leipzig</w:t>
      </w:r>
      <w:bookmarkEnd w:id="2"/>
      <w:bookmarkEnd w:id="3"/>
      <w:r w:rsidRPr="00613D1C">
        <w:rPr>
          <w:rFonts w:cs="Times New Roman"/>
          <w:i/>
          <w:sz w:val="24"/>
          <w:szCs w:val="24"/>
          <w:lang w:val="en-GB"/>
        </w:rPr>
        <w:t xml:space="preserve">, </w:t>
      </w:r>
      <w:proofErr w:type="spellStart"/>
      <w:r w:rsidRPr="00613D1C">
        <w:rPr>
          <w:rFonts w:cs="Times New Roman"/>
          <w:i/>
          <w:sz w:val="24"/>
          <w:szCs w:val="24"/>
          <w:lang w:val="en-GB"/>
        </w:rPr>
        <w:t>Grimmaische</w:t>
      </w:r>
      <w:proofErr w:type="spellEnd"/>
      <w:r w:rsidRPr="00613D1C">
        <w:rPr>
          <w:rFonts w:cs="Times New Roman"/>
          <w:i/>
          <w:sz w:val="24"/>
          <w:szCs w:val="24"/>
          <w:lang w:val="en-GB"/>
        </w:rPr>
        <w:t xml:space="preserve"> </w:t>
      </w:r>
      <w:proofErr w:type="spellStart"/>
      <w:r w:rsidRPr="00613D1C">
        <w:rPr>
          <w:rFonts w:cs="Times New Roman"/>
          <w:i/>
          <w:sz w:val="24"/>
          <w:szCs w:val="24"/>
          <w:lang w:val="en-GB"/>
        </w:rPr>
        <w:t>Straße</w:t>
      </w:r>
      <w:proofErr w:type="spellEnd"/>
      <w:r w:rsidRPr="00613D1C">
        <w:rPr>
          <w:rFonts w:cs="Times New Roman"/>
          <w:i/>
          <w:sz w:val="24"/>
          <w:szCs w:val="24"/>
          <w:lang w:val="en-GB"/>
        </w:rPr>
        <w:t xml:space="preserve"> 12, 04109 Leipzig, Germany</w:t>
      </w:r>
    </w:p>
    <w:p w14:paraId="00000019" w14:textId="28BE3C37" w:rsidR="007F1434" w:rsidRPr="00613D1C" w:rsidRDefault="000236F3" w:rsidP="008437E4">
      <w:pPr>
        <w:spacing w:line="360" w:lineRule="auto"/>
        <w:ind w:left="180" w:hanging="180"/>
        <w:rPr>
          <w:rFonts w:cs="Times New Roman"/>
          <w:sz w:val="24"/>
          <w:szCs w:val="24"/>
          <w:lang w:val="en-GB"/>
        </w:rPr>
      </w:pPr>
      <w:r w:rsidRPr="00613D1C">
        <w:rPr>
          <w:rFonts w:cs="Times New Roman"/>
          <w:i/>
          <w:sz w:val="24"/>
          <w:szCs w:val="24"/>
          <w:lang w:val="en-GB"/>
        </w:rPr>
        <w:t>1</w:t>
      </w:r>
      <w:r w:rsidR="00E347D9">
        <w:rPr>
          <w:rFonts w:cs="Times New Roman"/>
          <w:i/>
          <w:sz w:val="24"/>
          <w:szCs w:val="24"/>
          <w:lang w:val="en-GB"/>
        </w:rPr>
        <w:t>7</w:t>
      </w:r>
      <w:r w:rsidRPr="00613D1C">
        <w:rPr>
          <w:rFonts w:cs="Times New Roman"/>
          <w:i/>
          <w:sz w:val="24"/>
          <w:szCs w:val="24"/>
          <w:lang w:val="en-GB"/>
        </w:rPr>
        <w:t xml:space="preserve"> Smithsonian Tropical Research Institute, </w:t>
      </w:r>
      <w:proofErr w:type="spellStart"/>
      <w:r w:rsidRPr="00613D1C">
        <w:rPr>
          <w:rFonts w:cs="Times New Roman"/>
          <w:i/>
          <w:sz w:val="24"/>
          <w:szCs w:val="24"/>
          <w:lang w:val="en-GB"/>
        </w:rPr>
        <w:t>Apartado</w:t>
      </w:r>
      <w:proofErr w:type="spellEnd"/>
      <w:r w:rsidRPr="00613D1C">
        <w:rPr>
          <w:rFonts w:cs="Times New Roman"/>
          <w:i/>
          <w:sz w:val="24"/>
          <w:szCs w:val="24"/>
          <w:lang w:val="en-GB"/>
        </w:rPr>
        <w:t xml:space="preserve"> 0843-03092, Balboa, </w:t>
      </w:r>
      <w:proofErr w:type="spellStart"/>
      <w:r w:rsidRPr="00613D1C">
        <w:rPr>
          <w:rFonts w:cs="Times New Roman"/>
          <w:i/>
          <w:sz w:val="24"/>
          <w:szCs w:val="24"/>
          <w:lang w:val="en-GB"/>
        </w:rPr>
        <w:t>Ancón</w:t>
      </w:r>
      <w:proofErr w:type="spellEnd"/>
      <w:r w:rsidRPr="00613D1C">
        <w:rPr>
          <w:rFonts w:cs="Times New Roman"/>
          <w:i/>
          <w:sz w:val="24"/>
          <w:szCs w:val="24"/>
          <w:lang w:val="en-GB"/>
        </w:rPr>
        <w:t>, Panama</w:t>
      </w:r>
    </w:p>
    <w:p w14:paraId="0000001A" w14:textId="77777777" w:rsidR="007F1434" w:rsidRPr="00613D1C" w:rsidRDefault="007F1434" w:rsidP="00613D1C">
      <w:pPr>
        <w:spacing w:line="360" w:lineRule="auto"/>
        <w:rPr>
          <w:rFonts w:cs="Times New Roman"/>
          <w:sz w:val="24"/>
          <w:szCs w:val="24"/>
          <w:lang w:val="en-GB"/>
        </w:rPr>
      </w:pPr>
    </w:p>
    <w:p w14:paraId="0000001B" w14:textId="77777777" w:rsidR="007F1434" w:rsidRPr="00613D1C" w:rsidRDefault="000236F3" w:rsidP="00613D1C">
      <w:pPr>
        <w:spacing w:line="360" w:lineRule="auto"/>
        <w:ind w:left="180" w:hanging="180"/>
        <w:rPr>
          <w:rFonts w:cs="Times New Roman"/>
          <w:sz w:val="24"/>
          <w:szCs w:val="24"/>
          <w:lang w:val="en-GB"/>
        </w:rPr>
      </w:pPr>
      <w:r w:rsidRPr="00613D1C">
        <w:rPr>
          <w:rFonts w:cs="Times New Roman"/>
          <w:sz w:val="24"/>
          <w:szCs w:val="24"/>
          <w:lang w:val="en-GB"/>
        </w:rPr>
        <w:t>§ Joint first authors</w:t>
      </w:r>
    </w:p>
    <w:p w14:paraId="69D79E45" w14:textId="73D7C68B" w:rsidR="00683B21" w:rsidRDefault="000236F3" w:rsidP="00613D1C">
      <w:pPr>
        <w:spacing w:line="360" w:lineRule="auto"/>
        <w:rPr>
          <w:rFonts w:cs="Times New Roman"/>
          <w:i/>
          <w:sz w:val="24"/>
          <w:szCs w:val="24"/>
          <w:lang w:val="en-GB"/>
        </w:rPr>
      </w:pPr>
      <w:r w:rsidRPr="00613D1C">
        <w:rPr>
          <w:rFonts w:cs="Times New Roman"/>
          <w:sz w:val="24"/>
          <w:szCs w:val="24"/>
          <w:lang w:val="en-GB"/>
        </w:rPr>
        <w:t>* Corresponding author</w:t>
      </w:r>
      <w:r w:rsidRPr="00613D1C">
        <w:rPr>
          <w:rFonts w:cs="Times New Roman"/>
          <w:i/>
          <w:sz w:val="24"/>
          <w:szCs w:val="24"/>
          <w:lang w:val="en-GB"/>
        </w:rPr>
        <w:t xml:space="preserve">: </w:t>
      </w:r>
      <w:r w:rsidR="00683B21">
        <w:rPr>
          <w:rFonts w:cs="Times New Roman"/>
          <w:i/>
          <w:sz w:val="24"/>
          <w:szCs w:val="24"/>
          <w:lang w:val="en-GB"/>
        </w:rPr>
        <w:t>mscrawfor@gmail.com</w:t>
      </w:r>
    </w:p>
    <w:p w14:paraId="0000001C" w14:textId="41F18712" w:rsidR="007F1434" w:rsidRPr="00613D1C" w:rsidRDefault="000236F3" w:rsidP="00613D1C">
      <w:pPr>
        <w:spacing w:line="360" w:lineRule="auto"/>
        <w:rPr>
          <w:rFonts w:cs="Times New Roman"/>
          <w:b/>
          <w:sz w:val="24"/>
          <w:szCs w:val="24"/>
          <w:lang w:val="en-GB"/>
        </w:rPr>
      </w:pPr>
      <w:r w:rsidRPr="00613D1C">
        <w:rPr>
          <w:rFonts w:cs="Times New Roman"/>
          <w:sz w:val="24"/>
          <w:szCs w:val="24"/>
          <w:lang w:val="en-GB"/>
        </w:rPr>
        <w:br w:type="page"/>
      </w:r>
    </w:p>
    <w:p w14:paraId="0000001D" w14:textId="6DCC6075" w:rsidR="007F1434" w:rsidRPr="00613D1C" w:rsidRDefault="000236F3" w:rsidP="00613D1C">
      <w:pPr>
        <w:spacing w:line="360" w:lineRule="auto"/>
        <w:rPr>
          <w:rFonts w:cs="Times New Roman"/>
          <w:sz w:val="24"/>
          <w:szCs w:val="24"/>
          <w:lang w:val="en-GB"/>
        </w:rPr>
      </w:pPr>
      <w:r w:rsidRPr="00613D1C">
        <w:rPr>
          <w:rFonts w:cs="Times New Roman"/>
          <w:b/>
          <w:sz w:val="24"/>
          <w:szCs w:val="24"/>
          <w:lang w:val="en-GB"/>
        </w:rPr>
        <w:lastRenderedPageBreak/>
        <w:t>Data accessibility statement:</w:t>
      </w:r>
      <w:r w:rsidRPr="00613D1C">
        <w:rPr>
          <w:rFonts w:cs="Times New Roman"/>
          <w:sz w:val="24"/>
          <w:szCs w:val="24"/>
          <w:lang w:val="en-GB"/>
        </w:rPr>
        <w:t xml:space="preserve"> All data, analyses, and code for statistical analyses will be uploaded to a public repository upon acceptance of this paper for publication. All models are previously published. </w:t>
      </w:r>
    </w:p>
    <w:p w14:paraId="0000001E" w14:textId="77777777" w:rsidR="007F1434" w:rsidRPr="00613D1C" w:rsidRDefault="007F1434" w:rsidP="00613D1C">
      <w:pPr>
        <w:spacing w:line="360" w:lineRule="auto"/>
        <w:rPr>
          <w:rFonts w:cs="Times New Roman"/>
          <w:sz w:val="24"/>
          <w:szCs w:val="24"/>
          <w:lang w:val="en-GB"/>
        </w:rPr>
      </w:pPr>
    </w:p>
    <w:p w14:paraId="0000001F" w14:textId="77777777" w:rsidR="007F1434" w:rsidRPr="00613D1C" w:rsidRDefault="000236F3" w:rsidP="00613D1C">
      <w:pPr>
        <w:spacing w:line="360" w:lineRule="auto"/>
        <w:rPr>
          <w:rFonts w:cs="Times New Roman"/>
          <w:sz w:val="24"/>
          <w:szCs w:val="24"/>
          <w:lang w:val="en-GB"/>
        </w:rPr>
      </w:pPr>
      <w:r w:rsidRPr="00613D1C">
        <w:rPr>
          <w:rFonts w:cs="Times New Roman"/>
          <w:b/>
          <w:sz w:val="24"/>
          <w:szCs w:val="24"/>
          <w:lang w:val="en-GB"/>
        </w:rPr>
        <w:t>Keywords:</w:t>
      </w:r>
      <w:r w:rsidRPr="00613D1C">
        <w:rPr>
          <w:rFonts w:cs="Times New Roman"/>
          <w:sz w:val="24"/>
          <w:szCs w:val="24"/>
          <w:lang w:val="en-GB"/>
        </w:rPr>
        <w:t xml:space="preserve"> Productivity, community assembly, seed dispersal, model intercomparison, function-dominance correlation, coexistence, plant diversity</w:t>
      </w:r>
    </w:p>
    <w:p w14:paraId="00000020" w14:textId="77777777" w:rsidR="007F1434" w:rsidRPr="00613D1C" w:rsidRDefault="007F1434" w:rsidP="00613D1C">
      <w:pPr>
        <w:spacing w:line="360" w:lineRule="auto"/>
        <w:rPr>
          <w:rFonts w:cs="Times New Roman"/>
          <w:b/>
          <w:sz w:val="24"/>
          <w:szCs w:val="24"/>
          <w:lang w:val="en-GB"/>
        </w:rPr>
      </w:pPr>
    </w:p>
    <w:p w14:paraId="00000021" w14:textId="77777777" w:rsidR="007F1434" w:rsidRPr="00613D1C" w:rsidRDefault="000236F3" w:rsidP="00613D1C">
      <w:pPr>
        <w:spacing w:line="360" w:lineRule="auto"/>
        <w:rPr>
          <w:rFonts w:cs="Times New Roman"/>
          <w:sz w:val="24"/>
          <w:szCs w:val="24"/>
          <w:lang w:val="en-GB"/>
        </w:rPr>
      </w:pPr>
      <w:r w:rsidRPr="00613D1C">
        <w:rPr>
          <w:rFonts w:cs="Times New Roman"/>
          <w:b/>
          <w:sz w:val="24"/>
          <w:szCs w:val="24"/>
          <w:lang w:val="en-GB"/>
        </w:rPr>
        <w:t>Type of article:</w:t>
      </w:r>
      <w:r w:rsidRPr="00613D1C">
        <w:rPr>
          <w:rFonts w:cs="Times New Roman"/>
          <w:sz w:val="24"/>
          <w:szCs w:val="24"/>
          <w:lang w:val="en-GB"/>
        </w:rPr>
        <w:t xml:space="preserve"> Letter</w:t>
      </w:r>
    </w:p>
    <w:p w14:paraId="00000022" w14:textId="77777777" w:rsidR="007F1434" w:rsidRPr="00613D1C" w:rsidRDefault="007F1434" w:rsidP="00613D1C">
      <w:pPr>
        <w:spacing w:line="360" w:lineRule="auto"/>
        <w:rPr>
          <w:rFonts w:cs="Times New Roman"/>
          <w:sz w:val="24"/>
          <w:szCs w:val="24"/>
          <w:lang w:val="en-GB"/>
        </w:rPr>
      </w:pPr>
    </w:p>
    <w:p w14:paraId="00000023" w14:textId="77777777" w:rsidR="007F1434" w:rsidRPr="00613D1C" w:rsidRDefault="000236F3" w:rsidP="00613D1C">
      <w:pPr>
        <w:spacing w:line="360" w:lineRule="auto"/>
        <w:rPr>
          <w:rFonts w:cs="Times New Roman"/>
          <w:sz w:val="24"/>
          <w:szCs w:val="24"/>
          <w:lang w:val="en-GB"/>
        </w:rPr>
      </w:pPr>
      <w:r w:rsidRPr="00613D1C">
        <w:rPr>
          <w:rFonts w:cs="Times New Roman"/>
          <w:b/>
          <w:sz w:val="24"/>
          <w:szCs w:val="24"/>
          <w:lang w:val="en-GB"/>
        </w:rPr>
        <w:t>Abstract length:</w:t>
      </w:r>
      <w:r w:rsidRPr="00613D1C">
        <w:rPr>
          <w:rFonts w:cs="Times New Roman"/>
          <w:sz w:val="24"/>
          <w:szCs w:val="24"/>
          <w:lang w:val="en-GB"/>
        </w:rPr>
        <w:t xml:space="preserve"> 150</w:t>
      </w:r>
    </w:p>
    <w:p w14:paraId="00000024" w14:textId="7842DDB1" w:rsidR="007F1434" w:rsidRPr="00613D1C" w:rsidRDefault="000236F3" w:rsidP="00613D1C">
      <w:pPr>
        <w:spacing w:line="360" w:lineRule="auto"/>
        <w:rPr>
          <w:rFonts w:cs="Times New Roman"/>
          <w:sz w:val="24"/>
          <w:szCs w:val="24"/>
          <w:lang w:val="en-GB"/>
        </w:rPr>
      </w:pPr>
      <w:r w:rsidRPr="00613D1C">
        <w:rPr>
          <w:rFonts w:cs="Times New Roman"/>
          <w:b/>
          <w:sz w:val="24"/>
          <w:szCs w:val="24"/>
          <w:lang w:val="en-GB"/>
        </w:rPr>
        <w:t>Main text length:</w:t>
      </w:r>
      <w:r w:rsidRPr="00613D1C">
        <w:rPr>
          <w:rFonts w:cs="Times New Roman"/>
          <w:sz w:val="24"/>
          <w:szCs w:val="24"/>
          <w:lang w:val="en-GB"/>
        </w:rPr>
        <w:t xml:space="preserve"> 49</w:t>
      </w:r>
      <w:r w:rsidR="000E32F5">
        <w:rPr>
          <w:rFonts w:cs="Times New Roman"/>
          <w:sz w:val="24"/>
          <w:szCs w:val="24"/>
          <w:lang w:val="en-GB"/>
        </w:rPr>
        <w:t>50</w:t>
      </w:r>
    </w:p>
    <w:p w14:paraId="00000025" w14:textId="297A66DA" w:rsidR="007F1434" w:rsidRPr="00D43EC6" w:rsidRDefault="000236F3" w:rsidP="00613D1C">
      <w:pPr>
        <w:spacing w:line="360" w:lineRule="auto"/>
        <w:rPr>
          <w:rFonts w:cs="Times New Roman"/>
          <w:sz w:val="24"/>
          <w:szCs w:val="24"/>
          <w:lang w:val="en-GB"/>
        </w:rPr>
      </w:pPr>
      <w:r w:rsidRPr="00613D1C">
        <w:rPr>
          <w:rFonts w:cs="Times New Roman"/>
          <w:b/>
          <w:sz w:val="24"/>
          <w:szCs w:val="24"/>
          <w:lang w:val="en-GB"/>
        </w:rPr>
        <w:t>Number of references:</w:t>
      </w:r>
      <w:r w:rsidR="0019763D">
        <w:rPr>
          <w:rFonts w:cs="Times New Roman"/>
          <w:b/>
          <w:sz w:val="24"/>
          <w:szCs w:val="24"/>
          <w:lang w:val="en-GB"/>
        </w:rPr>
        <w:t xml:space="preserve"> </w:t>
      </w:r>
      <w:r w:rsidR="0019763D" w:rsidRPr="00D43EC6">
        <w:rPr>
          <w:rFonts w:cs="Times New Roman"/>
          <w:sz w:val="24"/>
          <w:szCs w:val="24"/>
          <w:lang w:val="en-GB"/>
        </w:rPr>
        <w:t>47</w:t>
      </w:r>
    </w:p>
    <w:p w14:paraId="00000026" w14:textId="77777777" w:rsidR="007F1434" w:rsidRPr="00613D1C" w:rsidRDefault="000236F3" w:rsidP="00613D1C">
      <w:pPr>
        <w:spacing w:line="360" w:lineRule="auto"/>
        <w:rPr>
          <w:rFonts w:cs="Times New Roman"/>
          <w:sz w:val="24"/>
          <w:szCs w:val="24"/>
          <w:lang w:val="en-GB"/>
        </w:rPr>
      </w:pPr>
      <w:r w:rsidRPr="00613D1C">
        <w:rPr>
          <w:rFonts w:cs="Times New Roman"/>
          <w:b/>
          <w:sz w:val="24"/>
          <w:szCs w:val="24"/>
          <w:lang w:val="en-GB"/>
        </w:rPr>
        <w:t>Number of figures:</w:t>
      </w:r>
      <w:r w:rsidRPr="00613D1C">
        <w:rPr>
          <w:rFonts w:cs="Times New Roman"/>
          <w:sz w:val="24"/>
          <w:szCs w:val="24"/>
          <w:lang w:val="en-GB"/>
        </w:rPr>
        <w:t xml:space="preserve"> 4</w:t>
      </w:r>
    </w:p>
    <w:p w14:paraId="00000027" w14:textId="77777777" w:rsidR="007F1434" w:rsidRPr="00613D1C" w:rsidRDefault="000236F3" w:rsidP="00613D1C">
      <w:pPr>
        <w:spacing w:line="360" w:lineRule="auto"/>
        <w:rPr>
          <w:rFonts w:cs="Times New Roman"/>
          <w:sz w:val="24"/>
          <w:szCs w:val="24"/>
          <w:lang w:val="en-GB"/>
        </w:rPr>
      </w:pPr>
      <w:r w:rsidRPr="00613D1C">
        <w:rPr>
          <w:rFonts w:cs="Times New Roman"/>
          <w:b/>
          <w:sz w:val="24"/>
          <w:szCs w:val="24"/>
          <w:lang w:val="en-GB"/>
        </w:rPr>
        <w:t>Number of tables:</w:t>
      </w:r>
      <w:r w:rsidRPr="00613D1C">
        <w:rPr>
          <w:rFonts w:cs="Times New Roman"/>
          <w:sz w:val="24"/>
          <w:szCs w:val="24"/>
          <w:lang w:val="en-GB"/>
        </w:rPr>
        <w:t xml:space="preserve"> 1</w:t>
      </w:r>
    </w:p>
    <w:p w14:paraId="00000028" w14:textId="77777777" w:rsidR="007F1434" w:rsidRPr="00613D1C" w:rsidRDefault="000236F3" w:rsidP="00613D1C">
      <w:pPr>
        <w:spacing w:line="360" w:lineRule="auto"/>
        <w:rPr>
          <w:rFonts w:cs="Times New Roman"/>
          <w:sz w:val="24"/>
          <w:szCs w:val="24"/>
          <w:lang w:val="en-GB"/>
        </w:rPr>
      </w:pPr>
      <w:r w:rsidRPr="00613D1C">
        <w:rPr>
          <w:rFonts w:cs="Times New Roman"/>
          <w:b/>
          <w:sz w:val="24"/>
          <w:szCs w:val="24"/>
          <w:lang w:val="en-GB"/>
        </w:rPr>
        <w:t>Number of text boxes:</w:t>
      </w:r>
      <w:r w:rsidRPr="00613D1C">
        <w:rPr>
          <w:rFonts w:cs="Times New Roman"/>
          <w:sz w:val="24"/>
          <w:szCs w:val="24"/>
          <w:lang w:val="en-GB"/>
        </w:rPr>
        <w:t xml:space="preserve"> 0 </w:t>
      </w:r>
    </w:p>
    <w:p w14:paraId="00000029" w14:textId="77777777" w:rsidR="007F1434" w:rsidRPr="00613D1C" w:rsidRDefault="007F1434" w:rsidP="00613D1C">
      <w:pPr>
        <w:spacing w:line="360" w:lineRule="auto"/>
        <w:rPr>
          <w:rFonts w:cs="Times New Roman"/>
          <w:sz w:val="24"/>
          <w:szCs w:val="24"/>
          <w:lang w:val="en-GB"/>
        </w:rPr>
      </w:pPr>
    </w:p>
    <w:p w14:paraId="0000002A" w14:textId="77777777" w:rsidR="007F1434" w:rsidRPr="00613D1C" w:rsidRDefault="000236F3" w:rsidP="00613D1C">
      <w:pPr>
        <w:spacing w:line="360" w:lineRule="auto"/>
        <w:rPr>
          <w:rFonts w:cs="Times New Roman"/>
          <w:b/>
          <w:sz w:val="24"/>
          <w:szCs w:val="24"/>
          <w:lang w:val="en-GB"/>
        </w:rPr>
      </w:pPr>
      <w:r w:rsidRPr="00613D1C">
        <w:rPr>
          <w:rFonts w:cs="Times New Roman"/>
          <w:b/>
          <w:sz w:val="24"/>
          <w:szCs w:val="24"/>
          <w:lang w:val="en-GB"/>
        </w:rPr>
        <w:t>Corresponding author address:</w:t>
      </w:r>
    </w:p>
    <w:p w14:paraId="0000002B" w14:textId="77777777" w:rsidR="007F1434" w:rsidRPr="00613D1C" w:rsidRDefault="007F1434" w:rsidP="00613D1C">
      <w:pPr>
        <w:spacing w:line="360" w:lineRule="auto"/>
        <w:rPr>
          <w:rFonts w:cs="Times New Roman"/>
          <w:sz w:val="24"/>
          <w:szCs w:val="24"/>
          <w:lang w:val="en-GB"/>
        </w:rPr>
      </w:pPr>
    </w:p>
    <w:p w14:paraId="0000002C" w14:textId="49866D0C" w:rsidR="007F1434" w:rsidRPr="00613D1C" w:rsidRDefault="00860F32" w:rsidP="00613D1C">
      <w:pPr>
        <w:spacing w:line="360" w:lineRule="auto"/>
        <w:ind w:left="720"/>
        <w:rPr>
          <w:rFonts w:cs="Times New Roman"/>
          <w:sz w:val="24"/>
          <w:szCs w:val="24"/>
          <w:lang w:val="en-GB"/>
        </w:rPr>
      </w:pPr>
      <w:proofErr w:type="spellStart"/>
      <w:r>
        <w:rPr>
          <w:rFonts w:cs="Times New Roman"/>
          <w:sz w:val="24"/>
          <w:szCs w:val="24"/>
          <w:lang w:val="en-GB"/>
        </w:rPr>
        <w:t>Dr.</w:t>
      </w:r>
      <w:proofErr w:type="spellEnd"/>
      <w:r>
        <w:rPr>
          <w:rFonts w:cs="Times New Roman"/>
          <w:sz w:val="24"/>
          <w:szCs w:val="24"/>
          <w:lang w:val="en-GB"/>
        </w:rPr>
        <w:t xml:space="preserve"> </w:t>
      </w:r>
      <w:bookmarkStart w:id="4" w:name="_GoBack"/>
      <w:bookmarkEnd w:id="4"/>
      <w:r w:rsidR="000236F3" w:rsidRPr="00613D1C">
        <w:rPr>
          <w:rFonts w:cs="Times New Roman"/>
          <w:sz w:val="24"/>
          <w:szCs w:val="24"/>
          <w:lang w:val="en-GB"/>
        </w:rPr>
        <w:t>Michael S. Crawford</w:t>
      </w:r>
    </w:p>
    <w:p w14:paraId="0000002D" w14:textId="77777777" w:rsidR="007F1434" w:rsidRPr="00613D1C" w:rsidRDefault="000236F3" w:rsidP="00613D1C">
      <w:pPr>
        <w:spacing w:line="360" w:lineRule="auto"/>
        <w:ind w:left="720"/>
        <w:rPr>
          <w:rFonts w:cs="Times New Roman"/>
          <w:sz w:val="24"/>
          <w:szCs w:val="24"/>
          <w:lang w:val="en-GB"/>
        </w:rPr>
      </w:pPr>
      <w:r w:rsidRPr="00613D1C">
        <w:rPr>
          <w:rFonts w:cs="Times New Roman"/>
          <w:sz w:val="24"/>
          <w:szCs w:val="24"/>
          <w:lang w:val="en-GB"/>
        </w:rPr>
        <w:t>Transformation Pathways</w:t>
      </w:r>
    </w:p>
    <w:p w14:paraId="0000002E" w14:textId="77777777" w:rsidR="007F1434" w:rsidRPr="00613D1C" w:rsidRDefault="000236F3" w:rsidP="00613D1C">
      <w:pPr>
        <w:spacing w:line="360" w:lineRule="auto"/>
        <w:ind w:left="720"/>
        <w:rPr>
          <w:rFonts w:cs="Times New Roman"/>
          <w:sz w:val="24"/>
          <w:szCs w:val="24"/>
          <w:lang w:val="en-GB"/>
        </w:rPr>
      </w:pPr>
      <w:r w:rsidRPr="00613D1C">
        <w:rPr>
          <w:rFonts w:cs="Times New Roman"/>
          <w:sz w:val="24"/>
          <w:szCs w:val="24"/>
          <w:lang w:val="en-GB"/>
        </w:rPr>
        <w:t>Potsdam Institute for Climate Impact Research (PIK)</w:t>
      </w:r>
    </w:p>
    <w:p w14:paraId="0000002F" w14:textId="77777777" w:rsidR="007F1434" w:rsidRPr="00613D1C" w:rsidRDefault="000236F3" w:rsidP="00613D1C">
      <w:pPr>
        <w:spacing w:line="360" w:lineRule="auto"/>
        <w:ind w:left="720"/>
        <w:rPr>
          <w:rFonts w:cs="Times New Roman"/>
          <w:sz w:val="24"/>
          <w:szCs w:val="24"/>
          <w:lang w:val="en-GB"/>
        </w:rPr>
      </w:pPr>
      <w:r w:rsidRPr="00613D1C">
        <w:rPr>
          <w:rFonts w:cs="Times New Roman"/>
          <w:sz w:val="24"/>
          <w:szCs w:val="24"/>
          <w:lang w:val="en-GB"/>
        </w:rPr>
        <w:t>P.O. Box 60 12 03</w:t>
      </w:r>
    </w:p>
    <w:p w14:paraId="00000030" w14:textId="77777777" w:rsidR="007F1434" w:rsidRPr="00613D1C" w:rsidRDefault="000236F3" w:rsidP="00613D1C">
      <w:pPr>
        <w:spacing w:line="360" w:lineRule="auto"/>
        <w:ind w:left="720"/>
        <w:rPr>
          <w:rFonts w:cs="Times New Roman"/>
          <w:sz w:val="24"/>
          <w:szCs w:val="24"/>
          <w:lang w:val="en-GB"/>
        </w:rPr>
      </w:pPr>
      <w:r w:rsidRPr="00613D1C">
        <w:rPr>
          <w:rFonts w:cs="Times New Roman"/>
          <w:sz w:val="24"/>
          <w:szCs w:val="24"/>
          <w:lang w:val="en-GB"/>
        </w:rPr>
        <w:t>14412 Potsdam</w:t>
      </w:r>
    </w:p>
    <w:p w14:paraId="00000031" w14:textId="77777777" w:rsidR="007F1434" w:rsidRPr="00613D1C" w:rsidRDefault="000236F3" w:rsidP="00613D1C">
      <w:pPr>
        <w:spacing w:line="360" w:lineRule="auto"/>
        <w:rPr>
          <w:rFonts w:cs="Times New Roman"/>
          <w:sz w:val="24"/>
          <w:szCs w:val="24"/>
          <w:lang w:val="en-GB"/>
        </w:rPr>
      </w:pPr>
      <w:r w:rsidRPr="00613D1C">
        <w:rPr>
          <w:rFonts w:cs="Times New Roman"/>
          <w:sz w:val="24"/>
          <w:szCs w:val="24"/>
          <w:lang w:val="en-GB"/>
        </w:rPr>
        <w:br w:type="page"/>
      </w:r>
    </w:p>
    <w:p w14:paraId="00000032" w14:textId="77777777" w:rsidR="007F1434" w:rsidRPr="00613D1C" w:rsidRDefault="000236F3" w:rsidP="00613D1C">
      <w:pPr>
        <w:spacing w:line="360" w:lineRule="auto"/>
        <w:rPr>
          <w:rFonts w:cs="Times New Roman"/>
          <w:sz w:val="24"/>
          <w:szCs w:val="24"/>
          <w:lang w:val="en-GB"/>
        </w:rPr>
      </w:pPr>
      <w:r w:rsidRPr="00613D1C">
        <w:rPr>
          <w:rFonts w:cs="Times New Roman"/>
          <w:b/>
          <w:sz w:val="24"/>
          <w:szCs w:val="24"/>
          <w:lang w:val="en-GB"/>
        </w:rPr>
        <w:lastRenderedPageBreak/>
        <w:t>ABSTRACT</w:t>
      </w:r>
    </w:p>
    <w:p w14:paraId="00000033" w14:textId="77777777" w:rsidR="007F1434" w:rsidRPr="00613D1C" w:rsidRDefault="007F1434" w:rsidP="00613D1C">
      <w:pPr>
        <w:spacing w:line="360" w:lineRule="auto"/>
        <w:rPr>
          <w:rFonts w:cs="Times New Roman"/>
          <w:sz w:val="24"/>
          <w:szCs w:val="24"/>
          <w:lang w:val="en-GB"/>
        </w:rPr>
      </w:pPr>
    </w:p>
    <w:p w14:paraId="15EA7F8D" w14:textId="77777777" w:rsidR="0003616D" w:rsidRDefault="000236F3" w:rsidP="00613D1C">
      <w:pPr>
        <w:spacing w:line="360" w:lineRule="auto"/>
        <w:ind w:firstLine="720"/>
        <w:rPr>
          <w:rFonts w:cs="Times New Roman"/>
          <w:sz w:val="24"/>
          <w:szCs w:val="24"/>
          <w:lang w:val="en-GB"/>
        </w:rPr>
      </w:pPr>
      <w:r w:rsidRPr="00613D1C">
        <w:rPr>
          <w:rFonts w:cs="Times New Roman"/>
          <w:sz w:val="24"/>
          <w:szCs w:val="24"/>
          <w:lang w:val="en-GB"/>
        </w:rPr>
        <w:t xml:space="preserve">Community composition is a primary determinant of how biodiversity change influences ecosystem </w:t>
      </w:r>
      <w:r w:rsidR="00DA4999" w:rsidRPr="00613D1C">
        <w:rPr>
          <w:rFonts w:cs="Times New Roman"/>
          <w:sz w:val="24"/>
          <w:szCs w:val="24"/>
          <w:lang w:val="en-GB"/>
        </w:rPr>
        <w:t>functioning and</w:t>
      </w:r>
      <w:r w:rsidRPr="00613D1C">
        <w:rPr>
          <w:rFonts w:cs="Times New Roman"/>
          <w:sz w:val="24"/>
          <w:szCs w:val="24"/>
          <w:lang w:val="en-GB"/>
        </w:rPr>
        <w:t xml:space="preserve"> leads to variation in relationships between biodiversity and ecosystem functioning across systems (BEF). The presence of dominant species, for example, can either enhance or inhibit functioning. We examine the consequences of these dynamics across six structurally-realistic plant community models. We find that a positive correlation between species’ functioning in monoculture vs. their dominance in mixture (the “function-dominance correlation”) generates positive BEF relationships across levels of species richness. However, because realised diversity declines when few species dominate, a positive function-dominance correlation also generates negative BEF relationships within any given species richness treatment. Removing external seed input strengthens function-dominance correlation</w:t>
      </w:r>
      <w:r w:rsidR="008437E4">
        <w:rPr>
          <w:rFonts w:cs="Times New Roman"/>
          <w:sz w:val="24"/>
          <w:szCs w:val="24"/>
          <w:lang w:val="en-GB"/>
        </w:rPr>
        <w:t>s</w:t>
      </w:r>
      <w:r w:rsidRPr="00613D1C">
        <w:rPr>
          <w:rFonts w:cs="Times New Roman"/>
          <w:sz w:val="24"/>
          <w:szCs w:val="24"/>
          <w:lang w:val="en-GB"/>
        </w:rPr>
        <w:t xml:space="preserve"> across species richness treatments but weakens it within</w:t>
      </w:r>
      <w:r w:rsidR="008437E4">
        <w:rPr>
          <w:rFonts w:cs="Times New Roman"/>
          <w:sz w:val="24"/>
          <w:szCs w:val="24"/>
          <w:lang w:val="en-GB"/>
        </w:rPr>
        <w:t xml:space="preserve"> them</w:t>
      </w:r>
      <w:r w:rsidRPr="00613D1C">
        <w:rPr>
          <w:rFonts w:cs="Times New Roman"/>
          <w:sz w:val="24"/>
          <w:szCs w:val="24"/>
          <w:lang w:val="en-GB"/>
        </w:rPr>
        <w:t>. These results suggest that changes in the identity of species in a local species pool may more strongly decrease or increase ecosystem functioning than changes in species richness alone.</w:t>
      </w:r>
    </w:p>
    <w:p w14:paraId="00000034" w14:textId="66C45B2B"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br w:type="page"/>
      </w:r>
    </w:p>
    <w:p w14:paraId="00000035" w14:textId="77777777" w:rsidR="007F1434" w:rsidRPr="00613D1C" w:rsidRDefault="000236F3" w:rsidP="00613D1C">
      <w:pPr>
        <w:spacing w:line="360" w:lineRule="auto"/>
        <w:rPr>
          <w:rFonts w:cs="Times New Roman"/>
          <w:sz w:val="24"/>
          <w:szCs w:val="24"/>
          <w:lang w:val="en-GB"/>
        </w:rPr>
      </w:pPr>
      <w:r w:rsidRPr="00613D1C">
        <w:rPr>
          <w:rFonts w:cs="Times New Roman"/>
          <w:b/>
          <w:sz w:val="24"/>
          <w:szCs w:val="24"/>
          <w:lang w:val="en-GB"/>
        </w:rPr>
        <w:lastRenderedPageBreak/>
        <w:t>INTRODUCTION</w:t>
      </w:r>
      <w:r w:rsidRPr="00613D1C">
        <w:rPr>
          <w:rFonts w:cs="Times New Roman"/>
          <w:sz w:val="24"/>
          <w:szCs w:val="24"/>
          <w:lang w:val="en-GB"/>
        </w:rPr>
        <w:t xml:space="preserve"> </w:t>
      </w:r>
    </w:p>
    <w:p w14:paraId="00000036" w14:textId="77777777" w:rsidR="007F1434" w:rsidRPr="00613D1C" w:rsidRDefault="007F1434" w:rsidP="00613D1C">
      <w:pPr>
        <w:spacing w:line="360" w:lineRule="auto"/>
        <w:rPr>
          <w:rFonts w:cs="Times New Roman"/>
          <w:sz w:val="24"/>
          <w:szCs w:val="24"/>
          <w:lang w:val="en-GB"/>
        </w:rPr>
      </w:pPr>
    </w:p>
    <w:p w14:paraId="00000037" w14:textId="6FF19E00"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 xml:space="preserve">Humans are driving drastic environmental changes leading to global biodiversity loss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{"citationID":"sXTR4WBf","properties":{"formattedCitation":"({\\i{}Millenium Ecosystem Assessment Ecosystem and human well-being: synthesis} 2005; Tittensor {\\i{}et al.} 2014; Newbold {\\i{}et al.} 2015; Intergovernmental Science-Policy Platform on Biodiversity and Ecosystem Services 2019)","plainCitation":"(Millenium Ecosystem Assessment Ecosystem and human well-being: synthesis 2005; Tittensor et al. 2014; Newbold et al. 2015; Intergovernmental Science-Policy Platform on Biodiversity and Ecosystem Services 2019)","noteIndex":0},"citationItems":[{"id":2268,"uris":["http://zotero.org/users/961091/items/ZWPCKXPM"],"uri":["http://zotero.org/users/961091/items/ZWPCKXPM"],"itemData":{"id":2268,"type":"book","event-place":"Washington, DC","publisher":"Island Press","publisher-place":"Washington, DC","title":"Millenium Ecosystem Assessment Ecosystem and human well-being: synthesis","issued":{"date-parts":[["2005"]]}}},{"id":2596,"uris":["http://zotero.org/users/961091/items/7U9Y9LZF"],"uri":["http://zotero.org/users/961091/items/7U9Y9LZF"],"itemData":{"id":2596,"type":"article-journal","abstract":"In 2010, the international community, under the auspices of the Convention on Biological Diversity, agreed on 20 biodiversity-related “Aichi Targets” to be achieved within a decade. We provide a comprehensive mid-term assessment of progress toward these global targets using 55 indicator data sets. We projected indicator trends to 2020 using an adaptive statistical framework that incorporated the specific properties of individual time series. On current trajectories, results suggest that despite accelerating policy and management responses to the biodiversity crisis, the impacts of these efforts are unlikely to be reflected in improved trends in the state of biodiversity by 2020. We highlight areas of societal endeavor requiring additional efforts to achieve the Aichi Targets, and provide a baseline against which to assess future progress.\nIndicators of progress and decline\nThe targets set by the Convention on Biological Diversity in 2010 focused international efforts to alleviate global biodiversity decline. However, many of the consequences of these efforts will not be evident by the 2020 deadline agreed to by governments of 150 countries. Tittensor et al. analyzed data on 55 different biodiversity indicators to predict progress toward the 2020 targets—indicators such as protected area coverage, land-use trends, and endangered species status. The analysis pinpoints the problems and areas that will need the most attention in the next few years.\nScience, this issue p. 241\nAlthough conservation efforts are accelerating, their impact is unlikely to improve the global state of biodiversity by 2020.\nAlthough conservation efforts are accelerating, their impact is unlikely to improve the global state of biodiversity by 2020.","container-title":"Science","DOI":"10.1126/science.1257484","ISSN":"0036-8075, 1095-9203","issue":"6206","language":"en","note":"PMID: 25278504","page":"241-244","source":"science.sciencemag.org","title":"A mid-term analysis of progress toward international biodiversity targets","volume":"346","author":[{"family":"Tittensor","given":"Derek P."},{"family":"Walpole","given":"Matt"},{"family":"Hill","given":"Samantha L. L."},{"family":"Boyce","given":"Daniel G."},{"family":"Britten","given":"Gregory L."},{"family":"Burgess","given":"Neil D."},{"family":"Butchart","given":"Stuart H. M."},{"family":"Leadley","given":"Paul W."},{"family":"Regan","given":"Eugenie C."},{"family":"Alkemade","given":"Rob"},{"family":"Baumung","given":"Roswitha"},{"family":"Bellard","given":"Céline"},{"family":"Bouwman","given":"Lex"},{"family":"Bowles-Newark","given":"Nadine J."},{"family":"Chenery","given":"Anna M."},{"family":"Cheung","given":"William W. L."},{"family":"Christensen","given":"Villy"},{"family":"Cooper","given":"H. David"},{"family":"Crowther","given":"Annabel R."},{"family":"Dixon","given":"Matthew J. R."},{"family":"Galli","given":"Alessandro"},{"family":"Gaveau","given":"Valérie"},{"family":"Gregory","given":"Richard D."},{"family":"Gutierrez","given":"Nicolas L."},{"family":"Hirsch","given":"Tim L."},{"family":"Höft","given":"Robert"},{"family":"Januchowski-Hartley","given":"Stephanie R."},{"family":"Karmann","given":"Marion"},{"family":"Krug","given":"Cornelia B."},{"family":"Leverington","given":"Fiona J."},{"family":"Loh","given":"Jonathan"},{"family":"Lojenga","given":"Rik Kutsch"},{"family":"Malsch","given":"Kelly"},{"family":"Marques","given":"Alexandra"},{"family":"Morgan","given":"David H. W."},{"family":"Mumby","given":"Peter J."},{"family":"Newbold","given":"Tim"},{"family":"Noonan-Mooney","given":"Kieran"},{"family":"Pagad","given":"Shyama N."},{"family":"Parks","given":"Bradley C."},{"family":"Pereira","given":"Henrique M."},{"family":"Robertson","given":"Tim"},{"family":"Rondinini","given":"Carlo"},{"family":"Santini","given":"Luca"},{"family":"Scharlemann","given":"Jörn P. W."},{"family":"Schindler","given":"Stefan"},{"family":"Sumaila","given":"U. Rashid"},{"family":"Teh","given":"Louise S. L."},{"family":"Kolck","given":"Jennifer","dropping-particle":"van"},{"family":"Visconti","given":"Piero"},{"family":"Ye","given":"Yimin"}],"issued":{"date-parts":[["2014",10,10]]}}},{"id":2597,"uris":["http://zotero.org/users/961091/items/3BLEKHZN"],"uri":["http://zotero.org/users/961091/items/3BLEKHZN"],"itemData":{"id":2597,"type":"article-journal","abstract":"Human activities, especially conversion and degradation of habitats, are causing global biodiversity declines. How local ecological assemblages are responding is less clear—a concern given their importance for many ecosystem functions and services. We analysed a terrestrial assemblage database of unprecedented geographic and taxonomic coverage to quantify local biodiversity responses to land use and related changes. Here we show that in the worst-affected habitats, these pressures reduce within-sample species richness by an average of 76.5%, total abundance by 39.5% and 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 mitigation can deliver much more positive biodiversity changes (up to a 1.9% average increase) that are less strongly related to countries' socioeconomic status.","container-title":"Nature","DOI":"10.1038/nature14324","ISSN":"1476-4687","issue":"7545","language":"en","page":"45-50","source":"www.nature.com","title":"Global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J."},{"family":"Choimes","given":"Argyrios"},{"family":"Collen","given":"Ben"},{"family":"Day","given":"Julie"},{"family":"Palma","given":"Adriana De"},{"family":"Díaz","given":"Sandra"},{"family":"Echeverria-Londoño","given":"Susy"},{"family":"Edgar","given":"Melanie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W."},{"family":"Purvis","given":"Andy"}],"issued":{"date-parts":[["2015",4]]}}},{"id":4151,"uris":["http://zotero.org/users/961091/items/RVGCJNX7"],"uri":["http://zotero.org/users/961091/items/RVGCJNX7"],"itemData":{"id":4151,"type":"article-journal","abstract":"IPBES is an independent intergovernmental body comprising over 130 member Governments. Established by Governments in 2012, IPBES provides policymakers with objective scientific assessments about the state of knowledge regarding the planet’s biodiversity, ecosystems and the contributions they make to people, as well as options and actions to protect and sustainably use these vital natural assets. The IPBES Global Assessment of Biodiversity and Ecosystem Services represents the landmark product of the first work programme of IPBES (2014-2018). The Global Assessment was initiated following a decision from the IPBES Plenary at its fourth session (IPBES 4, Kuala Lumpur, 2016), and considered by the IPBES Plenary at its seventh session (IPBES 7, Paris, 2019). It is composed of a summary for policymakers, which was approved at IPBES 7, and six chapters, which were accepted at IPBES 7.","DOI":"10.5281/zenodo.3553579","language":"en","source":"zenodo.org","title":"Summary for policymakers of the global assessment report on biodiversity and ecosystem services","URL":"https://zenodo.org/record/3553579","author":[{"family":"Intergovernmental Science-Policy Platform on Biodiversity and Ecosystem Services","given":"Ipbes"}],"accessed":{"date-parts":[["2020",11,20]]},"issued":{"date-parts":[["2019",11,25]]}}}],"schema":"https://github.com/citation-style-language/schema/raw/master/csl-citation.json"}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w:t>
      </w:r>
      <w:r w:rsidR="00DA4999" w:rsidRPr="00DA4999">
        <w:rPr>
          <w:rFonts w:cs="Times New Roman"/>
          <w:i/>
          <w:iCs/>
          <w:sz w:val="24"/>
        </w:rPr>
        <w:t>Millenium Ecosystem Assessment Ecosystem and human well-being: synthesis</w:t>
      </w:r>
      <w:r w:rsidR="00DA4999" w:rsidRPr="00DA4999">
        <w:rPr>
          <w:rFonts w:cs="Times New Roman"/>
          <w:sz w:val="24"/>
        </w:rPr>
        <w:t xml:space="preserve"> 2005; Tittensor </w:t>
      </w:r>
      <w:r w:rsidR="00DA4999" w:rsidRPr="00DA4999">
        <w:rPr>
          <w:rFonts w:cs="Times New Roman"/>
          <w:i/>
          <w:iCs/>
          <w:sz w:val="24"/>
        </w:rPr>
        <w:t>et al.</w:t>
      </w:r>
      <w:r w:rsidR="00DA4999" w:rsidRPr="00DA4999">
        <w:rPr>
          <w:rFonts w:cs="Times New Roman"/>
          <w:sz w:val="24"/>
        </w:rPr>
        <w:t xml:space="preserve"> 2014; Newbold </w:t>
      </w:r>
      <w:r w:rsidR="00DA4999" w:rsidRPr="00DA4999">
        <w:rPr>
          <w:rFonts w:cs="Times New Roman"/>
          <w:i/>
          <w:iCs/>
          <w:sz w:val="24"/>
        </w:rPr>
        <w:t>et al.</w:t>
      </w:r>
      <w:r w:rsidR="00DA4999" w:rsidRPr="00DA4999">
        <w:rPr>
          <w:rFonts w:cs="Times New Roman"/>
          <w:sz w:val="24"/>
        </w:rPr>
        <w:t xml:space="preserve"> 2015; Intergovernmental Science-Policy Platform on Biodiversity and Ecosystem Services 2019)</w:t>
      </w:r>
      <w:r w:rsidR="00DA4999">
        <w:rPr>
          <w:rFonts w:cs="Times New Roman"/>
          <w:sz w:val="24"/>
          <w:szCs w:val="24"/>
          <w:lang w:val="en-GB"/>
        </w:rPr>
        <w:fldChar w:fldCharType="end"/>
      </w:r>
      <w:r w:rsidRPr="00613D1C">
        <w:rPr>
          <w:rFonts w:cs="Times New Roman"/>
          <w:sz w:val="24"/>
          <w:szCs w:val="24"/>
          <w:lang w:val="en-GB"/>
        </w:rPr>
        <w:t xml:space="preserve">. The rate of this biodiversity loss will likely accelerate in the coming decades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{"citationID":"kQt3UMkS","properties":{"formattedCitation":"(Pereira {\\i{}et al.} 2010; Pimm {\\i{}et al.} 2014; Intergovernmental Science-Policy Platform on Biodiversity and Ecosystem Services 2019)","plainCitation":"(Pereira et al. 2010; Pimm et al. 2014; Intergovernmental Science-Policy Platform on Biodiversity and Ecosystem Services 2019)","noteIndex":0},"citationItems":[{"id":2574,"uris":["http://zotero.org/users/961091/items/KR5JP4I2"],"uri":["http://zotero.org/users/961091/items/KR5JP4I2"],"itemData":{"id":2574,"type":"article-journal","abstract":"Quantitative scenarios are coming of age as a tool for evaluating the impact of future socioeconomic development pathways on biodiversity and ecosystem services. We analyze global terrestrial, freshwater, and marine biodiversity scenarios using a range of measures including extinctions, changes in species abundance, habitat loss, and distribution shifts, as well as comparing model projections to observations. Scenarios consistently indicate that biodiversity will continue to decline over the 21st century. However, the range of projected changes is much broader than most studies suggest, partly because there are major opportunities to intervene through better policies, but also because of large uncertainties in projections.","container-title":"Science","DOI":"10.1126/science.1196624","ISSN":"0036-8075, 1095-9203","issue":"6010","language":"en","note":"PMID: 20978282","page":"1496-1501","source":"science.sciencemag.org","title":"Scenarios for Global Biodiversity in the 21st Century","volume":"330","author":[{"family":"Pereira","given":"Henrique M."},{"family":"Leadley","given":"Paul W."},{"family":"Proença","given":"Vânia"},{"family":"Alkemade","given":"Rob"},{"family":"Scharlemann","given":"Jörn P. W."},{"family":"Fernandez-Manjarrés","given":"Juan F."},{"family":"Araújo","given":"Miguel B."},{"family":"Balvanera","given":"Patricia"},{"family":"Biggs","given":"Reinette"},{"family":"Cheung","given":"William W. L."},{"family":"Chini","given":"Louise"},{"family":"Cooper","given":"H. David"},{"family":"Gilman","given":"Eric L."},{"family":"Guénette","given":"Sylvie"},{"family":"Hurtt","given":"George C."},{"family":"Huntington","given":"Henry P."},{"family":"Mace","given":"Georgina M."},{"family":"Oberdorff","given":"Thierry"},{"family":"Revenga","given":"Carmen"},{"family":"Rodrigues","given":"Patrícia"},{"family":"Scholes","given":"Robert J."},{"family":"Sumaila","given":"Ussif Rashid"},{"family":"Walpole","given":"Matt"}],"issued":{"date-parts":[["2010",12,10]]}}},{"id":2573,"uris":["http://zotero.org/users/961091/items/ZYPTFQYP"],"uri":["http://zotero.org/users/961091/items/ZYPTFQYP"],"itemData":{"id":2573,"type":"article-journal","abstract":"Structured Abstract\nBackground A principal function of the Intergovernmental Science-Policy Platform on Biodiversity and Ecosystem Services (IPBES) is to “perform regular and timely assessments of knowledge on biodiversity.” In December 2013, its second plenary session approved a program to begin a global assessment in 2015. The Convention on Biological Diversity (CBD) and five other biodiversity-related conventions have adopted IPBES as their science-policy interface, so these assessments will be important in evaluating progress toward the CBD’s Aichi Targets of the Strategic Plan for Biodiversity 2011–2020. As a contribution toward such assessment, we review the biodiversity of eukaryote species and their extinction rates, distributions, and protection. We document what we know, how it likely differs from what we do not, and how these differences affect biodiversity statistics. Interestingly, several targets explicitly mention “known species”—a strong, if implicit, statement of incomplete knowledge. We start by asking how many species are known and how many remain undescribed. We then consider by how much human actions inflate extinction rates. Much depends on where species are, because different biomes contain different numbers of species of different susceptibilities. Biomes also suffer different levels of damage and have unequal levels of protection. How extinction rates will change depends on how and where threats expand and whether greater protection counters them.\n&lt;img class=\"highwire-embed\" alt=\"Embedded Image\" src=\"https://d2ufo47lrtsv5s.cloudfront.net/sites/default/files/highwire/sci/344/6187/1246752/embed/inline-graphic-1.gif\"/&gt;Different visualizations of species biodiversity. (A) The distributions of 9927 bird species. (B) The 4964 species with smaller than the median geographical range size. (C) The 1308 species assessed as threatened with a high risk of extinction by BirdLife International for the Red List of Threatened Species of the International Union for Conservation of Nature. (D) The 1080 threatened species with less than the median range size. (D) provides a strong geographical focus on where local conservation actions can have the greatest global impact. Additional biodiversity maps are available at www.biodiversitymapping.org.\nAdvances Recent studies have clarified where the most vulnerable species live, where and how humanity changes the planet, and how this drives extinctions. These data are increasingly accessible, bringing greater transparency to science and governance. Taxonomic catalogs of plants, terrestrial vertebrates, freshwater fish, and some marine taxa are sufficient to assess their status and the limitations of our knowledge. Most species are undescribed, however. The species we know best have large geographical ranges and are often common within them. Most known species have small ranges, however, and such species are typically newer discoveries. The numbers of known species with very small ranges are increasing quickly, even in well-known taxa. They are geographically concentrated and are disproportionately likely to be threatened or already extinct. We expect unknown species to share these characteristics. Current rates of extinction are about 1000 times the background rate of extinction. These are higher than previously estimated and likely still underestimated. Future rates will depend on many factors and are poised to increase. Finally, although there has been rapid progress in developing protected areas, such efforts are not ecologically representative, nor do they optimally protect biodiversity.\nOutlook Progress on assessing biodiversity will emerge from continued expansion of the many recently created online databases, combining them with new global data sources on changing land and ocean use and with increasingly crowdsourced data on species’ distributions. Examples of practical conservation that follow from using combined data in Colombia and Brazil can be found at www.savingspecies.org and www.youtube.com/watch?v=R3zjeJW2NVk.\nMaintaining biodiversity: From here to eternity?\nThere has been substantial recent progress in determining the distributions and identity of vulnerable species, and in understanding how (and where) human activity is leading to extinctions. Pimm et al. review the current state of knowledge and ask what the future rates of species extinction will be, how well protected areas will slow extinction rates, and how the remaining gaps in knowledge might be filled.\nScience, this issue p. 10.1126/science.1246752\nRecent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biodiversity.","container-title":"Science","DOI":"10.1126/science.1246752","ISSN":"0036-8075, 1095-9203","issue":"6187","language":"en","note":"PMID: 24876501","page":"1246752","source":"science.sciencemag.org","title":"The biodiversity of species and their rates of extinction, distribution, and protection","volume":"344","author":[{"family":"Pimm","given":"S. L."},{"family":"Jenkins","given":"C. N."},{"family":"Abell","given":"R."},{"family":"Brooks","given":"T. M."},{"family":"Gittleman","given":"J. L."},{"family":"Joppa","given":"L. N."},{"family":"Raven","given":"P. H."},{"family":"Roberts","given":"C. M."},{"family":"Sexton","given":"J. O."}],"issued":{"date-parts":[["2014",5,30]]}}},{"id":4151,"uris":["http://zotero.org/users/961091/items/RVGCJNX7"],"uri":["http://zotero.org/users/961091/items/RVGCJNX7"],"itemData":{"id":4151,"type":"article-journal","abstract":"IPBES is an independent intergovernmental body comprising over 130 member Governments. Established by Governments in 2012, IPBES provides policymakers with objective scientific assessments about the state of knowledge regarding the planet’s biodiversity, ecosystems and the contributions they make to people, as well as options and actions to protect and sustainably use these vital natural assets. The IPBES Global Assessment of Biodiversity and Ecosystem Services represents the landmark product of the first work programme of IPBES (2014-2018). The Global Assessment was initiated following a decision from the IPBES Plenary at its fourth session (IPBES 4, Kuala Lumpur, 2016), and considered by the IPBES Plenary at its seventh session (IPBES 7, Paris, 2019). It is composed of a summary for policymakers, which was approved at IPBES 7, and six chapters, which were accepted at IPBES 7.","DOI":"10.5281/zenodo.3553579","language":"en","source":"zenodo.org","title":"Summary for policymakers of the global assessment report on biodiversity and ecosystem services","URL":"https://zenodo.org/record/3553579","author":[{"family":"Intergovernmental Science-Policy Platform on Biodiversity and Ecosystem Services","given":"Ipbes"}],"accessed":{"date-parts":[["2020",11,20]]},"issued":{"date-parts":[["2019",11,25]]}}}],"schema":"https://github.com/citation-style-language/schema/raw/master/csl-citation.json"}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(Pereira </w:t>
      </w:r>
      <w:r w:rsidR="00DA4999" w:rsidRPr="00DA4999">
        <w:rPr>
          <w:rFonts w:cs="Times New Roman"/>
          <w:i/>
          <w:iCs/>
          <w:sz w:val="24"/>
        </w:rPr>
        <w:t>et al.</w:t>
      </w:r>
      <w:r w:rsidR="00DA4999" w:rsidRPr="00DA4999">
        <w:rPr>
          <w:rFonts w:cs="Times New Roman"/>
          <w:sz w:val="24"/>
        </w:rPr>
        <w:t xml:space="preserve"> 2010; Pimm </w:t>
      </w:r>
      <w:r w:rsidR="00DA4999" w:rsidRPr="00DA4999">
        <w:rPr>
          <w:rFonts w:cs="Times New Roman"/>
          <w:i/>
          <w:iCs/>
          <w:sz w:val="24"/>
        </w:rPr>
        <w:t>et al.</w:t>
      </w:r>
      <w:r w:rsidR="00DA4999" w:rsidRPr="00DA4999">
        <w:rPr>
          <w:rFonts w:cs="Times New Roman"/>
          <w:sz w:val="24"/>
        </w:rPr>
        <w:t xml:space="preserve"> 2014; Intergovernmental Science-Policy Platform on Biodiversity and Ecosystem Services 2019)</w:t>
      </w:r>
      <w:r w:rsidR="00DA4999">
        <w:rPr>
          <w:rFonts w:cs="Times New Roman"/>
          <w:sz w:val="24"/>
          <w:szCs w:val="24"/>
          <w:lang w:val="en-GB"/>
        </w:rPr>
        <w:fldChar w:fldCharType="end"/>
      </w:r>
      <w:r w:rsidR="00DA4999">
        <w:rPr>
          <w:rFonts w:cs="Times New Roman"/>
          <w:sz w:val="24"/>
          <w:szCs w:val="24"/>
          <w:lang w:val="en-GB"/>
        </w:rPr>
        <w:t>.</w:t>
      </w:r>
      <w:r w:rsidRPr="00613D1C">
        <w:rPr>
          <w:rFonts w:cs="Times New Roman"/>
          <w:sz w:val="24"/>
          <w:szCs w:val="24"/>
          <w:lang w:val="en-GB"/>
        </w:rPr>
        <w:t xml:space="preserve"> Biodiversity experiments demonstrate that the loss of randomly selected species from controlled communities generally decreases local ecosystem functioning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{"citationID":"GdKrtwqb","properties":{"formattedCitation":"(Tilman {\\i{}et al.} 2014)","plainCitation":"(Tilman et al. 2014)","noteIndex":0},"citationItems":[{"id":1807,"uris":["http://zotero.org/users/961091/items/43PFWTEC"],"uri":["http://zotero.org/users/961091/items/43PFWTEC"],"itemData":{"id":1807,"type":"article-journal","container-title":"Annual Review of Ecology, Evolution, and Systematics","page":"471–493","source":"Google Scholar","title":"Biodiversity and ecosystem functioning","volume":"45","author":[{"family":"Tilman","given":"David"},{"family":"Isbell","given":"Forest"},{"family":"Cowles","given":"Jane M."}],"issued":{"date-parts":[["2014"]]}}}],"schema":"https://github.com/citation-style-language/schema/raw/master/csl-citation.json"}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(Tilman </w:t>
      </w:r>
      <w:r w:rsidR="00DA4999" w:rsidRPr="00DA4999">
        <w:rPr>
          <w:rFonts w:cs="Times New Roman"/>
          <w:i/>
          <w:iCs/>
          <w:sz w:val="24"/>
        </w:rPr>
        <w:t>et al.</w:t>
      </w:r>
      <w:r w:rsidR="00DA4999" w:rsidRPr="00DA4999">
        <w:rPr>
          <w:rFonts w:cs="Times New Roman"/>
          <w:sz w:val="24"/>
        </w:rPr>
        <w:t xml:space="preserve"> 2014)</w:t>
      </w:r>
      <w:r w:rsidR="00DA4999">
        <w:rPr>
          <w:rFonts w:cs="Times New Roman"/>
          <w:sz w:val="24"/>
          <w:szCs w:val="24"/>
          <w:lang w:val="en-GB"/>
        </w:rPr>
        <w:fldChar w:fldCharType="end"/>
      </w:r>
      <w:r w:rsidR="00DA4999">
        <w:rPr>
          <w:rFonts w:cs="Times New Roman"/>
          <w:sz w:val="24"/>
          <w:szCs w:val="24"/>
          <w:lang w:val="en-GB"/>
        </w:rPr>
        <w:t>.</w:t>
      </w:r>
      <w:r w:rsidRPr="00613D1C">
        <w:rPr>
          <w:rFonts w:cs="Times New Roman"/>
          <w:sz w:val="24"/>
          <w:szCs w:val="24"/>
          <w:lang w:val="en-GB"/>
        </w:rPr>
        <w:t xml:space="preserve"> However, the response of ecosystem functioning to biodiversity change is also context-dependent. Even within a single ecosystem type such as grasslands, there is significant divergence in the direction (negative vs. positive,</w:t>
      </w:r>
      <w:r w:rsidR="00DA4999">
        <w:rPr>
          <w:rFonts w:cs="Times New Roman"/>
          <w:sz w:val="24"/>
          <w:szCs w:val="24"/>
          <w:lang w:val="en-GB"/>
        </w:rPr>
        <w:t xml:space="preserve"> </w:t>
      </w:r>
      <w:r w:rsidR="00DA4999">
        <w:rPr>
          <w:rFonts w:cs="Times New Roman"/>
          <w:sz w:val="24"/>
          <w:szCs w:val="24"/>
          <w:lang w:val="en-GB"/>
        </w:rPr>
        <w:fldChar w:fldCharType="begin"/>
      </w:r>
      <w:r w:rsidR="00921D16">
        <w:rPr>
          <w:rFonts w:cs="Times New Roman"/>
          <w:sz w:val="24"/>
          <w:szCs w:val="24"/>
          <w:lang w:val="en-GB"/>
        </w:rPr>
        <w:instrText xml:space="preserve"> ADDIN ZOTERO_ITEM CSL_CITATION {"citationID":"ezJYbFmi","properties":{"formattedCitation":"(Meyer {\\i{}et al.} 2018)","plainCitation":"(Meyer et al. 2018)","dontUpdate":true,"noteIndex":0},"citationItems":[{"id":2595,"uris":["http://zotero.org/users/961091/items/NLUGVPCJ"],"uri":["http://zotero.org/users/961091/items/NLUGVPCJ"],"itemData":{"id":2595,"type":"article-journal","abstract":"Analysis of 82 indictors of ecosystem functioning at the Jena grassland biodiversity experiment shows that multifunctionality increases strongly with diversity, but depends on the number and identity of the functions considered.","container-title":"Nature Ecology &amp; Evolution","DOI":"10.1038/s41559-017-0391-4","ISSN":"2397-334X","issue":"1","language":"en","page":"44-49","source":"www.nature.com","title":"Biodiversity–multifunctionality relationships depend on identity and number of measured functions","volume":"2","author":[{"family":"Meyer","given":"Sebastian T."},{"family":"Ptacnik","given":"Robert"},{"family":"Hillebrand","given":"Helmut"},{"family":"Bessler","given":"Holger"},{"family":"Buchmann","given":"Nina"},{"family":"Ebeling","given":"Anne"},{"family":"Eisenhauer","given":"Nico"},{"family":"Engels","given":"Christof"},{"family":"Fischer","given":"Markus"},{"family":"Halle","given":"Stefan"},{"family":"Klein","given":"Alexandra-Maria"},{"family":"Oelmann","given":"Yvonne"},{"family":"Roscher","given":"Christiane"},{"family":"Rottstock","given":"Tanja"},{"family":"Scherber","given":"Christoph"},{"family":"Scheu","given":"Stefan"},{"family":"Schmid","given":"Bernhard"},{"family":"Schulze","given":"Ernst-Detlef"},{"family":"Temperton","given":"Vicky M."},{"family":"Tscharntke","given":"Teja"},{"family":"Voigt","given":"Winfried"},{"family":"Weigelt","given":"Alexandra"},{"family":"Wilcke","given":"Wolfgang"},{"family":"Weisser","given":"Wolfgang W."}],"issued":{"date-parts":[["2018",1]]}}}],"schema":"https://github.com/citation-style-language/schema/raw/master/csl-citation.json"}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Meyer </w:t>
      </w:r>
      <w:r w:rsidR="00DA4999" w:rsidRPr="00DA4999">
        <w:rPr>
          <w:rFonts w:cs="Times New Roman"/>
          <w:i/>
          <w:iCs/>
          <w:sz w:val="24"/>
        </w:rPr>
        <w:t>et al.</w:t>
      </w:r>
      <w:r w:rsidR="00DA4999" w:rsidRPr="00DA4999">
        <w:rPr>
          <w:rFonts w:cs="Times New Roman"/>
          <w:sz w:val="24"/>
        </w:rPr>
        <w:t xml:space="preserve"> 2018)</w:t>
      </w:r>
      <w:r w:rsidR="00DA4999">
        <w:rPr>
          <w:rFonts w:cs="Times New Roman"/>
          <w:sz w:val="24"/>
          <w:szCs w:val="24"/>
          <w:lang w:val="en-GB"/>
        </w:rPr>
        <w:fldChar w:fldCharType="end"/>
      </w:r>
      <w:r w:rsidRPr="00613D1C">
        <w:rPr>
          <w:rFonts w:cs="Times New Roman"/>
          <w:sz w:val="24"/>
          <w:szCs w:val="24"/>
          <w:lang w:val="en-GB"/>
        </w:rPr>
        <w:t xml:space="preserve">, strength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{"citationID":"xbOc3uqA","properties":{"formattedCitation":"(Guerrero-Ram\\uc0\\u237{}rez {\\i{}et al.} 2017)","plainCitation":"(Guerrero-Ramírez et al. 2017)","noteIndex":0},"citationItems":[{"id":2564,"uris":["http://zotero.org/users/961091/items/Z3XSNF5G"],"uri":["http://zotero.org/users/961091/items/Z3XSNF5G"],"itemData":{"id":2564,"type":"article-journal","abstract":"Long-term grassland and forest experiments reveal that temporal strengthening in biodiversity functioning relationships is mainly driven by increases in functioning in high-diversity communities.","container-title":"Nature Ecology &amp; Evolution","DOI":"10.1038/s41559-017-0325-1","ISSN":"2397-334X","issue":"11","language":"en","page":"1639-1642","source":"www.nature.com","title":"Diversity-dependent temporal divergence of ecosystem functioning in experimental ecosystems","volume":"1","author":[{"family":"Guerrero-Ramírez","given":"Nathaly R."},{"family":"Craven","given":"Dylan"},{"family":"Reich","given":"Peter B."},{"family":"Ewel","given":"John J."},{"family":"Isbell","given":"Forest"},{"family":"Koricheva","given":"Julia"},{"family":"Parrotta","given":"John A."},{"family":"Auge","given":"Harald"},{"family":"Erickson","given":"Heather E."},{"family":"Forrester","given":"David I."},{"family":"Hector","given":"Andy"},{"family":"Joshi","given":"Jasmin"},{"family":"Montagnini","given":"Florencia"},{"family":"Palmborg","given":"Cecilia"},{"family":"Piotto","given":"Daniel"},{"family":"Potvin","given":"Catherine"},{"family":"Roscher","given":"Christiane"},{"family":"Ruijven","given":"Jasper","dropping-particle":"van"},{"family":"Tilman","given":"David"},{"family":"Wilsey","given":"Brian"},{"family":"Eisenhauer","given":"Nico"}],"issued":{"date-parts":[["2017",11]]}}}],"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(Guerrero-Ramírez </w:t>
      </w:r>
      <w:r w:rsidR="00DA4999" w:rsidRPr="00DA4999">
        <w:rPr>
          <w:rFonts w:cs="Times New Roman"/>
          <w:i/>
          <w:iCs/>
          <w:sz w:val="24"/>
        </w:rPr>
        <w:t>et al.</w:t>
      </w:r>
      <w:r w:rsidR="00DA4999" w:rsidRPr="00DA4999">
        <w:rPr>
          <w:rFonts w:cs="Times New Roman"/>
          <w:sz w:val="24"/>
        </w:rPr>
        <w:t xml:space="preserve"> 2017)</w:t>
      </w:r>
      <w:r w:rsidR="00DA4999">
        <w:rPr>
          <w:rFonts w:cs="Times New Roman"/>
          <w:sz w:val="24"/>
          <w:szCs w:val="24"/>
          <w:lang w:val="en-GB"/>
        </w:rPr>
        <w:fldChar w:fldCharType="end"/>
      </w:r>
      <w:r w:rsidRPr="00613D1C">
        <w:rPr>
          <w:rFonts w:cs="Times New Roman"/>
          <w:sz w:val="24"/>
          <w:szCs w:val="24"/>
          <w:lang w:val="en-GB"/>
        </w:rPr>
        <w:t xml:space="preserve">, and drivers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{"citationID":"RHAB5UQc","properties":{"formattedCitation":"(Barry {\\i{}et al.} 2019b)","plainCitation":"(Barry et al. 2019b)","noteIndex":0},"citationItems":[{"id":3408,"uris":["http://zotero.org/users/961091/items/LQ5IVF22"],"uri":["http://zotero.org/users/961091/items/LQ5IVF22"],"itemData":{"id":3408,"type":"article-journal","abstract":"Evidence suggests that biodiversity supports ecosystem functioning. Yet, the mechanisms driving this relationship remain unclear. Complementarity is one common explanation for these positive biodiversity–ecosystem functioning relationships. Yet, complementarity is often indirectly quantified as overperformance in mixture relative to monoculture (e.g., ‘complementarity effect’). This overperformance is then attributed to the intuitive idea of complementarity or, more specifically, to species resource partitioning. Locally, however, several unassociated causes may drive this overperformance. Here, we differentiate complementarity into three types of species differences that may cause enhanced ecosystem functioning in more diverse ecosystems: (i) resource partitioning, (ii) abiotic facilitation, and (iii) biotic feedbacks. We argue that disentangling these three causes is crucial for predicting the response of ecosystems to future biodiversity loss.","container-title":"Trends in Ecology &amp; Evolution","DOI":"10.1016/j.tree.2018.10.013","ISSN":"0169-5347","issue":"2","journalAbbreviation":"Trends in Ecology &amp; Evolution","language":"en","page":"167-180","source":"ScienceDirect","title":"The Future of Complementarity: Disentangling Causes from Consequences","title-short":"The Future of Complementarity","volume":"34","author":[{"family":"Barry","given":"Kathryn E."},{"family":"Mommer","given":"Liesje"},{"family":"Ruijven","given":"Jasper","non-dropping-particle":"van"},{"family":"Wirth","given":"Christian"},{"family":"Wright","given":"Alexandra J."},{"family":"Bai","given":"Yongfei"},{"family":"Connolly","given":"John"},{"family":"De Deyn","given":"Gerlinde B."},{"family":"Kroon","given":"Hans","non-dropping-particle":"de"},{"family":"Isbell","given":"Forest"},{"family":"Milcu","given":"Alexandru"},{"family":"Roscher","given":"Christiane"},{"family":"Scherer-Lorenzen","given":"Michael"},{"family":"Schmid","given":"Bernhard"},{"family":"Weigelt","given":"Alexandra"}],"issued":{"date-parts":[["2019",2,1]]}}}],"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(Barry </w:t>
      </w:r>
      <w:r w:rsidR="00DA4999" w:rsidRPr="00DA4999">
        <w:rPr>
          <w:rFonts w:cs="Times New Roman"/>
          <w:i/>
          <w:iCs/>
          <w:sz w:val="24"/>
        </w:rPr>
        <w:t>et al.</w:t>
      </w:r>
      <w:r w:rsidR="00DA4999" w:rsidRPr="00DA4999">
        <w:rPr>
          <w:rFonts w:cs="Times New Roman"/>
          <w:sz w:val="24"/>
        </w:rPr>
        <w:t xml:space="preserve"> 2019b)</w:t>
      </w:r>
      <w:r w:rsidR="00DA4999">
        <w:rPr>
          <w:rFonts w:cs="Times New Roman"/>
          <w:sz w:val="24"/>
          <w:szCs w:val="24"/>
          <w:lang w:val="en-GB"/>
        </w:rPr>
        <w:fldChar w:fldCharType="end"/>
      </w:r>
      <w:r w:rsidR="00DA4999">
        <w:rPr>
          <w:rFonts w:cs="Times New Roman"/>
          <w:sz w:val="24"/>
          <w:szCs w:val="24"/>
          <w:lang w:val="en-GB"/>
        </w:rPr>
        <w:t xml:space="preserve"> </w:t>
      </w:r>
      <w:r w:rsidRPr="00613D1C">
        <w:rPr>
          <w:rFonts w:cs="Times New Roman"/>
          <w:sz w:val="24"/>
          <w:szCs w:val="24"/>
          <w:lang w:val="en-GB"/>
        </w:rPr>
        <w:t xml:space="preserve">of biodiversity-ecosystem functioning (BEF) relationships. This variation in BEF relationships is even greater when multiple ecosystem types are considered </w:t>
      </w:r>
      <w:r w:rsidR="00DA4999">
        <w:rPr>
          <w:rFonts w:cs="Times New Roman"/>
          <w:sz w:val="24"/>
          <w:szCs w:val="24"/>
          <w:lang w:val="en-GB"/>
        </w:rPr>
        <w:fldChar w:fldCharType="begin"/>
      </w:r>
      <w:r w:rsidR="0068758F">
        <w:rPr>
          <w:rFonts w:cs="Times New Roman"/>
          <w:sz w:val="24"/>
          <w:szCs w:val="24"/>
          <w:lang w:val="en-GB"/>
        </w:rPr>
        <w:instrText xml:space="preserve"> ADDIN ZOTERO_ITEM CSL_CITATION {"citationID":"lyXxL9tv","properties":{"formattedCitation":"(Duffy {\\i{}et al.} 2017; Plas 2019)","plainCitation":"(Duffy et al. 2017; Plas 2019)","dontUpdate":true,"noteIndex":0},"citationItems":[{"id":2822,"uris":["http://zotero.org/users/961091/items/LNSQKM52"],"uri":["http://zotero.org/users/961091/items/LNSQKM52"],"itemData":{"id":2822,"type":"article-journal","abstract":"More than 500 controlled experiments have collectively suggested that biodiversity loss reduces ecosystem productivity and stability1,2,3. Yet the importance of biodiversity in sustaining the world’s ecosystems remains controversial4,5,6,7,8, largely because of the lack of validation in nature, where strong abiotic forcing and complex interactions are assumed to swamp biodiversity effects6,7,8,9. Here we test this assumption by analysing 133 estimates reported in 67 field studies that statistically separated the effects of biodiversity on biomass production from those of abiotic forcing. Contrary to the prevailing opinion of the previous two decades that biodiversity would have rare or weak effects in nature, we show that biomass production increases with species richness in a wide range of wild taxa and ecosystems. In fact, after controlling for environmental covariates, increases in biomass with biodiversity are stronger in nature than has previously been documented in experiments and comparable to or stronger than the effects of other well-known drivers of productivity, including climate and nutrient availability. These results are consistent with the collective experimental evidence that species richness increases community biomass production, and suggest that the role of biodiversity in maintaining productive ecosystems should figure prominently in global change science and policy.","container-title":"Nature","DOI":"10.1038/nature23886","ISSN":"1476-4687","issue":"7671","language":"en","page":"261-264","source":"www.nature.com","title":"Biodiversity effects in the wild are common and as strong as key drivers of productivity","volume":"549","author":[{"family":"Duffy","given":"J. Emmett"},{"family":"Godwin","given":"Casey M."},{"family":"Cardinale","given":"Bradley J."}],"issued":{"date-parts":[["2017",9]]}}},{"id":4072,"uris":["http://zotero.org/users/961091/items/ZCIE3UR7"],"uri":["http://zotero.org/users/961091/items/ZCIE3UR7"],"itemData":{"id":4072,"type":"article-journal","abstract":"Approximately 25 years ago, ecologists became increasingly interested in the question of whether ongoing biodiversity loss matters for the functioning of ecosystems. As such, a new ecological subfield on Biodiversity and Ecosystem Functioning (BEF) was born. This subfield was initially dominated by theoretical studies and by experiments in which biodiversity was manipulated, and responses of ecosystem functions such as biomass production, decomposition rates, carbon sequestration, trophic interactions and pollination were assessed. More recently, an increasing number of studies have investigated BEF relationships in non-manipulated ecosystems, but reviews synthesizing our knowledge on the importance of real-world biodiversity are still largely missing. I performed a systematic review in order to assess how biodiversity drives ecosystem functioning in both terrestrial and aquatic, naturally assembled communities, and on how important biodiversity is compared to other factors, including other aspects of community composition and abiotic conditions. The outcomes of 258 published studies, which reported 726 BEF relationships, revealed that in many cases, biodiversity promotes average biomass production and its temporal stability, and pollination success. For decomposition rates and ecosystem multifunctionality, positive effects of biodiversity outnumbered negative effects, but neutral relationships were even more common. Similarly, negative effects of prey biodiversity on pathogen and herbivore damage outnumbered positive effects, but were less common than neutral relationships. Finally, there was no evidence that biodiversity is related to soil carbon storage. Most BEF studies focused on the effects of taxonomic diversity, however, metrics of functional diversity were generally stronger predictors of ecosystem functioning. Furthermore, in most studies, abiotic factors and functional composition (e.g. the presence of a certain functional group) were stronger drivers of ecosystem functioning than biodiversity per se. While experiments suggest that positive biodiversity effects become stronger at larger spatial scales, in naturally assembled communities this idea is too poorly studied to draw general conclusions. In summary, a high biodiversity in naturally assembled communities positively drives various ecosystem functions. At the same time, the strength and direction of these effects vary highly among studies, and factors other than biodiversity can be even more important in driving ecosystem functioning. Thus, to promote those ecosystem functions that underpin human well-being, conservation should not only promote biodiversity per se, but also the abiotic conditions favouring species with suitable trait combinations.","container-title":"Biological Reviews","DOI":"10.1111/brv.12499","ISSN":"1469-185X","issue":"4","language":"en","note":"_eprint: https://onlinelibrary.wiley.com/doi/pdf/10.1111/brv.12499","page":"1220-1245","source":"Wiley Online Library","title":"Biodiversity and ecosystem functioning in naturally assembled communities","volume":"94","author":[{"family":"Plas","given":"Fons","dropping-particle":"van der"}],"issued":{"date-parts":[["2019"]]}}}],"schema":"https://github.com/citation-style-language/schema/raw/master/csl-citation.json"}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(Duffy </w:t>
      </w:r>
      <w:r w:rsidR="00DA4999" w:rsidRPr="00DA4999">
        <w:rPr>
          <w:rFonts w:cs="Times New Roman"/>
          <w:i/>
          <w:iCs/>
          <w:sz w:val="24"/>
        </w:rPr>
        <w:t>et al.</w:t>
      </w:r>
      <w:r w:rsidR="00DA4999" w:rsidRPr="00DA4999">
        <w:rPr>
          <w:rFonts w:cs="Times New Roman"/>
          <w:sz w:val="24"/>
        </w:rPr>
        <w:t xml:space="preserve"> 2017; </w:t>
      </w:r>
      <w:r w:rsidR="00DA4999">
        <w:rPr>
          <w:rFonts w:cs="Times New Roman"/>
          <w:sz w:val="24"/>
        </w:rPr>
        <w:t xml:space="preserve">van der </w:t>
      </w:r>
      <w:r w:rsidR="00DA4999" w:rsidRPr="00DA4999">
        <w:rPr>
          <w:rFonts w:cs="Times New Roman"/>
          <w:sz w:val="24"/>
        </w:rPr>
        <w:t>Plas 2019)</w:t>
      </w:r>
      <w:r w:rsidR="00DA4999">
        <w:rPr>
          <w:rFonts w:cs="Times New Roman"/>
          <w:sz w:val="24"/>
          <w:szCs w:val="24"/>
          <w:lang w:val="en-GB"/>
        </w:rPr>
        <w:fldChar w:fldCharType="end"/>
      </w:r>
      <w:r w:rsidRPr="00613D1C">
        <w:rPr>
          <w:rFonts w:cs="Times New Roman"/>
          <w:sz w:val="24"/>
          <w:szCs w:val="24"/>
          <w:lang w:val="en-GB"/>
        </w:rPr>
        <w:t>. Understanding this variability is of critical importance to anticipat</w:t>
      </w:r>
      <w:r w:rsidR="008437E4">
        <w:rPr>
          <w:rFonts w:cs="Times New Roman"/>
          <w:sz w:val="24"/>
          <w:szCs w:val="24"/>
          <w:lang w:val="en-GB"/>
        </w:rPr>
        <w:t>ing</w:t>
      </w:r>
      <w:r w:rsidRPr="00613D1C">
        <w:rPr>
          <w:rFonts w:cs="Times New Roman"/>
          <w:sz w:val="24"/>
          <w:szCs w:val="24"/>
          <w:lang w:val="en-GB"/>
        </w:rPr>
        <w:t xml:space="preserve"> the impact of biodiversity change. </w:t>
      </w:r>
    </w:p>
    <w:p w14:paraId="00000038" w14:textId="0DDB15B4" w:rsidR="007F1434" w:rsidRPr="00613D1C" w:rsidRDefault="000236F3" w:rsidP="00613D1C">
      <w:pPr>
        <w:spacing w:line="360" w:lineRule="auto"/>
        <w:ind w:firstLine="720"/>
        <w:rPr>
          <w:rFonts w:cs="Times New Roman"/>
          <w:sz w:val="24"/>
          <w:szCs w:val="24"/>
          <w:lang w:val="en-GB"/>
        </w:rPr>
      </w:pPr>
      <w:bookmarkStart w:id="5" w:name="_17i66vr8c9iy" w:colFirst="0" w:colLast="0"/>
      <w:bookmarkEnd w:id="5"/>
      <w:r w:rsidRPr="00613D1C">
        <w:rPr>
          <w:rFonts w:cs="Times New Roman"/>
          <w:sz w:val="24"/>
          <w:szCs w:val="24"/>
          <w:lang w:val="en-GB"/>
        </w:rPr>
        <w:t xml:space="preserve">One cause of this variability is likely variation in local-scale processes, such as species interactions, which determine which species can coexist in a community and the extent to which facets of biodiversity may influence ecosystem functioning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{"citationID":"rzQNFzBN","properties":{"formattedCitation":"(Wright 2002; Holt 2013; Barry {\\i{}et al.} 2019a)","plainCitation":"(Wright 2002; Holt 2013; Barry et al. 2019a)","noteIndex":0},"citationItems":[{"id":59,"uris":["http://zotero.org/users/961091/items/4TJH6UK4"],"uri":["http://zotero.org/users/961091/items/4TJH6UK4"],"itemData":{"id":59,"type":"article-journal","container-title":"Oecologia","issue":"1","page":"1–14","source":"Google Scholar","title":"Plant diversity in tropical forests: a review of mechanisms of species coexistence","title-short":"Plant diversity in tropical forests","volume":"130","author":[{"family":"Wright","given":"J. S."}],"issued":{"date-parts":[["2002"]]}}},{"id":2891,"uris":["http://zotero.org/users/961091/items/TRWL7RYY"],"uri":["http://zotero.org/users/961091/items/TRWL7RYY"],"itemData":{"id":2891,"type":"chapter","abstract":"Understanding the factors that govern the coexistence of species is a durable and deep problem in ecology. Introductions and bottle experiments both highlight how one can readily see extinction when species compete for similar resources. This article outlines the rich theory of coexistence that has built up over the last several decades. Mechanisms for coexistence need to take into account heterogeneity both in the environment and in the responses to and impacts of species on the environment. Current areas of interest include food web effects, the role of temporal and spatial variability in modulating interactions, transient coexistence, and evolutionary perspectives.","container-title":"Encyclopedia of Biodiversity (Second Edition)","event-place":"Waltham","ISBN":"978-0-12-384720-1","note":"DOI: 10.1016/B978-0-12-384719-5.00025-3","page":"667-678","publisher":"Academic Press","publisher-place":"Waltham","source":"ScienceDirect","title":"Species Coexistence","URL":"http://www.sciencedirect.com/science/article/pii/B9780123847195000253","author":[{"family":"Holt","given":"Robert D."}],"editor":[{"family":"Levin","given":"Simon A"}],"accessed":{"date-parts":[["2018",12,3]]},"issued":{"date-parts":[["2013",1,1]]}}},{"id":3409,"uris":["http://zotero.org/users/961091/items/7SFDMQ75"],"uri":["http://zotero.org/users/961091/items/7SFDMQ75"],"itemData":{"id":3409,"type":"chapter","container-title":"Advances in Ecological Research","ISBN":"978-0-08-102912-1","language":"en","note":"DOI: 10.1016/bs.aecr.2019.06.007","page":"265-296","publisher":"Elsevier","source":"DOI.org (Crossref)","title":"Linking local species coexistence to ecosystem functioning: a conceptual framework from ecological first principles in grassland ecosystems","title-short":"Linking local species coexistence to ecosystem functioning","URL":"https://linkinghub.elsevier.com/retrieve/pii/S0065250419300339","volume":"61","author":[{"family":"Barry","given":"Kathryn E."},{"family":"Kroon","given":"Hans","non-dropping-particle":"de"},{"family":"Dietrich","given":"Peter"},{"family":"Stanley Harpole","given":"W."},{"family":"Roeder","given":"Anna"},{"family":"Schmid","given":"Bernhard"},{"family":"Clark","given":"Adam T."},{"family":"Mayfield","given":"Margaret M."},{"family":"Wagg","given":"Cameron"},{"family":"Roscher","given":"Christiane"}],"accessed":{"date-parts":[["2019",11,19]]},"issued":{"date-parts":[["2019"]]}}}],"schema":"https://github.com/citation-style-language/schema/raw/master/csl-citation.json"}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(Wright 2002; Holt 2013; Barry </w:t>
      </w:r>
      <w:r w:rsidR="00DA4999" w:rsidRPr="00DA4999">
        <w:rPr>
          <w:rFonts w:cs="Times New Roman"/>
          <w:i/>
          <w:iCs/>
          <w:sz w:val="24"/>
        </w:rPr>
        <w:t>et al.</w:t>
      </w:r>
      <w:r w:rsidR="00DA4999" w:rsidRPr="00DA4999">
        <w:rPr>
          <w:rFonts w:cs="Times New Roman"/>
          <w:sz w:val="24"/>
        </w:rPr>
        <w:t xml:space="preserve"> 2019a)</w:t>
      </w:r>
      <w:r w:rsidR="00DA4999">
        <w:rPr>
          <w:rFonts w:cs="Times New Roman"/>
          <w:sz w:val="24"/>
          <w:szCs w:val="24"/>
          <w:lang w:val="en-GB"/>
        </w:rPr>
        <w:fldChar w:fldCharType="end"/>
      </w:r>
      <w:r w:rsidRPr="00613D1C">
        <w:rPr>
          <w:rFonts w:cs="Times New Roman"/>
          <w:sz w:val="24"/>
          <w:szCs w:val="24"/>
          <w:lang w:val="en-GB"/>
        </w:rPr>
        <w:t xml:space="preserve">. Interplay between these processes may result in variation in BEF relationships across ecosystems differ in the nature and strength of local and regional community assembly mechanisms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{"citationID":"Clgnzhkh","properties":{"formattedCitation":"(Leibold {\\i{}et al.} 2017)","plainCitation":"(Leibold et al. 2017)","noteIndex":0},"citationItems":[{"id":2930,"uris":["http://zotero.org/users/961091/items/RJ5GQSS4"],"uri":["http://zotero.org/users/961091/items/RJ5GQSS4"],"itemData":{"id":2930,"type":"article-journal","abstract":"Recent work linking community structure and ecosystem function has primarily focused on the effects of local species richness but has neglected the dispersal-dependent processes of community assembly that are ultimately involved in determining community structure and its relation to ecosystems. Here we combine simple consumer-resource competition models and metacommunity theory with discussion of case studies to outline how spatial processes within metacommunities can alter community assembly and modify expectations about how species diversity and composition influence ecosystem attributes at local scales. We argue that when community assembly is strongly limited by dispersal, this can constrain ecosystem functioning by reducing positive selection effects (reducing the probability of the most productive species becoming dominant) even though it may often also enhance complementarity (favoring combinations of species that enhance production even though they may not individually be most productive). Conversely, excess dispersal with strong source-sink relations among heterogeneous habitats can reduce ecosystem functioning by swamping local filters that would normally favor better-suited species. Ecosystem function is thus most likely maximized at intermediate levels of dispersal where both of these effects are minimized. In this scenario, we find that the selection effect is maximized, while complementarity is often reduced and local diversity may often be relatively low. Our synthesis emphasizes that it is the entire set of community assembly processes that affect the functioning of ecosystems, not just the part that determines local species richness.","container-title":"Ecology","DOI":"10.1002/ecy.1697","ISSN":"1939-9170","issue":"4","language":"en","page":"909-919","source":"Wiley Online Library","title":"Community assembly and the functioning of ecosystems: how metacommunity processes alter ecosystems attributes","title-short":"Community assembly and the functioning of ecosystems","volume":"98","author":[{"family":"Leibold","given":"Mathew A."},{"family":"Chase","given":"Jonathan M."},{"family":"Ernest","given":"S. K. Morgan"}],"issued":{"date-parts":[["2017"]]}}}],"schema":"https://github.com/citation-style-language/schema/raw/master/csl-citation.json"}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(Leibold </w:t>
      </w:r>
      <w:r w:rsidR="00DA4999" w:rsidRPr="00DA4999">
        <w:rPr>
          <w:rFonts w:cs="Times New Roman"/>
          <w:i/>
          <w:iCs/>
          <w:sz w:val="24"/>
        </w:rPr>
        <w:t>et al.</w:t>
      </w:r>
      <w:r w:rsidR="00DA4999" w:rsidRPr="00DA4999">
        <w:rPr>
          <w:rFonts w:cs="Times New Roman"/>
          <w:sz w:val="24"/>
        </w:rPr>
        <w:t xml:space="preserve"> 2017)</w:t>
      </w:r>
      <w:r w:rsidR="00DA4999">
        <w:rPr>
          <w:rFonts w:cs="Times New Roman"/>
          <w:sz w:val="24"/>
          <w:szCs w:val="24"/>
          <w:lang w:val="en-GB"/>
        </w:rPr>
        <w:fldChar w:fldCharType="end"/>
      </w:r>
      <w:r w:rsidR="00DA4999">
        <w:rPr>
          <w:rFonts w:cs="Times New Roman"/>
          <w:sz w:val="24"/>
          <w:szCs w:val="24"/>
          <w:lang w:val="en-GB"/>
        </w:rPr>
        <w:t>.</w:t>
      </w:r>
      <w:r w:rsidRPr="00613D1C">
        <w:rPr>
          <w:rFonts w:cs="Times New Roman"/>
          <w:sz w:val="24"/>
          <w:szCs w:val="24"/>
          <w:lang w:val="en-GB"/>
        </w:rPr>
        <w:t xml:space="preserve"> Communities with more species are more likely to include species that produce high levels of ecosystem functioning (e.g. biomass) through a “sampling effect”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{"citationID":"kQ003Y21","properties":{"formattedCitation":"(Huston 1997; Hooper {\\i{}et al.} 2005)","plainCitation":"(Huston 1997; Hooper et al. 2005)","noteIndex":0},"citationItems":[{"id":3115,"uris":["http://zotero.org/users/961091/items/AKF9CJJL"],"uri":["http://zotero.org/users/961091/items/AKF9CJJL"],"itemData":{"id":3115,"type":"article-journal","abstract":"Interactions between biotic and abiotic processes complicate the design and interpretation of ecological experiments. Separating causality from simple correlation requires distinguishing among experimental treatments, experimental responses, and the many processes and properties that are correlated with either the treatments or the responses, or both. When an experimental manipulation has multiple components, but only one of them is identified as the experimental treatment, erroneous conclusions about cause and effect relationships are likely because the actual cause of any observed response may be ignored in the interpretation of the experimental results. This unrecognized cause of an observed response can be considered a “hidden treatment.” Three types of hidden treatments are potential problems in biodiversity experiments: (1) abiotic conditions, such as resource levels, or biotic conditions, such as predation, which are intentionally or unintentionally altered in order to create differences in species numbers for “diversity” treatments; (2) non-random selection of species with particular attributes that produce treatment differences that exceed those due to “diversity” alone; and (3) the increased statistical probability of including a species with a dominant negative or positive effect (e.g., dense shade, or nitrogen fixation) in randomly selected groups of species of increasing number or “diversity.” In each of these cases, treatment responses that are actually the result of the “hidden treatment” may be inadvertently attributed to variation in species diversity. Case studies re-evaluating three different types of biodiversity experiments demonstrate that the increases found in such ecosystem properties as productivity, nutrient use efficiency, and stability (all of which were attributed to higher levels of species diversity) were actually caused by “hidden treatments” that altered plant biomass and productivity.","container-title":"Oecologia","DOI":"10.1007/s004420050180","ISSN":"1432-1939","issue":"4","journalAbbreviation":"Oecologia","language":"en","page":"449-460","source":"Springer Link","title":"Hidden treatments in ecological experiments: re-evaluating the ecosystem function of biodiversity","title-short":"Hidden treatments in ecological experiments","volume":"110","author":[{"family":"Huston","given":"Michael A."}],"issued":{"date-parts":[["1997",5,1]]}}},{"id":2208,"uris":["http://zotero.org/users/961091/items/IG2KE7XH"],"uri":["http://zotero.org/users/961091/items/IG2KE7XH"],"itemData":{"id":2208,"type":"article-journal","abstract":"Humans are altering the composition of biological communities through a variety of activities that increase rates of species invasions and species extinctions, at all scales, from local to global. These changes in components of the Earth's biodiversity cause concern for ethical and aesthetic reasons, but they also have a strong potential to alter ecosystem properties and the goods and services they provide to humanity. Ecological experiments, observations, and theoretical developments show that ecosystem properties depend greatly on biodiversity in terms of the functional characteristics of organisms present in the ecosystem and the distribution and abundance of those organisms over space and time. Species effects act in concert with the effects of climate, resource availability, and disturbance regimes in influencing ecosystem properties. Human activities can modify all of the above factors; here we focus on modification of these biotic controls. The scientific community has come to a broad consensus on many aspects of the relationship between biodiversity and ecosystem functioning, including many points relevant to management of ecosystems. Further progress will require integration of knowledge about biotic and abiotic controls on ecosystem properties, how ecological communities are structured, and the forces driving species extinctions and invasions. To strengthen links to policy and management, we also need to integrate our ecological knowledge with understanding of the social and economic constraints of potential management practices. Understanding this complexity, while taking strong steps to minimize current losses of species, is necessary for responsible management of Earth's ecosystems and the diverse biota they contain. Based on our review of the scientific literature, we are certain of the following conclusions: 1) Species' functional characteristics strongly influence ecosystem properties. Functional characteristics operate in a variety of contexts, including effects of dominant species, keystone species, ecological engineers, and interactions among species (e.g., competition, facilitation, mutualism, disease, and predation). Relative abundance alone is not always a good predictor of the ecosystem-level importance of a species, as even relatively rare species (e.g., a keystone predator) can strongly influence pathways of energy and material flows. 2) Alteration of biota in ecosystems via species invasions and extinctions caused by human activities has altered ecosystem goods and services in many well-documented cases. Many of these changes are difficult, expensive, or impossible to reverse or fix with technological solutions. 3) The effects of species loss or changes in composition, and the mechanisms by which the effects manifest themselves, can differ among ecosystem properties, ecosystem types, and pathways of potential community change. 4) Some ecosystem properties are initially insensitive to species loss because (a) ecosystems may have multiple species that carry out similar functional roles, (b) some species may contribute relatively little to ecosystem properties, or (c) properties may be primarily controlled by abiotic environmental conditions. 5) More species are needed to insure a stable supply of ecosystem goods and services as spatial and temporal variability increases, which typically occurs as longer time periods and larger areas are considered. We have high confidence in the following conclusions: 1) Certain combinations of species are complementary in their patterns of resource use and can increase average rates of productivity and nutrient retention. At the same time, environmental conditions can influence the importance of complementarity in structuring communities. Identification of which and how many species act in a complementary way in complex communities is just beginning. 2) Susceptibility to invasion by exotic species is strongly influenced by species composition and, under similar environmental conditions, generally decreases with increasing species richness. However, several other factors, such as propagule pressure, disturbance regime, and resource availability also strongly influence invasion success and often override effects of species richness in comparisons across different sites or ecosystems. 3) Having a range of species that respond differently to different environmental perturbations can stabilize ecosystem process rates in response to disturbances and variation in abiotic conditions. Using practices that maintain a diversity of organisms of different functional effect and functional response types will help preserve a range of management options. Uncertainties remain and further research is necessary in the following areas: 1) Further resolution of the relationships among taxonomic diversity, functional diversity, and community structure is important for identifying mechanisms of biodiversity effects. 2) Multiple trophic levels are common to ecosystems but have been understudied in biodiversity/ecosystem functioning research. The response of ecosystem properties to varying composition and diversity of consumer organisms is much more complex than responses seen in experiments that vary only the diversity of primary producers. 3) Theoretical work on stability has outpaced experimental work, especially field research. We need long-term experiments to be able to assess temporal stability, as well as experimental perturbations to assess response to and recovery from a variety of disturbances. Design and analysis of such experiments must account for several factors that covary with species diversity. 4) Because biodiversity both responds to and influences ecosystem properties, understanding the feedbacks involved is necessary to integrate results from experimental communities with patterns seen at broader scales. Likely patterns of extinction and invasion need to be linked to different drivers of global change, the forces that structure communities, and controls on ecosystem properties for the development of effective management and conservation strategies. 5) This paper focuses primarily on terrestrial systems, with some coverage of freshwater systems, because that is where most empirical and theoretical study has focused. While the fundamental principles described here should apply to marine systems, further study of that realm is necessary. Despite some uncertainties about the mechanisms and circumstances under which diversity influences ecosystem properties, incorporating diversity effects into policy and management is essential, especially in making decisions involving large temporal and spatial scales. Sacrificing those aspects of ecosystems that are difficult or impossible to reconstruct, such as diversity, simply because we are not yet certain about the extent and mechanisms by which they affect ecosystem properties, will restrict future management options even further. It is incumbent upon ecologists to communicate this need, and the values that can derive from such a perspective, to those charged with economic and policy decision-making.","container-title":"Ecological Monographs","DOI":"10.1890/04-0922","ISSN":"1557-7015","issue":"1","language":"en","page":"3-35","source":"Wiley Online Library","title":"Effects of Biodiversity on Ecosystem Functioning: A Consensus of Current Knowledge","title-short":"Effects of Biodiversity on Ecosystem Functioning","volume":"75","author":[{"family":"Hooper","given":"D. U."},{"family":"Chapin","given":"F. S."},{"family":"Ewel","given":"J. J."},{"family":"Hector","given":"A."},{"family":"Inchausti","given":"P."},{"family":"Lavorel","given":"S."},{"family":"Lawton","given":"J. H."},{"family":"Lodge","given":"D. M."},{"family":"Loreau","given":"M."},{"family":"Naeem","given":"S."},{"family":"Schmid","given":"B."},{"family":"Setälä","given":"H."},{"family":"Symstad","given":"A. J."},{"family":"Vandermeer","given":"J."},{"family":"Wardle","given":"D. A."}],"issued":{"date-parts":[["2005",2,1]]}}}],"schema":"https://github.com/citation-style-language/schema/raw/master/csl-citation.json"}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(Huston 1997; Hooper </w:t>
      </w:r>
      <w:r w:rsidR="00DA4999" w:rsidRPr="00DA4999">
        <w:rPr>
          <w:rFonts w:cs="Times New Roman"/>
          <w:i/>
          <w:iCs/>
          <w:sz w:val="24"/>
        </w:rPr>
        <w:t>et al.</w:t>
      </w:r>
      <w:r w:rsidR="00DA4999" w:rsidRPr="00DA4999">
        <w:rPr>
          <w:rFonts w:cs="Times New Roman"/>
          <w:sz w:val="24"/>
        </w:rPr>
        <w:t xml:space="preserve"> 2005)</w:t>
      </w:r>
      <w:r w:rsidR="00DA4999">
        <w:rPr>
          <w:rFonts w:cs="Times New Roman"/>
          <w:sz w:val="24"/>
          <w:szCs w:val="24"/>
          <w:lang w:val="en-GB"/>
        </w:rPr>
        <w:fldChar w:fldCharType="end"/>
      </w:r>
      <w:r w:rsidR="00DA4999">
        <w:rPr>
          <w:rFonts w:cs="Times New Roman"/>
          <w:sz w:val="24"/>
          <w:szCs w:val="24"/>
          <w:lang w:val="en-GB"/>
        </w:rPr>
        <w:t>.</w:t>
      </w:r>
      <w:r w:rsidRPr="00613D1C">
        <w:rPr>
          <w:rFonts w:cs="Times New Roman"/>
          <w:sz w:val="24"/>
          <w:szCs w:val="24"/>
          <w:lang w:val="en-GB"/>
        </w:rPr>
        <w:t xml:space="preserve"> As a result of this sampling effect, communities with high planted species richness are higher functioning, while communities with low planted species richness are lower functioning on average. This leads to a characteristic positive BEF relationship across communities with different levels of species richness. Alternatively, within a community, the dominant species may contribute the most to functioning and outcompete other species. If this occurs, </w:t>
      </w:r>
      <w:r w:rsidRPr="00613D1C">
        <w:rPr>
          <w:rFonts w:cs="Times New Roman"/>
          <w:b/>
          <w:i/>
          <w:sz w:val="24"/>
          <w:szCs w:val="24"/>
          <w:lang w:val="en-GB"/>
        </w:rPr>
        <w:t>realised diversity</w:t>
      </w:r>
      <w:r w:rsidRPr="00613D1C">
        <w:rPr>
          <w:rFonts w:cs="Times New Roman"/>
          <w:sz w:val="24"/>
          <w:szCs w:val="24"/>
          <w:lang w:val="en-GB"/>
        </w:rPr>
        <w:t xml:space="preserve"> may be negatively related to functioning across communities that are planted with similar numbers of species </w:t>
      </w:r>
      <w:r w:rsidR="00DA4999">
        <w:rPr>
          <w:rFonts w:cs="Times New Roman"/>
          <w:sz w:val="24"/>
          <w:szCs w:val="24"/>
          <w:lang w:val="en-GB"/>
        </w:rPr>
        <w:fldChar w:fldCharType="begin"/>
      </w:r>
      <w:r w:rsidR="00921D16">
        <w:rPr>
          <w:rFonts w:cs="Times New Roman"/>
          <w:sz w:val="24"/>
          <w:szCs w:val="24"/>
          <w:lang w:val="en-GB"/>
        </w:rPr>
        <w:instrText xml:space="preserve"> ADDIN ZOTERO_ITEM CSL_CITATION {"citationID":"PmdbX4E9","properties":{"formattedCitation":"(Leibold {\\i{}et al.} 2017)","plainCitation":"(Leibold et al. 2017)","dontUpdate":true,"noteIndex":0},"citationItems":[{"id":2930,"uris":["http://zotero.org/users/961091/items/RJ5GQSS4"],"uri":["http://zotero.org/users/961091/items/RJ5GQSS4"],"itemData":{"id":2930,"type":"article-journal","abstract":"Recent work linking community structure and ecosystem function has primarily focused on the effects of local species richness but has neglected the dispersal-dependent processes of community assembly that are ultimately involved in determining community structure and its relation to ecosystems. Here we combine simple consumer-resource competition models and metacommunity theory with discussion of case studies to outline how spatial processes within metacommunities can alter community assembly and modify expectations about how species diversity and composition influence ecosystem attributes at local scales. We argue that when community assembly is strongly limited by dispersal, this can constrain ecosystem functioning by reducing positive selection effects (reducing the probability of the most productive species becoming dominant) even though it may often also enhance complementarity (favoring combinations of species that enhance production even though they may not individually be most productive). Conversely, excess dispersal with strong source-sink relations among heterogeneous habitats can reduce ecosystem functioning by swamping local filters that would normally favor better-suited species. Ecosystem function is thus most likely maximized at intermediate levels of dispersal where both of these effects are minimized. In this scenario, we find that the selection effect is maximized, while complementarity is often reduced and local diversity may often be relatively low. Our synthesis emphasizes that it is the entire set of community assembly processes that affect the functioning of ecosystems, not just the part that determines local species richness.","container-title":"Ecology","DOI":"10.1002/ecy.1697","ISSN":"1939-9170","issue":"4","language":"en","page":"909-919","source":"Wiley Online Library","title":"Community assembly and the functioning of ecosystems: how metacommunity processes alter ecosystems attributes","title-short":"Community assembly and the functioning of ecosystems","volume":"98","author":[{"family":"Leibold","given":"Mathew A."},{"family":"Chase","given":"Jonathan M."},{"family":"Ernest","given":"S. K. Morgan"}],"issued":{"date-parts":[["2017"]]}}}],"schema":"https://github.com/citation-style-language/schema/raw/master/csl-citation.json"}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(Leibold </w:t>
      </w:r>
      <w:r w:rsidR="00DA4999" w:rsidRPr="00DA4999">
        <w:rPr>
          <w:rFonts w:cs="Times New Roman"/>
          <w:i/>
          <w:iCs/>
          <w:sz w:val="24"/>
        </w:rPr>
        <w:t>et al.</w:t>
      </w:r>
      <w:r w:rsidR="00DA4999" w:rsidRPr="00DA4999">
        <w:rPr>
          <w:rFonts w:cs="Times New Roman"/>
          <w:sz w:val="24"/>
        </w:rPr>
        <w:t xml:space="preserve"> 2017</w:t>
      </w:r>
      <w:r w:rsidR="0068758F">
        <w:rPr>
          <w:rFonts w:cs="Times New Roman"/>
          <w:sz w:val="24"/>
        </w:rPr>
        <w:t>,</w:t>
      </w:r>
      <w:r w:rsidR="00DA4999">
        <w:rPr>
          <w:rFonts w:cs="Times New Roman"/>
          <w:sz w:val="24"/>
          <w:szCs w:val="24"/>
          <w:lang w:val="en-GB"/>
        </w:rPr>
        <w:fldChar w:fldCharType="end"/>
      </w:r>
      <w:r w:rsidRPr="00613D1C">
        <w:rPr>
          <w:rFonts w:cs="Times New Roman"/>
          <w:sz w:val="24"/>
          <w:szCs w:val="24"/>
          <w:lang w:val="en-GB"/>
        </w:rPr>
        <w:t xml:space="preserve"> Fig. 1A). We refer to this characteristic pattern of contrasting BEF relationships across communities with very different versus similar numbers of species as a “counter-gradient” (Fig. 1). This type of counter-gradient is often associated with </w:t>
      </w:r>
      <w:r w:rsidRPr="00613D1C">
        <w:rPr>
          <w:rFonts w:cs="Times New Roman"/>
          <w:sz w:val="24"/>
          <w:szCs w:val="24"/>
          <w:lang w:val="en-GB"/>
        </w:rPr>
        <w:lastRenderedPageBreak/>
        <w:t xml:space="preserve">Simpson’s paradox which indicates that an underlying covariate may influence </w:t>
      </w:r>
      <w:r w:rsidR="008437E4">
        <w:rPr>
          <w:rFonts w:cs="Times New Roman"/>
          <w:sz w:val="24"/>
          <w:szCs w:val="24"/>
          <w:lang w:val="en-GB"/>
        </w:rPr>
        <w:t>observed</w:t>
      </w:r>
      <w:r w:rsidRPr="00613D1C">
        <w:rPr>
          <w:rFonts w:cs="Times New Roman"/>
          <w:sz w:val="24"/>
          <w:szCs w:val="24"/>
          <w:lang w:val="en-GB"/>
        </w:rPr>
        <w:t xml:space="preserve"> patterns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{"citationID":"XuU44bry","properties":{"formattedCitation":"(Simpson 1951)","plainCitation":"(Simpson 1951)","noteIndex":0},"citationItems":[{"id":4114,"uris":["http://zotero.org/users/961091/items/7W9UV5MJ"],"uri":["http://zotero.org/users/961091/items/7W9UV5MJ"],"itemData":{"id":4114,"type":"article-journal","abstract":"The definition of second order interaction in a (2 × 2 × 2) table given by Bartlett is accepted, but it is shown by an example that the vanishing of this second order interaction does not necessarily justify the mechanical procedure of forming the three component 2 × 2 tables and testing each of these for significance by standard methods.*","container-title":"Journal of the Royal Statistical Society: Series B (Methodological)","DOI":"https://doi.org/10.1111/j.2517-6161.1951.tb00088.x","ISSN":"2517-6161","issue":"2","language":"en","note":"_eprint: https://rss.onlinelibrary.wiley.com/doi/pdf/10.1111/j.2517-6161.1951.tb00088.x","page":"238-241","source":"Wiley Online Library","title":"The Interpretation of Interaction in Contingency Tables","volume":"13","author":[{"family":"Simpson","given":"E. H."}],"issued":{"date-parts":[["1951"]]}}}],"schema":"https://github.com/citation-style-language/schema/raw/master/csl-citation.json"} </w:instrText>
      </w:r>
      <w:r w:rsidR="00DA4999">
        <w:rPr>
          <w:rFonts w:cs="Times New Roman"/>
          <w:sz w:val="24"/>
          <w:szCs w:val="24"/>
          <w:lang w:val="en-GB"/>
        </w:rPr>
        <w:fldChar w:fldCharType="separate"/>
      </w:r>
      <w:r w:rsidR="00DA4999">
        <w:rPr>
          <w:rFonts w:cs="Times New Roman"/>
          <w:noProof/>
          <w:sz w:val="24"/>
          <w:szCs w:val="24"/>
          <w:lang w:val="en-GB"/>
        </w:rPr>
        <w:t>(Simpson 1951)</w:t>
      </w:r>
      <w:r w:rsidR="00DA4999">
        <w:rPr>
          <w:rFonts w:cs="Times New Roman"/>
          <w:sz w:val="24"/>
          <w:szCs w:val="24"/>
          <w:lang w:val="en-GB"/>
        </w:rPr>
        <w:fldChar w:fldCharType="end"/>
      </w:r>
      <w:r w:rsidRPr="00613D1C">
        <w:rPr>
          <w:rFonts w:cs="Times New Roman"/>
          <w:sz w:val="24"/>
          <w:szCs w:val="24"/>
          <w:lang w:val="en-GB"/>
        </w:rPr>
        <w:t xml:space="preserve">. </w:t>
      </w:r>
    </w:p>
    <w:p w14:paraId="00000039" w14:textId="33325917" w:rsidR="007F1434" w:rsidRPr="00613D1C" w:rsidRDefault="000236F3" w:rsidP="00613D1C">
      <w:pPr>
        <w:spacing w:line="360" w:lineRule="auto"/>
        <w:ind w:firstLine="720"/>
        <w:rPr>
          <w:rFonts w:cs="Times New Roman"/>
          <w:sz w:val="24"/>
          <w:szCs w:val="24"/>
          <w:lang w:val="en-GB"/>
        </w:rPr>
      </w:pPr>
      <w:bookmarkStart w:id="6" w:name="_d61hflg4js74" w:colFirst="0" w:colLast="0"/>
      <w:bookmarkEnd w:id="6"/>
      <w:r w:rsidRPr="00613D1C">
        <w:rPr>
          <w:rFonts w:cs="Times New Roman"/>
          <w:sz w:val="24"/>
          <w:szCs w:val="24"/>
          <w:lang w:val="en-GB"/>
        </w:rPr>
        <w:t>We hypothesi</w:t>
      </w:r>
      <w:r w:rsidR="00A94AD7">
        <w:rPr>
          <w:rFonts w:cs="Times New Roman"/>
          <w:sz w:val="24"/>
          <w:szCs w:val="24"/>
          <w:lang w:val="en-GB"/>
        </w:rPr>
        <w:t>s</w:t>
      </w:r>
      <w:r w:rsidRPr="00613D1C">
        <w:rPr>
          <w:rFonts w:cs="Times New Roman"/>
          <w:sz w:val="24"/>
          <w:szCs w:val="24"/>
          <w:lang w:val="en-GB"/>
        </w:rPr>
        <w:t>e that the covariate driving this paradox and, more importantly, the variation in BEF relationships across systems</w:t>
      </w:r>
      <w:r w:rsidR="008437E4">
        <w:rPr>
          <w:rFonts w:cs="Times New Roman"/>
          <w:sz w:val="24"/>
          <w:szCs w:val="24"/>
          <w:lang w:val="en-GB"/>
        </w:rPr>
        <w:t>,</w:t>
      </w:r>
      <w:r w:rsidRPr="00613D1C">
        <w:rPr>
          <w:rFonts w:cs="Times New Roman"/>
          <w:sz w:val="24"/>
          <w:szCs w:val="24"/>
          <w:lang w:val="en-GB"/>
        </w:rPr>
        <w:t xml:space="preserve"> is the correlation between a species’ ability to dominate in mixture (‘dominance’) vs. its baseline capacity to contribute to ecosystem functioning (‘functioning’). When this correlation is positive, we expect the counter-gradient to have a positive slope across communities that differ in species richness and a negative slope with reali</w:t>
      </w:r>
      <w:r w:rsidR="00A94AD7">
        <w:rPr>
          <w:rFonts w:cs="Times New Roman"/>
          <w:sz w:val="24"/>
          <w:szCs w:val="24"/>
          <w:lang w:val="en-GB"/>
        </w:rPr>
        <w:t>s</w:t>
      </w:r>
      <w:r w:rsidRPr="00613D1C">
        <w:rPr>
          <w:rFonts w:cs="Times New Roman"/>
          <w:sz w:val="24"/>
          <w:szCs w:val="24"/>
          <w:lang w:val="en-GB"/>
        </w:rPr>
        <w:t xml:space="preserve">ed diversity across communities with similar species richness (Fig. 1A). Alternatively, when this correlation is negative, we expect this counter-gradient to have a negative slope across communities that differ in species richness and a positive slope across communities that have similar species richness (Fig. 1B) because of a negative sampling effect. That is, in more diverse communities, the likelihood of including a dominant low-functioning species would be higher. Likewise, within communities of similar planted species richness, when the community is dominated by the low-functioning species, functioning is expected to be lower than in communities where species abundances are more evenly distributed (i.e. at higher realised diversity). We refer to this correlation between species dominance in mixture and their capacity to provide functioning as the “function-dominance correlation”. </w:t>
      </w:r>
    </w:p>
    <w:p w14:paraId="0000003A" w14:textId="16628A5D" w:rsidR="007F1434" w:rsidRPr="00613D1C" w:rsidRDefault="000236F3" w:rsidP="00613D1C">
      <w:pPr>
        <w:spacing w:line="360" w:lineRule="auto"/>
        <w:ind w:firstLine="720"/>
        <w:rPr>
          <w:rFonts w:cs="Times New Roman"/>
          <w:sz w:val="24"/>
          <w:szCs w:val="24"/>
          <w:lang w:val="en-GB"/>
        </w:rPr>
      </w:pPr>
      <w:bookmarkStart w:id="7" w:name="_4olx824p767o" w:colFirst="0" w:colLast="0"/>
      <w:bookmarkEnd w:id="7"/>
      <w:r w:rsidRPr="00613D1C">
        <w:rPr>
          <w:rFonts w:cs="Times New Roman"/>
          <w:sz w:val="24"/>
          <w:szCs w:val="24"/>
          <w:lang w:val="en-GB"/>
        </w:rPr>
        <w:t xml:space="preserve">In addition to these local processes related to the identity and dominance of species in local species pools, regional processes, such as seed dispersal, can affect coexistence by maintaining populations that would otherwise go extinct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{"citationID":"sFfIthEp","properties":{"formattedCitation":"(Leibold &amp; Chase 2018)","plainCitation":"(Leibold &amp; Chase 2018)","noteIndex":0},"citationItems":[{"id":2818,"uris":["http://zotero.org/users/961091/items/B4QBUEHD"],"uri":["http://zotero.org/users/961091/items/B4QBUEHD"],"itemData":{"id":2818,"type":"book","abstract":"Metacommunity ecology links smaller-scale processes that have been the provenance of population and community ecology-such as birth-death processes, species interactions, selection, and stochasticity-with larger-scale issues such as dispersal and habitat heterogeneity. Until now, the field has focused on evaluating the relative importance of distinct processes, with niche-based environmental sorting on one side and neutral-based ecological drift and dispersal limitation on the other. This book moves beyond these artificial categorizations, showing how environmental sorting, dispersal, ecological drift, and other processes influence metacommunity structure simultaneously.\nMathew Leibold and Jonathan Chase argue that the relative importance of these processes depends on the characteristics of the organisms, the strengths and types of their interactions, the degree of habitat heterogeneity, the rates of dispersal, and the scale at which the system is observed. Using this synthetic perspective, they explore metacommunity patterns in time and space, including patterns of coexistence, distribution, and diversity. Leibold and Chase demonstrate how these processes and patterns are altered by micro- and macroevolution, traits and phylogenetic relationships, and food web interactions. They then use this scale-explicit perspective to illustrate how metacommunity processes are essential for understanding macroecological and biogeographical patterns as well as ecosystem-level processes.\nMoving seamlessly across scales and subdisciplines, &lt;i&gt;Metacommunity Ecology&lt;/i&gt; is an invaluable reference, one that offers a more integrated approach to ecological patterns and processes.","ISBN":"978-0-691-04916-8","publisher":"Princeton University Press","source":"JSTOR","title":"Metacommunity Ecology, Volume 59","URL":"https://www.jstor.org/stable/j.ctt1wf4d24","author":[{"family":"Leibold","given":"M.A."},{"family":"Chase","given":"J.M."}],"editor":[{"family":"Levin","given":"S.A."},{"family":"Horn","given":"H.S."}],"accessed":{"date-parts":[["2018",10,2]]},"issued":{"date-parts":[["2018"]]}}}],"schema":"https://github.com/citation-style-language/schema/raw/master/csl-citation.json"} </w:instrText>
      </w:r>
      <w:r w:rsidR="00DA4999">
        <w:rPr>
          <w:rFonts w:cs="Times New Roman"/>
          <w:sz w:val="24"/>
          <w:szCs w:val="24"/>
          <w:lang w:val="en-GB"/>
        </w:rPr>
        <w:fldChar w:fldCharType="separate"/>
      </w:r>
      <w:r w:rsidR="00DA4999">
        <w:rPr>
          <w:rFonts w:cs="Times New Roman"/>
          <w:noProof/>
          <w:sz w:val="24"/>
          <w:szCs w:val="24"/>
          <w:lang w:val="en-GB"/>
        </w:rPr>
        <w:t>(Leibold &amp; Chase 2018)</w:t>
      </w:r>
      <w:r w:rsidR="00DA4999">
        <w:rPr>
          <w:rFonts w:cs="Times New Roman"/>
          <w:sz w:val="24"/>
          <w:szCs w:val="24"/>
          <w:lang w:val="en-GB"/>
        </w:rPr>
        <w:fldChar w:fldCharType="end"/>
      </w:r>
      <w:r w:rsidRPr="00613D1C">
        <w:rPr>
          <w:rFonts w:cs="Times New Roman"/>
          <w:sz w:val="24"/>
          <w:szCs w:val="24"/>
          <w:lang w:val="en-GB"/>
        </w:rPr>
        <w:t xml:space="preserve">. These regional scale processes also influence ecosystem functioning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{"citationID":"gXM5vhQF","properties":{"formattedCitation":"(Leibold &amp; Chase 2018)","plainCitation":"(Leibold &amp; Chase 2018)","noteIndex":0},"citationItems":[{"id":2818,"uris":["http://zotero.org/users/961091/items/B4QBUEHD"],"uri":["http://zotero.org/users/961091/items/B4QBUEHD"],"itemData":{"id":2818,"type":"book","abstract":"Metacommunity ecology links smaller-scale processes that have been the provenance of population and community ecology-such as birth-death processes, species interactions, selection, and stochasticity-with larger-scale issues such as dispersal and habitat heterogeneity. Until now, the field has focused on evaluating the relative importance of distinct processes, with niche-based environmental sorting on one side and neutral-based ecological drift and dispersal limitation on the other. This book moves beyond these artificial categorizations, showing how environmental sorting, dispersal, ecological drift, and other processes influence metacommunity structure simultaneously.\nMathew Leibold and Jonathan Chase argue that the relative importance of these processes depends on the characteristics of the organisms, the strengths and types of their interactions, the degree of habitat heterogeneity, the rates of dispersal, and the scale at which the system is observed. Using this synthetic perspective, they explore metacommunity patterns in time and space, including patterns of coexistence, distribution, and diversity. Leibold and Chase demonstrate how these processes and patterns are altered by micro- and macroevolution, traits and phylogenetic relationships, and food web interactions. They then use this scale-explicit perspective to illustrate how metacommunity processes are essential for understanding macroecological and biogeographical patterns as well as ecosystem-level processes.\nMoving seamlessly across scales and subdisciplines, &lt;i&gt;Metacommunity Ecology&lt;/i&gt; is an invaluable reference, one that offers a more integrated approach to ecological patterns and processes.","ISBN":"978-0-691-04916-8","publisher":"Princeton University Press","source":"JSTOR","title":"Metacommunity Ecology, Volume 59","URL":"https://www.jstor.org/stable/j.ctt1wf4d24","author":[{"family":"Leibold","given":"M.A."},{"family":"Chase","given":"J.M."}],"editor":[{"family":"Levin","given":"S.A."},{"family":"Horn","given":"H.S."}],"accessed":{"date-parts":[["2018",10,2]]},"issued":{"date-parts":[["2018"]]}}}],"schema":"https://github.com/citation-style-language/schema/raw/master/csl-citation.json"} </w:instrText>
      </w:r>
      <w:r w:rsidR="00DA4999">
        <w:rPr>
          <w:rFonts w:cs="Times New Roman"/>
          <w:sz w:val="24"/>
          <w:szCs w:val="24"/>
          <w:lang w:val="en-GB"/>
        </w:rPr>
        <w:fldChar w:fldCharType="separate"/>
      </w:r>
      <w:r w:rsidR="00DA4999">
        <w:rPr>
          <w:rFonts w:cs="Times New Roman"/>
          <w:noProof/>
          <w:sz w:val="24"/>
          <w:szCs w:val="24"/>
          <w:lang w:val="en-GB"/>
        </w:rPr>
        <w:t>(Leibold &amp; Chase 2018)</w:t>
      </w:r>
      <w:r w:rsidR="00DA4999">
        <w:rPr>
          <w:rFonts w:cs="Times New Roman"/>
          <w:sz w:val="24"/>
          <w:szCs w:val="24"/>
          <w:lang w:val="en-GB"/>
        </w:rPr>
        <w:fldChar w:fldCharType="end"/>
      </w:r>
      <w:r w:rsidR="00DA4999">
        <w:rPr>
          <w:rFonts w:cs="Times New Roman"/>
          <w:sz w:val="24"/>
          <w:szCs w:val="24"/>
          <w:lang w:val="en-GB"/>
        </w:rPr>
        <w:t>.</w:t>
      </w:r>
      <w:r w:rsidRPr="00613D1C">
        <w:rPr>
          <w:rFonts w:cs="Times New Roman"/>
          <w:sz w:val="24"/>
          <w:szCs w:val="24"/>
          <w:lang w:val="en-GB"/>
        </w:rPr>
        <w:t xml:space="preserve"> We hypothesise that reducing seed dispersal likely increases the importance of the function-dominance correlation for BEF relationships since seed dispersal may decrease the abundance of the dominant species. If the function-dominance correlation is positive, for example, this lower abundance of the dominant species will lead to a lower functioning of the community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{"citationID":"VbUoIBje","properties":{"formattedCitation":"(Leibold {\\i{}et al.} 2017)","plainCitation":"(Leibold et al. 2017)","noteIndex":0},"citationItems":[{"id":2930,"uris":["http://zotero.org/users/961091/items/RJ5GQSS4"],"uri":["http://zotero.org/users/961091/items/RJ5GQSS4"],"itemData":{"id":2930,"type":"article-journal","abstract":"Recent work linking community structure and ecosystem function has primarily focused on the effects of local species richness but has neglected the dispersal-dependent processes of community assembly that are ultimately involved in determining community structure and its relation to ecosystems. Here we combine simple consumer-resource competition models and metacommunity theory with discussion of case studies to outline how spatial processes within metacommunities can alter community assembly and modify expectations about how species diversity and composition influence ecosystem attributes at local scales. We argue that when community assembly is strongly limited by dispersal, this can constrain ecosystem functioning by reducing positive selection effects (reducing the probability of the most productive species becoming dominant) even though it may often also enhance complementarity (favoring combinations of species that enhance production even though they may not individually be most productive). Conversely, excess dispersal with strong source-sink relations among heterogeneous habitats can reduce ecosystem functioning by swamping local filters that would normally favor better-suited species. Ecosystem function is thus most likely maximized at intermediate levels of dispersal where both of these effects are minimized. In this scenario, we find that the selection effect is maximized, while complementarity is often reduced and local diversity may often be relatively low. Our synthesis emphasizes that it is the entire set of community assembly processes that affect the functioning of ecosystems, not just the part that determines local species richness.","container-title":"Ecology","DOI":"10.1002/ecy.1697","ISSN":"1939-9170","issue":"4","language":"en","page":"909-919","source":"Wiley Online Library","title":"Community assembly and the functioning of ecosystems: how metacommunity processes alter ecosystems attributes","title-short":"Community assembly and the functioning of ecosystems","volume":"98","author":[{"family":"Leibold","given":"Mathew A."},{"family":"Chase","given":"Jonathan M."},{"family":"Ernest","given":"S. K. Morgan"}],"issued":{"date-parts":[["2017"]]}}}],"schema":"https://github.com/citation-style-language/schema/raw/master/csl-citation.json"}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(Leibold </w:t>
      </w:r>
      <w:r w:rsidR="00DA4999" w:rsidRPr="00DA4999">
        <w:rPr>
          <w:rFonts w:cs="Times New Roman"/>
          <w:i/>
          <w:iCs/>
          <w:sz w:val="24"/>
        </w:rPr>
        <w:t>et al.</w:t>
      </w:r>
      <w:r w:rsidR="00DA4999" w:rsidRPr="00DA4999">
        <w:rPr>
          <w:rFonts w:cs="Times New Roman"/>
          <w:sz w:val="24"/>
        </w:rPr>
        <w:t xml:space="preserve"> 2017)</w:t>
      </w:r>
      <w:r w:rsidR="00DA4999">
        <w:rPr>
          <w:rFonts w:cs="Times New Roman"/>
          <w:sz w:val="24"/>
          <w:szCs w:val="24"/>
          <w:lang w:val="en-GB"/>
        </w:rPr>
        <w:fldChar w:fldCharType="end"/>
      </w:r>
      <w:r w:rsidRPr="00613D1C">
        <w:rPr>
          <w:rFonts w:cs="Times New Roman"/>
          <w:sz w:val="24"/>
          <w:szCs w:val="24"/>
          <w:lang w:val="en-GB"/>
        </w:rPr>
        <w:t xml:space="preserve">. However, when the community is isolated from seed dispersal, the dominant species will outcompete other species leading to increased ecosystem functioning while reducing realised diversity. </w:t>
      </w:r>
    </w:p>
    <w:p w14:paraId="0000003B" w14:textId="77777777" w:rsidR="007F1434" w:rsidRPr="00613D1C" w:rsidRDefault="000236F3" w:rsidP="00613D1C">
      <w:pPr>
        <w:spacing w:line="360" w:lineRule="auto"/>
        <w:ind w:firstLine="720"/>
        <w:rPr>
          <w:rFonts w:cs="Times New Roman"/>
          <w:sz w:val="24"/>
          <w:szCs w:val="24"/>
          <w:lang w:val="en-GB"/>
        </w:rPr>
      </w:pPr>
      <w:bookmarkStart w:id="8" w:name="_5zbyglhxs6pp" w:colFirst="0" w:colLast="0"/>
      <w:bookmarkEnd w:id="8"/>
      <w:r w:rsidRPr="00613D1C">
        <w:rPr>
          <w:rFonts w:cs="Times New Roman"/>
          <w:sz w:val="24"/>
          <w:szCs w:val="24"/>
          <w:lang w:val="en-GB"/>
        </w:rPr>
        <w:t xml:space="preserve">In order to test these hypotheses and identify general, broadly conserved links between function-dominance correlations and BEF relationships, we considered six independently derived and validated plant community models. We subjected these six models of plant community dynamics to a common experimental design. This experiment mirrors a traditional BEF experiment except that it also includes a treatment in which the simulated </w:t>
      </w:r>
      <w:r w:rsidRPr="00613D1C">
        <w:rPr>
          <w:rFonts w:cs="Times New Roman"/>
          <w:sz w:val="24"/>
          <w:szCs w:val="24"/>
          <w:lang w:val="en-GB"/>
        </w:rPr>
        <w:lastRenderedPageBreak/>
        <w:t xml:space="preserve">communities are completely isolated from seed dispersal. Further, these models represent a variety of systems and community assembly processes, such as negative density dependence and resource partitioning, so the outcomes of this exercise are unlikely to be limited to a specific system or set of processes. </w:t>
      </w:r>
    </w:p>
    <w:p w14:paraId="0000003C" w14:textId="66FF8B38" w:rsidR="007F1434" w:rsidRPr="00613D1C" w:rsidRDefault="000236F3" w:rsidP="00613D1C">
      <w:pPr>
        <w:spacing w:line="360" w:lineRule="auto"/>
        <w:ind w:firstLine="720"/>
        <w:rPr>
          <w:rFonts w:cs="Times New Roman"/>
          <w:sz w:val="24"/>
          <w:szCs w:val="24"/>
          <w:lang w:val="en-GB"/>
        </w:rPr>
      </w:pPr>
      <w:bookmarkStart w:id="9" w:name="_i8rxok69l92s" w:colFirst="0" w:colLast="0"/>
      <w:bookmarkEnd w:id="9"/>
      <w:r w:rsidRPr="00613D1C">
        <w:rPr>
          <w:rFonts w:cs="Times New Roman"/>
          <w:sz w:val="24"/>
          <w:szCs w:val="24"/>
          <w:lang w:val="en-GB"/>
        </w:rPr>
        <w:t>We found that, across models and ecosystem types, the function-dominance correlation determines the strength and the direction of BEF relationships. When the dominant species in mixture are large producers of ecosystem functioning in monocultures (i.e., positive function-dominance correlation), BEF relationships tend to be positive across communities of contrasting species richness and negative across communities of similar species richness. Alternatively, BEF relationships tend to be weak</w:t>
      </w:r>
      <w:r w:rsidR="006D460C">
        <w:rPr>
          <w:rFonts w:cs="Times New Roman"/>
          <w:sz w:val="24"/>
          <w:szCs w:val="24"/>
          <w:lang w:val="en-GB"/>
        </w:rPr>
        <w:t>,</w:t>
      </w:r>
      <w:r w:rsidRPr="00613D1C">
        <w:rPr>
          <w:rFonts w:cs="Times New Roman"/>
          <w:sz w:val="24"/>
          <w:szCs w:val="24"/>
          <w:lang w:val="en-GB"/>
        </w:rPr>
        <w:t xml:space="preserve"> or lead to a “negative counter-gradient”</w:t>
      </w:r>
      <w:r w:rsidR="006D460C">
        <w:rPr>
          <w:rFonts w:cs="Times New Roman"/>
          <w:sz w:val="24"/>
          <w:szCs w:val="24"/>
          <w:lang w:val="en-GB"/>
        </w:rPr>
        <w:t>,</w:t>
      </w:r>
      <w:r w:rsidR="006D460C" w:rsidRPr="006D460C">
        <w:rPr>
          <w:rFonts w:cs="Times New Roman"/>
          <w:sz w:val="24"/>
          <w:szCs w:val="24"/>
          <w:lang w:val="en-GB"/>
        </w:rPr>
        <w:t xml:space="preserve"> </w:t>
      </w:r>
      <w:r w:rsidR="006D460C" w:rsidRPr="00613D1C">
        <w:rPr>
          <w:rFonts w:cs="Times New Roman"/>
          <w:sz w:val="24"/>
          <w:szCs w:val="24"/>
          <w:lang w:val="en-GB"/>
        </w:rPr>
        <w:t>when this correlation is weak or negative,</w:t>
      </w:r>
      <w:r w:rsidRPr="00613D1C">
        <w:rPr>
          <w:rFonts w:cs="Times New Roman"/>
          <w:sz w:val="24"/>
          <w:szCs w:val="24"/>
          <w:lang w:val="en-GB"/>
        </w:rPr>
        <w:t xml:space="preserve"> respectively. Further, the importance of the function-dominance correlation for BEF relationships across communities is higher in the absence of external seed input. With the function-dominance correlation, we provide an ecologically grounded metric that explains the variability among BEF relationships. This work has major implications for how to apply BEF research to the problem of biodiversity change. A major trend of biodiversity change in local communities appears to be changes in the identities of the species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{"citationID":"Sk94QEuy","properties":{"formattedCitation":"(Dornelas {\\i{}et al.} 2014; McGill {\\i{}et al.} 2015; Blowes {\\i{}et al.} 2019)","plainCitation":"(Dornelas et al. 2014; McGill et al. 2015; Blowes et al. 2019)","noteIndex":0},"citationItems":[{"id":2270,"uris":["http://zotero.org/users/961091/items/UW3JGBXK"],"uri":["http://zotero.org/users/961091/items/UW3JGBXK"],"itemData":{"id":2270,"type":"article-journal","abstract":"Changing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E."}],"issued":{"date-parts":[["2014",4,18]]}}},{"id":2856,"uris":["http://zotero.org/users/961091/items/UHRFZV8G"],"uri":["http://zotero.org/users/961091/items/UHRFZV8G"],"itemData":{"id":2856,"type":"article-journal","abstract":"Humans are transforming the biosphere in unprecedented ways, raising the important question of how these impacts are changing biodiversity. Here we argue that our understanding of biodiversity trends in the Anthropocene, and our ability to protect the natural world, is impeded by a failure to consider different types of biodiversity measured at different spatial scales. We propose that ecologists should recognize and assess 15 distinct categories of biodiversity trend. We summarize what is known about each of these 15 categories, identify major gaps in our current knowledge, and recommend the next steps required for better understanding of trends in biodiversity.","container-title":"Trends in Ecology &amp; Evolution","DOI":"10.1016/j.tree.2014.11.006","ISSN":"0169-5347","issue":"2","journalAbbreviation":"Trends in Ecology &amp; Evolution","page":"104-113","source":"ScienceDirect","title":"Fifteen forms of biodiversity trend in the Anthropocene","volume":"30","author":[{"family":"McGill","given":"Brian J."},{"family":"Dornelas","given":"Maria"},{"family":"Gotelli","given":"Nicholas J."},{"family":"Magurran","given":"Anne E."}],"issued":{"date-parts":[["2015",2,1]]}}},{"id":4023,"uris":["http://zotero.org/users/961091/items/3YQYLM6B"],"uri":["http://zotero.org/users/961091/items/3YQYLM6B"],"itemData":{"id":4023,"type":"article-journal","abstract":"Spatial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(Dornelas </w:t>
      </w:r>
      <w:r w:rsidR="00DA4999" w:rsidRPr="00DA4999">
        <w:rPr>
          <w:rFonts w:cs="Times New Roman"/>
          <w:i/>
          <w:iCs/>
          <w:sz w:val="24"/>
        </w:rPr>
        <w:t>et al.</w:t>
      </w:r>
      <w:r w:rsidR="00DA4999" w:rsidRPr="00DA4999">
        <w:rPr>
          <w:rFonts w:cs="Times New Roman"/>
          <w:sz w:val="24"/>
        </w:rPr>
        <w:t xml:space="preserve"> 2014; McGill </w:t>
      </w:r>
      <w:r w:rsidR="00DA4999" w:rsidRPr="00DA4999">
        <w:rPr>
          <w:rFonts w:cs="Times New Roman"/>
          <w:i/>
          <w:iCs/>
          <w:sz w:val="24"/>
        </w:rPr>
        <w:t>et al.</w:t>
      </w:r>
      <w:r w:rsidR="00DA4999" w:rsidRPr="00DA4999">
        <w:rPr>
          <w:rFonts w:cs="Times New Roman"/>
          <w:sz w:val="24"/>
        </w:rPr>
        <w:t xml:space="preserve"> 2015; Blowes </w:t>
      </w:r>
      <w:r w:rsidR="00DA4999" w:rsidRPr="00DA4999">
        <w:rPr>
          <w:rFonts w:cs="Times New Roman"/>
          <w:i/>
          <w:iCs/>
          <w:sz w:val="24"/>
        </w:rPr>
        <w:t>et al.</w:t>
      </w:r>
      <w:r w:rsidR="00DA4999" w:rsidRPr="00DA4999">
        <w:rPr>
          <w:rFonts w:cs="Times New Roman"/>
          <w:sz w:val="24"/>
        </w:rPr>
        <w:t xml:space="preserve"> 2019)</w:t>
      </w:r>
      <w:r w:rsidR="00DA4999">
        <w:rPr>
          <w:rFonts w:cs="Times New Roman"/>
          <w:sz w:val="24"/>
          <w:szCs w:val="24"/>
          <w:lang w:val="en-GB"/>
        </w:rPr>
        <w:fldChar w:fldCharType="end"/>
      </w:r>
      <w:r w:rsidR="00DA4999">
        <w:rPr>
          <w:rFonts w:cs="Times New Roman"/>
          <w:sz w:val="24"/>
          <w:szCs w:val="24"/>
          <w:lang w:val="en-GB"/>
        </w:rPr>
        <w:t>.</w:t>
      </w:r>
      <w:r w:rsidRPr="00613D1C">
        <w:rPr>
          <w:rFonts w:cs="Times New Roman"/>
          <w:sz w:val="24"/>
          <w:szCs w:val="24"/>
          <w:lang w:val="en-GB"/>
        </w:rPr>
        <w:t xml:space="preserve"> If BEF relationships are determined by the function-dominance correlation, then this change in the identity of species in the local community may have larger or smaller impacts on ecosystem functioning than declines in species richness </w:t>
      </w:r>
      <w:r w:rsidRPr="00613D1C">
        <w:rPr>
          <w:rFonts w:cs="Times New Roman"/>
          <w:i/>
          <w:sz w:val="24"/>
          <w:szCs w:val="24"/>
          <w:lang w:val="en-GB"/>
        </w:rPr>
        <w:t>per se</w:t>
      </w:r>
      <w:r w:rsidRPr="00613D1C">
        <w:rPr>
          <w:rFonts w:cs="Times New Roman"/>
          <w:sz w:val="24"/>
          <w:szCs w:val="24"/>
          <w:lang w:val="en-GB"/>
        </w:rPr>
        <w:t>. If the species that are dominant and high functioning are lost, we expect that their loss will cause declines in ecosystem functioning unless they are replaced by species that perform similarly well. Alternatively, if the species lost are dominant but contribute little to ecosystem functioning, the effect of losing these species in a local community on ecosystem functioning may even increase functioning.</w:t>
      </w:r>
    </w:p>
    <w:p w14:paraId="0000003D" w14:textId="77777777" w:rsidR="007F1434" w:rsidRPr="00613D1C" w:rsidRDefault="007F1434" w:rsidP="00613D1C">
      <w:pPr>
        <w:spacing w:line="360" w:lineRule="auto"/>
        <w:rPr>
          <w:rFonts w:cs="Times New Roman"/>
          <w:sz w:val="24"/>
          <w:szCs w:val="24"/>
          <w:lang w:val="en-GB"/>
        </w:rPr>
      </w:pPr>
      <w:bookmarkStart w:id="10" w:name="_p6e1t3ro8o7r" w:colFirst="0" w:colLast="0"/>
      <w:bookmarkEnd w:id="10"/>
    </w:p>
    <w:p w14:paraId="0000003E" w14:textId="77777777" w:rsidR="007F1434" w:rsidRPr="00613D1C" w:rsidRDefault="000236F3" w:rsidP="00613D1C">
      <w:pPr>
        <w:spacing w:line="360" w:lineRule="auto"/>
        <w:rPr>
          <w:rFonts w:cs="Times New Roman"/>
          <w:b/>
          <w:sz w:val="24"/>
          <w:szCs w:val="24"/>
          <w:lang w:val="en-GB"/>
        </w:rPr>
      </w:pPr>
      <w:r w:rsidRPr="00613D1C">
        <w:rPr>
          <w:rFonts w:cs="Times New Roman"/>
          <w:b/>
          <w:sz w:val="24"/>
          <w:szCs w:val="24"/>
          <w:lang w:val="en-GB"/>
        </w:rPr>
        <w:t>MATERIALS AND METHODS</w:t>
      </w:r>
    </w:p>
    <w:p w14:paraId="0000003F" w14:textId="77777777" w:rsidR="007F1434" w:rsidRPr="00613D1C" w:rsidRDefault="007F1434" w:rsidP="00613D1C">
      <w:pPr>
        <w:spacing w:line="360" w:lineRule="auto"/>
        <w:rPr>
          <w:rFonts w:cs="Times New Roman"/>
          <w:b/>
          <w:sz w:val="24"/>
          <w:szCs w:val="24"/>
          <w:lang w:val="en-GB"/>
        </w:rPr>
      </w:pPr>
    </w:p>
    <w:p w14:paraId="00000040" w14:textId="77777777" w:rsidR="007F1434" w:rsidRPr="00613D1C" w:rsidRDefault="000236F3" w:rsidP="00613D1C">
      <w:pPr>
        <w:spacing w:line="360" w:lineRule="auto"/>
        <w:rPr>
          <w:rFonts w:cs="Times New Roman"/>
          <w:sz w:val="24"/>
          <w:szCs w:val="24"/>
          <w:lang w:val="en-GB"/>
        </w:rPr>
      </w:pPr>
      <w:r w:rsidRPr="00613D1C">
        <w:rPr>
          <w:rFonts w:cs="Times New Roman"/>
          <w:i/>
          <w:sz w:val="24"/>
          <w:szCs w:val="24"/>
          <w:lang w:val="en-GB"/>
        </w:rPr>
        <w:t>Model descriptions</w:t>
      </w:r>
    </w:p>
    <w:p w14:paraId="00000041" w14:textId="020AC5BA"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 xml:space="preserve">We included six published plant community models that cover a diverse array of ecosystems and model types, ranging from forests to succulent communities, and from systems of differential equations to fully individual-based simulation models (Table 1). This diversity of models enabled us to identify broadly conserved interactions between systems’ function-dominance correlations and their emergent BEF relationships, while reducing any </w:t>
      </w:r>
      <w:r w:rsidRPr="00613D1C">
        <w:rPr>
          <w:rFonts w:cs="Times New Roman"/>
          <w:sz w:val="24"/>
          <w:szCs w:val="24"/>
          <w:lang w:val="en-GB"/>
        </w:rPr>
        <w:lastRenderedPageBreak/>
        <w:t>bias that would otherwise be introduced by focusing on one study system or class of models. The models capture key elements of their target systems and have been extensively analysed and documented in published literature. They support realistic levels of biodiversity</w:t>
      </w:r>
      <w:r w:rsidR="00365016">
        <w:rPr>
          <w:rFonts w:cs="Times New Roman"/>
          <w:sz w:val="24"/>
          <w:szCs w:val="24"/>
          <w:lang w:val="en-GB"/>
        </w:rPr>
        <w:t>,</w:t>
      </w:r>
      <w:r w:rsidRPr="00613D1C">
        <w:rPr>
          <w:rFonts w:cs="Times New Roman"/>
          <w:sz w:val="24"/>
          <w:szCs w:val="24"/>
          <w:lang w:val="en-GB"/>
        </w:rPr>
        <w:t xml:space="preserve"> and the mechanisms driving coexistence between their species is known.</w:t>
      </w:r>
    </w:p>
    <w:p w14:paraId="00000042" w14:textId="4F517D6F" w:rsidR="007F1434" w:rsidRPr="00613D1C" w:rsidRDefault="000236F3" w:rsidP="00613D1C">
      <w:pPr>
        <w:spacing w:line="360" w:lineRule="auto"/>
        <w:rPr>
          <w:rFonts w:cs="Times New Roman"/>
          <w:sz w:val="24"/>
          <w:szCs w:val="24"/>
          <w:lang w:val="en-GB"/>
        </w:rPr>
      </w:pPr>
      <w:r w:rsidRPr="00613D1C">
        <w:rPr>
          <w:rFonts w:cs="Times New Roman"/>
          <w:sz w:val="24"/>
          <w:szCs w:val="24"/>
          <w:lang w:val="en-GB"/>
        </w:rPr>
        <w:tab/>
      </w:r>
      <w:r w:rsidRPr="00613D1C">
        <w:rPr>
          <w:rFonts w:cs="Times New Roman"/>
          <w:i/>
          <w:sz w:val="24"/>
          <w:szCs w:val="24"/>
          <w:lang w:val="en-GB"/>
        </w:rPr>
        <w:t>Grass1</w:t>
      </w:r>
      <w:r w:rsidRPr="00613D1C">
        <w:rPr>
          <w:rFonts w:cs="Times New Roman"/>
          <w:sz w:val="24"/>
          <w:szCs w:val="24"/>
          <w:lang w:val="en-GB"/>
        </w:rPr>
        <w:t xml:space="preserve">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{"citationID":"iE6MjEmK","properties":{"formattedCitation":"(Clark {\\i{}et al.} 2018)","plainCitation":"(Clark et al. 2018)","noteIndex":0},"citationItems":[{"id":3476,"uris":["http://zotero.org/users/961091/items/AC4MIUTG"],"uri":["http://zotero.org/users/961091/items/AC4MIUTG"],"itemData":{"id":3476,"type":"article-journal","abstract":"Theory predicts that interspecific tradeoffs are primary determinants of coexistence and community composition. Using information from empirically observed tradeoffs to augment the parametrisation of mechanism-based models should therefore improve model predictions, provided that tradeoffs and mechanisms are chosen correctly. We developed and tested such a model for 35 grassland plant species using monoculture measurements of three species characteristics related to nitrogen uptake and retention, which previous experiments indicate as important at our site. Matching classical theoretical expectations, these characteristics defined a distinct tradeoff surface, and models parameterised with these characteristics closely matched observations from experimental multi-species mixtures. Importantly, predictions improved significantly when we incorporated information from tradeoffs by ‘snapping’ characteristics to the nearest location on the tradeoff surface, suggesting that the tradeoffs and mechanisms we identify are important determinants of local community structure. This ‘snapping’ method could therefore constitute a broadly applicable test for identifying influential tradeoffs and mechanisms.","container-title":"Ecology Letters","DOI":"10.1111/ele.12910","ISSN":"1461-0248","issue":"4","language":"en","page":"494-505","source":"Wiley Online Library","title":"Identifying mechanisms that structure ecological communities by snapping model parameters to empirically observed tradeoffs","volume":"21","author":[{"family":"Clark","given":"Adam Thomas"},{"family":"Lehman","given":"Clarence"},{"family":"Tilman","given":"David"}],"issued":{"date-parts":[["2018"]]}}}],"schema":"https://github.com/citation-style-language/schema/raw/master/csl-citation.json"}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(Clark </w:t>
      </w:r>
      <w:r w:rsidR="00DA4999" w:rsidRPr="00DA4999">
        <w:rPr>
          <w:rFonts w:cs="Times New Roman"/>
          <w:i/>
          <w:iCs/>
          <w:sz w:val="24"/>
        </w:rPr>
        <w:t>et al.</w:t>
      </w:r>
      <w:r w:rsidR="00DA4999" w:rsidRPr="00DA4999">
        <w:rPr>
          <w:rFonts w:cs="Times New Roman"/>
          <w:sz w:val="24"/>
        </w:rPr>
        <w:t xml:space="preserve"> 2018)</w:t>
      </w:r>
      <w:r w:rsidR="00DA4999">
        <w:rPr>
          <w:rFonts w:cs="Times New Roman"/>
          <w:sz w:val="24"/>
          <w:szCs w:val="24"/>
          <w:lang w:val="en-GB"/>
        </w:rPr>
        <w:fldChar w:fldCharType="end"/>
      </w:r>
      <w:r w:rsidR="00921D16">
        <w:rPr>
          <w:rFonts w:cs="Times New Roman"/>
          <w:sz w:val="24"/>
          <w:szCs w:val="24"/>
          <w:lang w:val="en-GB"/>
        </w:rPr>
        <w:t xml:space="preserve"> </w:t>
      </w:r>
      <w:r w:rsidRPr="00613D1C">
        <w:rPr>
          <w:rFonts w:cs="Times New Roman"/>
          <w:sz w:val="24"/>
          <w:szCs w:val="24"/>
          <w:lang w:val="en-GB"/>
        </w:rPr>
        <w:t>explores the effects of trade-offs between the ability of species to take up and retain resources vs. their ability to prevent other species from accessing resources. Species must excel at one of these types of behavio</w:t>
      </w:r>
      <w:r w:rsidR="00365016">
        <w:rPr>
          <w:rFonts w:cs="Times New Roman"/>
          <w:sz w:val="24"/>
          <w:szCs w:val="24"/>
          <w:lang w:val="en-GB"/>
        </w:rPr>
        <w:t>u</w:t>
      </w:r>
      <w:r w:rsidRPr="00613D1C">
        <w:rPr>
          <w:rFonts w:cs="Times New Roman"/>
          <w:sz w:val="24"/>
          <w:szCs w:val="24"/>
          <w:lang w:val="en-GB"/>
        </w:rPr>
        <w:t>rs in order to persist in mixture. The model is designed to portray dynamics in a Minnesota tallgrass prairie, and was parameterised from observations of three plant traits measured in experimental monocultures. Model dynamics are deterministic, and allow for an arbitrarily large number of species to stably coexist, provided that their traits all fall within the correct regions of trade-off space.</w:t>
      </w:r>
    </w:p>
    <w:p w14:paraId="00000043" w14:textId="703FF95B" w:rsidR="007F1434" w:rsidRPr="00613D1C" w:rsidRDefault="000236F3" w:rsidP="00613D1C">
      <w:pPr>
        <w:spacing w:line="360" w:lineRule="auto"/>
        <w:rPr>
          <w:rFonts w:cs="Times New Roman"/>
          <w:sz w:val="24"/>
          <w:szCs w:val="24"/>
          <w:lang w:val="en-GB"/>
        </w:rPr>
      </w:pPr>
      <w:r w:rsidRPr="00613D1C">
        <w:rPr>
          <w:rFonts w:cs="Times New Roman"/>
          <w:sz w:val="24"/>
          <w:szCs w:val="24"/>
          <w:lang w:val="en-GB"/>
        </w:rPr>
        <w:tab/>
      </w:r>
      <w:r w:rsidRPr="00613D1C">
        <w:rPr>
          <w:rFonts w:cs="Times New Roman"/>
          <w:i/>
          <w:sz w:val="24"/>
          <w:szCs w:val="24"/>
          <w:lang w:val="en-GB"/>
        </w:rPr>
        <w:t>Grass2</w:t>
      </w:r>
      <w:r w:rsidRPr="00613D1C">
        <w:rPr>
          <w:rFonts w:cs="Times New Roman"/>
          <w:sz w:val="24"/>
          <w:szCs w:val="24"/>
          <w:lang w:val="en-GB"/>
        </w:rPr>
        <w:t xml:space="preserve">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{"citationID":"894zjLMN","properties":{"formattedCitation":"(Turnbull {\\i{}et al.} 2013)","plainCitation":"(Turnbull et al. 2013)","noteIndex":0},"citationItems":[{"id":3182,"uris":["http://zotero.org/users/961091/items/4DEWCQ42"],"uri":["http://zotero.org/users/961091/items/4DEWCQ42"],"itemData":{"id":3182,"type":"article-journal","abstract":"General principles from coexistence theory are often invoked to explain how and why mixtures of species outperform monocultures. However, the complementarity and selection effects commonly measured in biodiversity experiments do not precisely quantify the niche and relative fitness differences that govern species coexistence. Given this lack of direct correspondence, how can we know whether species-rich mixtures are stable and that the benefits of diversity will therefore persist? We develop a resource-based included-niche model in which plant species have asymmetric access to a nested set of belowground resource pools. We use the model to show that positive complementarity effects arise from stabilising niche differences, but do not necessarily lead to stable coexistence and hence can be transient. In addition, these transient complementarity effects occur in the model when there is no complementary resource use among species. Including a trade-off between uptake rates and the size of the resource pool stabilised interactions and led to persistent complementarity coupled with weak or negative selection effects, consistent with results from the longest-running field biodiversity experiments. We suggest that future progress requires a greater mechanistic understanding of the links between ecosystem functions and their underlying biological processes.","container-title":"Ecology Letters","DOI":"10.1111/ele.12056","ISSN":"1461-0248","issue":"s1","language":"en","page":"116-127","source":"Wiley Online Library","title":"Coexistence, niches and biodiversity effects on ecosystem functioning","volume":"16","author":[{"family":"Turnbull","given":"Lindsay Ann"},{"family":"Levine","given":"Jonathan M."},{"family":"Loreau","given":"Michel"},{"family":"Hector","given":"Andy"}],"issued":{"date-parts":[["2013"]]}}}],"schema":"https://github.com/citation-style-language/schema/raw/master/csl-citation.json"}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(Turnbull </w:t>
      </w:r>
      <w:r w:rsidR="00DA4999" w:rsidRPr="00DA4999">
        <w:rPr>
          <w:rFonts w:cs="Times New Roman"/>
          <w:i/>
          <w:iCs/>
          <w:sz w:val="24"/>
        </w:rPr>
        <w:t>et al.</w:t>
      </w:r>
      <w:r w:rsidR="00DA4999" w:rsidRPr="00DA4999">
        <w:rPr>
          <w:rFonts w:cs="Times New Roman"/>
          <w:sz w:val="24"/>
        </w:rPr>
        <w:t xml:space="preserve"> 2013)</w:t>
      </w:r>
      <w:r w:rsidR="00DA4999">
        <w:rPr>
          <w:rFonts w:cs="Times New Roman"/>
          <w:sz w:val="24"/>
          <w:szCs w:val="24"/>
          <w:lang w:val="en-GB"/>
        </w:rPr>
        <w:fldChar w:fldCharType="end"/>
      </w:r>
      <w:r w:rsidRPr="00613D1C">
        <w:rPr>
          <w:rFonts w:cs="Times New Roman"/>
          <w:sz w:val="24"/>
          <w:szCs w:val="24"/>
          <w:lang w:val="en-GB"/>
        </w:rPr>
        <w:t xml:space="preserve"> is also designed to mimic dynamics in grassland plant communities, and focuses on a classic trade-off between the relative growth rate of a species and its carrying capacity. The model explicitly considers the effects of seasonal cycles. Fast-growing species can coexist with slower-growing species with higher carrying capacities because their faster growth rates allow them to rapidly exploit resources early in the growing season, which they cannot subsequently lose. The model is deterministic, and, given the right distribution of trait values, allows arbitrarily large numbers of species to stably coexist.</w:t>
      </w:r>
    </w:p>
    <w:p w14:paraId="00000044" w14:textId="30A7C059" w:rsidR="007F1434" w:rsidRPr="00613D1C" w:rsidRDefault="000236F3" w:rsidP="00613D1C">
      <w:pPr>
        <w:spacing w:line="360" w:lineRule="auto"/>
        <w:rPr>
          <w:rFonts w:cs="Times New Roman"/>
          <w:sz w:val="24"/>
          <w:szCs w:val="24"/>
          <w:lang w:val="en-GB"/>
        </w:rPr>
      </w:pPr>
      <w:r w:rsidRPr="00613D1C">
        <w:rPr>
          <w:rFonts w:cs="Times New Roman"/>
          <w:sz w:val="24"/>
          <w:szCs w:val="24"/>
          <w:lang w:val="en-GB"/>
        </w:rPr>
        <w:tab/>
      </w:r>
      <w:r w:rsidRPr="00613D1C">
        <w:rPr>
          <w:rFonts w:cs="Times New Roman"/>
          <w:i/>
          <w:sz w:val="24"/>
          <w:szCs w:val="24"/>
          <w:lang w:val="en-GB"/>
        </w:rPr>
        <w:t>Grass3</w:t>
      </w:r>
      <w:r w:rsidRPr="00613D1C">
        <w:rPr>
          <w:rFonts w:cs="Times New Roman"/>
          <w:sz w:val="24"/>
          <w:szCs w:val="24"/>
          <w:lang w:val="en-GB"/>
        </w:rPr>
        <w:t xml:space="preserve"> (IBC-grass,</w:t>
      </w:r>
      <w:r w:rsidR="00DA4999">
        <w:rPr>
          <w:rFonts w:cs="Times New Roman"/>
          <w:sz w:val="24"/>
          <w:szCs w:val="24"/>
          <w:lang w:val="en-GB"/>
        </w:rPr>
        <w:t xml:space="preserve"> </w:t>
      </w:r>
      <w:r w:rsidR="00DA4999">
        <w:rPr>
          <w:rFonts w:cs="Times New Roman"/>
          <w:sz w:val="24"/>
          <w:szCs w:val="24"/>
          <w:lang w:val="en-GB"/>
        </w:rPr>
        <w:fldChar w:fldCharType="begin"/>
      </w:r>
      <w:r w:rsidR="00921D16">
        <w:rPr>
          <w:rFonts w:cs="Times New Roman"/>
          <w:sz w:val="24"/>
          <w:szCs w:val="24"/>
          <w:lang w:val="en-GB"/>
        </w:rPr>
        <w:instrText xml:space="preserve"> ADDIN ZOTERO_ITEM CSL_CITATION {"citationID":"QqyKfcN0","properties":{"formattedCitation":"(May {\\i{}et al.} 2009; Weiss {\\i{}et al.} 2014)","plainCitation":"(May et al. 2009; Weiss et al. 2014)","dontUpdate":true,"noteIndex":0},"citationItems":[{"id":3479,"uris":["http://zotero.org/users/961091/items/KM4RKAI6"],"uri":["http://zotero.org/users/961091/items/KM4RKAI6"],"itemData":{"id":3479,"type":"article-journal","abstract":"Grazing is known as one of the key factors for diversity and community composition in grassland ecosystems, but the response of plant communities towards grazing varies remarkably between sites with different environmental conditions. It is generally accepted that grazing increases plant diversity in productive environments, while it tends to reduce diversity in unproductive habitats (grazing reversal hypothesis). Despite empirical evidence for this pattern the mechanistic link between modes of plant–plant competition and grazing response at the community level still remains poorly understood. Root-competition in particular has rarely been included in theoretical studies, although it has been hypothesized that variations in productivity and grazing regime can alter the relative importance of shoot- and root-competition. We therefore developed an individual-based model based on plant functional traits to investigate the response of a grassland community towards grazing. Models of different complexity, either incorporating only shoot competition or with distinct shoot- and root-competition, were used to study the interactive effects of grazing, resource availability, and the mode of competition (size-symmetric or asymmetric). The pattern predicted by the grazing reversal hypothesis (GRH) can only be explained by our model if shoot- and root-competition are explicitly considered and if size asymmetry of above- and symmetry of below-ground competition is assumed. For this scenario, the model additionally reproduced empirically observed plant trait responses: erect and large plant functional types (PFTs) dominated without grazing, while frequent grazing favoured small PFTs with a rosette growth form. We conclude that interactions between shoot- and root-competition and size symmetry/asymmetry of plant–plant interactions are crucial in order to understand grazing response under different habitat productivities. Our results suggest that future empirical trait surveys in grassland communities should include root traits, which have been largely ignored in previous studies, in order to improve predictions of plants’ responses to grazing.","container-title":"Oikos","DOI":"10.1111/j.1600-0706.2009.17724.x","ISSN":"1600-0706","issue":"12","language":"en","page":"1830-1843","source":"Wiley Online Library","title":"Reversed effects of grazing on plant diversity: the role of below-ground competition and size symmetry","title-short":"Reversed effects of grazing on plant diversity","volume":"118","author":[{"family":"May","given":"Felix"},{"family":"Grimm","given":"Volker"},{"family":"Jeltsch","given":"Florian"}],"issued":{"date-parts":[["2009"]]}}},{"id":4118,"uris":["http://zotero.org/users/961091/items/FCNEIAYU"],"uri":["http://zotero.org/users/961091/items/FCNEIAYU"],"itemData":{"id":4118,"type":"article-journal","abstract":"Identifying drivers of species diversity is a major challenge in understanding and predicting the dynamics of species-rich semi-natural grasslands. In particular in temperate grasslands changes in land use and its consequences, i.e. increasing fragmentation, the on-going loss of habitat and the declining importance of regional processes such as seed dispersal by livestock, are considered key drivers of the diversity loss witnessed within the last decades. It is a largely unresolved question to what degree current temperate grassland communities already reflect a decline of regional processes such as longer distance seed dispersal. Answering this question is challenging since it requires both a mechanistic approach to community dynamics and a sufficient data basis that allows identifying general patterns. Here, we present results of a local individual- and trait-based community model that was initialized with plant functional types (PFTs) derived from an extensive empirical data set of species-rich grasslands within the ‘Biodiversity Exploratories’ in Germany. Driving model processes included above- and belowground competition, dynamic resource allocation to shoots and roots, clonal growth, grazing, and local seed dispersal. To test for the impact of regional processes we also simulated seed input from a regional species pool. Model output, with and without regional seed input, was compared with empirical community response patterns along a grazing gradient. Simulated response patterns of changes in PFT richness, Shannon diversity, and biomass production matched observed grazing response patterns surprisingly well if only local processes were considered. Already low levels of additional regional seed input led to stronger deviations from empirical community pattern. While these findings cannot rule out that regional processes other than those considered in the modeling study potentially play a role in shaping the local grassland communities, our comparison indicates that European grasslands are largely isolated, i.e. local mechanisms explain observed community patterns to a large extent.","container-title":"Oikos","DOI":"https://doi.org/10.1111/j.1600-0706.2013.00957.x","ISSN":"1600-0706","issue":"5","language":"en","note":"_eprint: https://onlinelibrary.wiley.com/doi/pdf/10.1111/j.1600-0706.2013.00957.x","page":"599-612","source":"Wiley Online Library","title":"Grazing response patterns indicate isolation of semi-natural European grasslands","volume":"123","author":[{"family":"Weiss","given":"Lina"},{"family":"Pfestorf","given":"Hans"},{"family":"May","given":"Felix"},{"family":"Körner","given":"Katrin"},{"family":"Boch","given":"Steffen"},{"family":"Fischer","given":"Markus"},{"family":"Müller","given":"Jörg"},{"family":"Prati","given":"Daniel"},{"family":"Socher","given":"Stephanie A."},{"family":"Jeltsch","given":"Florian"}],"issued":{"date-parts":[["2014"]]}}}],"schema":"https://github.com/citation-style-language/schema/raw/master/csl-citation.json"}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May </w:t>
      </w:r>
      <w:r w:rsidR="00DA4999" w:rsidRPr="00DA4999">
        <w:rPr>
          <w:rFonts w:cs="Times New Roman"/>
          <w:i/>
          <w:iCs/>
          <w:sz w:val="24"/>
        </w:rPr>
        <w:t>et al.</w:t>
      </w:r>
      <w:r w:rsidR="00DA4999" w:rsidRPr="00DA4999">
        <w:rPr>
          <w:rFonts w:cs="Times New Roman"/>
          <w:sz w:val="24"/>
        </w:rPr>
        <w:t xml:space="preserve"> 2009; Weiss </w:t>
      </w:r>
      <w:r w:rsidR="00DA4999" w:rsidRPr="00DA4999">
        <w:rPr>
          <w:rFonts w:cs="Times New Roman"/>
          <w:i/>
          <w:iCs/>
          <w:sz w:val="24"/>
        </w:rPr>
        <w:t>et al.</w:t>
      </w:r>
      <w:r w:rsidR="00DA4999" w:rsidRPr="00DA4999">
        <w:rPr>
          <w:rFonts w:cs="Times New Roman"/>
          <w:sz w:val="24"/>
        </w:rPr>
        <w:t xml:space="preserve"> 2014)</w:t>
      </w:r>
      <w:r w:rsidR="00DA4999">
        <w:rPr>
          <w:rFonts w:cs="Times New Roman"/>
          <w:sz w:val="24"/>
          <w:szCs w:val="24"/>
          <w:lang w:val="en-GB"/>
        </w:rPr>
        <w:fldChar w:fldCharType="end"/>
      </w:r>
      <w:r w:rsidRPr="00613D1C">
        <w:rPr>
          <w:rFonts w:cs="Times New Roman"/>
          <w:sz w:val="24"/>
          <w:szCs w:val="24"/>
          <w:lang w:val="en-GB"/>
        </w:rPr>
        <w:t xml:space="preserve"> explores the trade-off between asymmetric competition for light and susceptibility to grazing within central European managed grasslands. Competition is individual-based and spatially-explicit. Given adequate belowground resources, larger, faster-growing species dominate competition for light, but are also subject to more frequent grazing relative to their shorter, more stress-tolerant competitors. In </w:t>
      </w:r>
      <w:r w:rsidRPr="00613D1C">
        <w:rPr>
          <w:rFonts w:cs="Times New Roman"/>
          <w:i/>
          <w:sz w:val="24"/>
          <w:szCs w:val="24"/>
          <w:lang w:val="en-GB"/>
        </w:rPr>
        <w:t>Grass3</w:t>
      </w:r>
      <w:r w:rsidRPr="00613D1C">
        <w:rPr>
          <w:rFonts w:cs="Times New Roman"/>
          <w:sz w:val="24"/>
          <w:szCs w:val="24"/>
          <w:lang w:val="en-GB"/>
        </w:rPr>
        <w:t xml:space="preserve">, the trade-off between growth rate and stress-tolerance equalises fitness among competing species, but stable coexistence is realised through conspecific negative density dependence that reduces the fitness of individuals when surrounded by conspecific </w:t>
      </w:r>
      <w:r w:rsidR="00DA4999" w:rsidRPr="00613D1C">
        <w:rPr>
          <w:rFonts w:cs="Times New Roman"/>
          <w:sz w:val="24"/>
          <w:szCs w:val="24"/>
          <w:lang w:val="en-GB"/>
        </w:rPr>
        <w:t>neighbours</w:t>
      </w:r>
      <w:r w:rsidRPr="00613D1C">
        <w:rPr>
          <w:rFonts w:cs="Times New Roman"/>
          <w:sz w:val="24"/>
          <w:szCs w:val="24"/>
          <w:lang w:val="en-GB"/>
        </w:rPr>
        <w:t xml:space="preserve">. </w:t>
      </w:r>
    </w:p>
    <w:p w14:paraId="00000045" w14:textId="2159D3E6" w:rsidR="007F1434" w:rsidRPr="00613D1C" w:rsidRDefault="000236F3" w:rsidP="00613D1C">
      <w:pPr>
        <w:spacing w:line="360" w:lineRule="auto"/>
        <w:ind w:firstLine="720"/>
        <w:rPr>
          <w:rFonts w:cs="Times New Roman"/>
          <w:sz w:val="24"/>
          <w:szCs w:val="24"/>
          <w:lang w:val="en-GB"/>
        </w:rPr>
      </w:pPr>
      <w:r w:rsidRPr="00613D1C">
        <w:rPr>
          <w:rFonts w:cs="Times New Roman"/>
          <w:i/>
          <w:sz w:val="24"/>
          <w:szCs w:val="24"/>
          <w:lang w:val="en-GB"/>
        </w:rPr>
        <w:t>Forest1</w:t>
      </w:r>
      <w:r w:rsidRPr="00613D1C">
        <w:rPr>
          <w:rFonts w:cs="Times New Roman"/>
          <w:sz w:val="24"/>
          <w:szCs w:val="24"/>
          <w:lang w:val="en-GB"/>
        </w:rPr>
        <w:t xml:space="preserve"> (PPA, </w:t>
      </w:r>
      <w:r w:rsidR="00DA4999">
        <w:rPr>
          <w:rFonts w:cs="Times New Roman"/>
          <w:sz w:val="24"/>
          <w:szCs w:val="24"/>
          <w:lang w:val="en-GB"/>
        </w:rPr>
        <w:fldChar w:fldCharType="begin"/>
      </w:r>
      <w:r w:rsidR="00921D16">
        <w:rPr>
          <w:rFonts w:cs="Times New Roman"/>
          <w:sz w:val="24"/>
          <w:szCs w:val="24"/>
          <w:lang w:val="en-GB"/>
        </w:rPr>
        <w:instrText xml:space="preserve"> ADDIN ZOTERO_ITEM CSL_CITATION {"citationID":"ZHOlPj7I","properties":{"formattedCitation":"(R\\uc0\\u252{}ger {\\i{}et al.} 2020)","plainCitation":"(Rüger et al. 2020)","dontUpdate":true,"noteIndex":0},"citationItems":[{"id":4061,"uris":["http://zotero.org/users/961091/items/QUE8GXPB"],"uri":["http://zotero.org/users/961091/items/QUE8GXPB"],"itemData":{"id":4061,"type":"article-journal","abstract":"Forest dynamics and demography\nTropical forest succession has been viewed mostly by considering trees in categories of early-, mid-, and late-successional species, corresponding to a fast–slow continuum of life history strategies. Rüger et al. now show that the fast–slow continuum does not capture the demographic strategy of the long-lived pioneer species, an important component of many tropical forests (see the Perspective by Bugmann). They developed a forest model that allows for objective predictions of tropical forest dynamics and validated the model's predictions against independent data. These findings should advance our understanding of tropical forest dynamics and facilitate sustainable tropical forest management.\nScience, this issue p. 165; see also p. 128\nUnderstanding tropical forest dynamics and planning for their sustainable management require efficient, yet accurate, predictions of the joint dynamics of hundreds of tree species. With increasing information on tropical tree life histories, our predictive understanding is no longer limited by species data but by the ability of existing models to make use of it. Using a demographic forest model, we show that the basal area and compositional changes during forest succession in a neotropical forest can be accurately predicted by representing tropical tree diversity (hundreds of species) with only five functional groups spanning two essential trade-offs—the growth-survival and stature-recruitment trade-offs. This data-driven modeling framework substantially improves our ability to predict consequences of anthropogenic impacts on tropical forests.\nA data-driven modeling framework improves our ability to predict the consequences of anthropogenic impacts on tropical forests.\nA data-driven modeling framework improves our ability to predict the consequences of anthropogenic impacts on tropical forests.","container-title":"Science","DOI":"10.1126/science.aaz4797","ISSN":"0036-8075, 1095-9203","issue":"6487","language":"en","note":"publisher: American Association for the Advancement of Science\nsection: Report\nPMID: 32273463","page":"165-168","source":"science.sciencemag.org","title":"Demographic trade-offs predict tropical forest dynamics","volume":"368","author":[{"family":"Rüger","given":"Nadja"},{"family":"Condit","given":"Richard"},{"family":"Dent","given":"Daisy H."},{"family":"DeWalt","given":"Saara J."},{"family":"Hubbell","given":"Stephen P."},{"family":"Lichstein","given":"Jeremy W."},{"family":"Lopez","given":"Omar R."},{"family":"Wirth","given":"Christian"},{"family":"Farrior","given":"Caroline E."}],"issued":{"date-parts":[["2020",4,10]]}}}],"schema":"https://github.com/citation-style-language/schema/raw/master/csl-citation.json"}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Rüger </w:t>
      </w:r>
      <w:r w:rsidR="00DA4999" w:rsidRPr="00DA4999">
        <w:rPr>
          <w:rFonts w:cs="Times New Roman"/>
          <w:i/>
          <w:iCs/>
          <w:sz w:val="24"/>
        </w:rPr>
        <w:t>et al.</w:t>
      </w:r>
      <w:r w:rsidR="00DA4999" w:rsidRPr="00DA4999">
        <w:rPr>
          <w:rFonts w:cs="Times New Roman"/>
          <w:sz w:val="24"/>
        </w:rPr>
        <w:t xml:space="preserve"> 2020)</w:t>
      </w:r>
      <w:r w:rsidR="00DA4999">
        <w:rPr>
          <w:rFonts w:cs="Times New Roman"/>
          <w:sz w:val="24"/>
          <w:szCs w:val="24"/>
          <w:lang w:val="en-GB"/>
        </w:rPr>
        <w:fldChar w:fldCharType="end"/>
      </w:r>
      <w:r w:rsidRPr="00613D1C">
        <w:rPr>
          <w:rFonts w:cs="Times New Roman"/>
          <w:sz w:val="24"/>
          <w:szCs w:val="24"/>
          <w:lang w:val="en-GB"/>
        </w:rPr>
        <w:t xml:space="preserve"> is designed to simulate the dynamics of a diverse tropical rainforest at Barro Colorado Island, Panama, based on a small set of demographic rates (growth, survival, and recruitment). It accounts for height-structured competition for light by distinguishing four canopy layers. Canopy gaps are filled by the tallest trees from lower canopy layers, without regard for their horizontal position within one hectare (perfect plasticity approximation; Purves et al. 2008). Tree species fall along two demographic trade-</w:t>
      </w:r>
      <w:r w:rsidRPr="00613D1C">
        <w:rPr>
          <w:rFonts w:cs="Times New Roman"/>
          <w:sz w:val="24"/>
          <w:szCs w:val="24"/>
          <w:lang w:val="en-GB"/>
        </w:rPr>
        <w:lastRenderedPageBreak/>
        <w:t>offs: a growth-survival trade-off and a stature-recruitment trade-off (</w:t>
      </w:r>
      <w:proofErr w:type="spellStart"/>
      <w:r w:rsidRPr="00613D1C">
        <w:rPr>
          <w:rFonts w:cs="Times New Roman"/>
          <w:sz w:val="24"/>
          <w:szCs w:val="24"/>
          <w:lang w:val="en-GB"/>
        </w:rPr>
        <w:t>Rüger</w:t>
      </w:r>
      <w:proofErr w:type="spellEnd"/>
      <w:r w:rsidRPr="00613D1C">
        <w:rPr>
          <w:rFonts w:cs="Times New Roman"/>
          <w:sz w:val="24"/>
          <w:szCs w:val="24"/>
          <w:lang w:val="en-GB"/>
        </w:rPr>
        <w:t xml:space="preserve"> et al. 2018). The model is deterministic, and stable coexistence relies on external seed rain </w:t>
      </w:r>
      <w:r w:rsidR="00921D16">
        <w:rPr>
          <w:rFonts w:cs="Times New Roman"/>
          <w:sz w:val="24"/>
          <w:szCs w:val="24"/>
          <w:lang w:val="en-GB"/>
        </w:rPr>
        <w:fldChar w:fldCharType="begin"/>
      </w:r>
      <w:r w:rsidR="00921D16">
        <w:rPr>
          <w:rFonts w:cs="Times New Roman"/>
          <w:sz w:val="24"/>
          <w:szCs w:val="24"/>
          <w:lang w:val="en-GB"/>
        </w:rPr>
        <w:instrText xml:space="preserve"> ADDIN ZOTERO_ITEM CSL_CITATION {"citationID":"UVReC5jt","properties":{"formattedCitation":"(Lichstein &amp; Pacala 2011)","plainCitation":"(Lichstein &amp; Pacala 2011)","noteIndex":0},"citationItems":[{"id":4125,"uris":["http://zotero.org/users/961091/items/RNYXXSA8"],"uri":["http://zotero.org/users/961091/items/RNYXXSA8"],"itemData":{"id":4125,"type":"article-journal","abstract":"“Mass effects,” in which “sink populations” of locally inferior competitors are maintained by dispersal from “source populations” elsewhere in the landscape, are thought to play an important role in maintaining plant diversity. However, due to the complexity of most quasi-realistic forest models, there is little theoretical understanding of the strength of mass effects in forests. Here, we develop a metacommunity version of a mathematically and computationally tractable height-structured forest model, the Perfect Plasticity Approximation, to quantify the strength of mass effects (i.e., the degree of mixing of locally dominant and subordinate species) in heterogeneous landscapes comprising different patch types (e.g., soil types). For realistic levels of inter-patch dispersal, mass effects are weak at equilibrium (i.e., in the absence of disturbance), even in some cases where differences in growth, mortality, and fecundity rates between locally dominant and subordinate species are too small to be reliably detected from field data. However, patch-scale transient dynamics are slow following catastrophic disturbance (in which post-disturbance initial abundances are determined exclusively by immigration) so that at any given time, subordinate species are present in appreciable numbers in most patches. Less severe disturbance regimes, in which some seeds or individuals survive the disturbance, should result in faster transient dynamics (i.e., faster approach to the low-diversity equilibrium). Our results suggest that in order for mass effects to play an important role in tree coexistence, niche differences must be strong enough to prevent neutral drift, yet too weak to be reliably detected from field data.","container-title":"Theoretical Ecology","DOI":"10.1007/s12080-011-0121-5","ISSN":"1874-1746","issue":"2","journalAbbreviation":"Theor Ecol","language":"en","page":"269-281","source":"Springer Link","title":"Local diversity in heterogeneous landscapes: quantitative assessment with a height-structured forest metacommunity model","title-short":"Local diversity in heterogeneous landscapes","volume":"4","author":[{"family":"Lichstein","given":"Jeremy W."},{"family":"Pacala","given":"Stephen W."}],"issued":{"date-parts":[["2011",5,1]]}}}],"schema":"https://github.com/citation-style-language/schema/raw/master/csl-citation.json"} </w:instrText>
      </w:r>
      <w:r w:rsidR="00921D16">
        <w:rPr>
          <w:rFonts w:cs="Times New Roman"/>
          <w:sz w:val="24"/>
          <w:szCs w:val="24"/>
          <w:lang w:val="en-GB"/>
        </w:rPr>
        <w:fldChar w:fldCharType="separate"/>
      </w:r>
      <w:r w:rsidR="00921D16">
        <w:rPr>
          <w:rFonts w:cs="Times New Roman"/>
          <w:noProof/>
          <w:sz w:val="24"/>
          <w:szCs w:val="24"/>
          <w:lang w:val="en-GB"/>
        </w:rPr>
        <w:t>(Lichstein &amp; Pacala 2011)</w:t>
      </w:r>
      <w:r w:rsidR="00921D16">
        <w:rPr>
          <w:rFonts w:cs="Times New Roman"/>
          <w:sz w:val="24"/>
          <w:szCs w:val="24"/>
          <w:lang w:val="en-GB"/>
        </w:rPr>
        <w:fldChar w:fldCharType="end"/>
      </w:r>
      <w:r w:rsidR="00921D16">
        <w:rPr>
          <w:rFonts w:cs="Times New Roman"/>
          <w:sz w:val="24"/>
          <w:szCs w:val="24"/>
          <w:lang w:val="en-GB"/>
        </w:rPr>
        <w:t>.</w:t>
      </w:r>
    </w:p>
    <w:p w14:paraId="00000046" w14:textId="4616CAF8" w:rsidR="007F1434" w:rsidRPr="00613D1C" w:rsidRDefault="000236F3" w:rsidP="00613D1C">
      <w:pPr>
        <w:spacing w:line="360" w:lineRule="auto"/>
        <w:rPr>
          <w:rFonts w:cs="Times New Roman"/>
          <w:sz w:val="24"/>
          <w:szCs w:val="24"/>
          <w:lang w:val="en-GB"/>
        </w:rPr>
      </w:pPr>
      <w:r w:rsidRPr="00613D1C">
        <w:rPr>
          <w:rFonts w:cs="Times New Roman"/>
          <w:b/>
          <w:sz w:val="24"/>
          <w:szCs w:val="24"/>
          <w:lang w:val="en-GB"/>
        </w:rPr>
        <w:tab/>
      </w:r>
      <w:r w:rsidRPr="00613D1C">
        <w:rPr>
          <w:rFonts w:cs="Times New Roman"/>
          <w:i/>
          <w:sz w:val="24"/>
          <w:szCs w:val="24"/>
          <w:lang w:val="en-GB"/>
        </w:rPr>
        <w:t xml:space="preserve">Forest2 </w:t>
      </w:r>
      <w:r w:rsidRPr="00613D1C">
        <w:rPr>
          <w:rFonts w:cs="Times New Roman"/>
          <w:sz w:val="24"/>
          <w:szCs w:val="24"/>
          <w:lang w:val="en-GB"/>
        </w:rPr>
        <w:t xml:space="preserve">(TROLL, </w:t>
      </w:r>
      <w:r w:rsidR="00DA4999">
        <w:rPr>
          <w:rFonts w:cs="Times New Roman"/>
          <w:sz w:val="24"/>
          <w:szCs w:val="24"/>
          <w:lang w:val="en-GB"/>
        </w:rPr>
        <w:fldChar w:fldCharType="begin"/>
      </w:r>
      <w:r w:rsidR="00921D16">
        <w:rPr>
          <w:rFonts w:cs="Times New Roman"/>
          <w:sz w:val="24"/>
          <w:szCs w:val="24"/>
          <w:lang w:val="en-GB"/>
        </w:rPr>
        <w:instrText xml:space="preserve"> ADDIN ZOTERO_ITEM CSL_CITATION {"citationID":"6Tfdv1c9","properties":{"formattedCitation":"(Mar\\uc0\\u233{}chaux &amp; Chave 2017)","plainCitation":"(Maréchaux &amp; Chave 2017)","dontUpdate":true,"noteIndex":0},"citationItems":[{"id":4128,"uris":["http://zotero.org/users/961091/items/ZJHYFILX"],"uri":["http://zotero.org/users/961091/items/ZJHYFILX"],"itemData":{"id":4128,"type":"article-journal","abstract":"Forest dynamic models predict the current and future states of ecosystems and are a nexus between physiological processes and empirical data, forest plot inventories and remote-sensing information. The problem of biodiversity representation in these models has long been an impediment to a detailed understanding of ecosystem processes. This challenge is amplified in species-rich and high-carbon tropical forests. Here we describe an individual-based and spatially explicit forest growth simulator, TROLL, that integrates recent advances in plant physiology. Processes (carbon assimilation, allocation, reproduction, and mortality) are linked to species-specific functional traits, and the model was parameterized for an Amazonian tropical rainforest. We simulated a forest regeneration experiment from bare soil, and we validated it against observations at our sites. Simulated forest regeneration compared well with observations for stem densities, gross primary productivity, aboveground biomass, and floristic composition. After 500 years of regrowth, the simulated forest displayed structural characteristics similar to observations (e.g., leaf area index and trunk diameter distribution). We then assessed the model's sensitivity to a number of key model parameters: light extinction coefficient and carbon quantum yield, and to a lesser extent mortality rate, and carbon allocation, all influenced ecosystem features. To illustrate the potential of the approach, we tested whether variation in species richness and composition influenced ecosystem properties. Overall, species richness had a positive effect on ecosystem processes, but this effect was controlled by the identity of species rather by richness per se. Also, functional trait community means had a stronger effect than functional diversity on ecosystem processes. TROLL should be applicable to many tropical forests sites, and data requirement is tailored to ongoing trait collection efforts. Such a model should foster the dialogue between ecology and the vegetation modeling community, help improve the predictive power of models, and eventually better inform policy choices.","container-title":"Ecological Monographs","DOI":"https://doi.org/10.1002/ecm.1271","ISSN":"1557-7015","issue":"4","language":"en","note":"_eprint: https://esajournals.onlinelibrary.wiley.com/doi/pdf/10.1002/ecm.1271","page":"632-664","source":"Wiley Online Library","title":"An individual-based forest model to jointly simulate carbon and tree diversity in Amazonia: description and applications","title-short":"An individual-based forest model to jointly simulate carbon and tree diversity in Amazonia","volume":"87","author":[{"family":"Maréchaux","given":"Isabelle"},{"family":"Chave","given":"Jérôme"}],"issued":{"date-parts":[["2017"]]}}}],"schema":"https://github.com/citation-style-language/schema/raw/master/csl-citation.json"}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Maréchaux &amp; Chave 2017)</w:t>
      </w:r>
      <w:r w:rsidR="00DA4999">
        <w:rPr>
          <w:rFonts w:cs="Times New Roman"/>
          <w:sz w:val="24"/>
          <w:szCs w:val="24"/>
          <w:lang w:val="en-GB"/>
        </w:rPr>
        <w:fldChar w:fldCharType="end"/>
      </w:r>
      <w:r w:rsidRPr="00613D1C">
        <w:rPr>
          <w:rFonts w:cs="Times New Roman"/>
          <w:sz w:val="24"/>
          <w:szCs w:val="24"/>
          <w:lang w:val="en-GB"/>
        </w:rPr>
        <w:t xml:space="preserve"> is an individual-based and spatially-explicit model of tropical forest dynamics. It uses species-specific functional traits to parameterise tree physiological function and demographic processes, according to relationships and trade-offs taken from the literature. Individual trees compete for light within a 1 m</w:t>
      </w:r>
      <w:r w:rsidRPr="00613D1C">
        <w:rPr>
          <w:rFonts w:cs="Times New Roman"/>
          <w:sz w:val="24"/>
          <w:szCs w:val="24"/>
          <w:vertAlign w:val="superscript"/>
          <w:lang w:val="en-GB"/>
        </w:rPr>
        <w:t>3</w:t>
      </w:r>
      <w:r w:rsidRPr="00613D1C">
        <w:rPr>
          <w:rFonts w:cs="Times New Roman"/>
          <w:sz w:val="24"/>
          <w:szCs w:val="24"/>
          <w:lang w:val="en-GB"/>
        </w:rPr>
        <w:t xml:space="preserve"> voxel grid, in which tree death and gap formation create horizontal and vertical heterogeneity of light availability. Seed dispersal is spatially explicit and includes both local sources (fertile trees) and external seed rain. Here, we used a model version without additional Janzen-Connell type conspecific negative density dependence, and stable coexistence relies on external seed rain.</w:t>
      </w:r>
    </w:p>
    <w:p w14:paraId="00000047" w14:textId="3457A893" w:rsidR="007F1434" w:rsidRPr="00613D1C" w:rsidRDefault="000236F3" w:rsidP="00613D1C">
      <w:pPr>
        <w:spacing w:line="360" w:lineRule="auto"/>
        <w:ind w:firstLine="720"/>
        <w:rPr>
          <w:rFonts w:cs="Times New Roman"/>
          <w:sz w:val="24"/>
          <w:szCs w:val="24"/>
          <w:lang w:val="en-GB"/>
        </w:rPr>
      </w:pPr>
      <w:r w:rsidRPr="00613D1C">
        <w:rPr>
          <w:rFonts w:cs="Times New Roman"/>
          <w:i/>
          <w:sz w:val="24"/>
          <w:szCs w:val="24"/>
          <w:lang w:val="en-GB"/>
        </w:rPr>
        <w:t>Dryland</w:t>
      </w:r>
      <w:r w:rsidRPr="00613D1C">
        <w:rPr>
          <w:rFonts w:cs="Times New Roman"/>
          <w:sz w:val="24"/>
          <w:szCs w:val="24"/>
          <w:lang w:val="en-GB"/>
        </w:rPr>
        <w:t xml:space="preserve"> </w:t>
      </w:r>
      <w:r w:rsidR="00DA4999">
        <w:rPr>
          <w:rFonts w:cs="Times New Roman"/>
          <w:sz w:val="24"/>
          <w:szCs w:val="24"/>
          <w:lang w:val="en-GB"/>
        </w:rPr>
        <w:fldChar w:fldCharType="begin"/>
      </w:r>
      <w:r w:rsidR="00921D16">
        <w:rPr>
          <w:rFonts w:cs="Times New Roman"/>
          <w:sz w:val="24"/>
          <w:szCs w:val="24"/>
          <w:lang w:val="en-GB"/>
        </w:rPr>
        <w:instrText xml:space="preserve"> ADDIN ZOTERO_ITEM CSL_CITATION {"citationID":"l8KlXE1S","properties":{"formattedCitation":"(Reineking &amp; der 2006)","plainCitation":"(Reineking &amp; der 2006)","dontUpdate":true,"noteIndex":0},"citationItems":[{"id":4131,"uris":["http://zotero.org/users/961091/items/7GHNWWYW"],"uri":["http://zotero.org/users/961091/items/7GHNWWYW"],"itemData":{"id":4131,"type":"article-journal","abstract":"Predictive habitat models are an important tool for ecological research and conservation. A major cause of unreliable models is excessive model complexity, and regularization methods aim to improve the predictive performance by adequately constraining model complexity. We compare three regularization methods for logistic regression: variable selection, lasso, and ridge. They differ in the way model complexity is measured: variable selection uses the number of estimated parameters, the lasso uses the sum of the absolute values of the parameter estimates, and the ridge uses the sum of the squared values of the parameter estimates. We performed a simulation study with environmental data of a real landscape and artificial species occupancy data. We investigated the effect of three factors on relative model performance: (1) the number of parameters (16, 10, 6, 2) in the ‘true’ model that determined the distribution of the artificial species, (2) the prevalence, i.e. the proportion of sites occupied by the species, and (3) the sample size (measured in events per variable, EPV). Regularization improved model discrimination and calibration. However, no regularization method performed best under all circumstances: the ridge generally performed best in the 16-parameter scenario. The lasso generally performed best in the 10-parameter scenario. Variable selection with AIC was best at large sample sizes (EPV≥10) when less than half of the variables influenced the species distribution. However, at low sample sizes (EPV&lt;10), ridge and lasso always performed best, regardless of the parameter scenario or prevalence. Overall, calibration was best in ridge models. Other methods showed overconfidence, particularly at low sample sizes. The percentage of correctly identified models was low for both lasso and variable selection. Variable selection should be used with caution. Although it can produce the best performing models under certain conditions, these situations are difficult to infer from the data. Ridge and lasso are risk-averse model strategies that can be expected to perform well under a wide range of underlying species–habitat relationships, particularly at small sample sizes.","container-title":"Ecological Modelling","DOI":"10.1016/j.ecolmodel.2005.10.003","ISSN":"0304-3800","issue":"3","journalAbbreviation":"Ecological Modelling","language":"en","page":"675-690","source":"ScienceDirect","title":"Constrain to perform: Regularization of habitat models","title-short":"Constrain to perform","volume":"193","author":[{"family":"Reineking","given":"Björn"},{"family":"der","given":"Boris Schrö"}],"issued":{"date-parts":[["2006",3,15]]}}}],"schema":"https://github.com/citation-style-language/schema/raw/master/csl-citation.json"} </w:instrText>
      </w:r>
      <w:r w:rsidR="00DA4999">
        <w:rPr>
          <w:rFonts w:cs="Times New Roman"/>
          <w:sz w:val="24"/>
          <w:szCs w:val="24"/>
          <w:lang w:val="en-GB"/>
        </w:rPr>
        <w:fldChar w:fldCharType="separate"/>
      </w:r>
      <w:r w:rsidR="00DA4999">
        <w:rPr>
          <w:rFonts w:cs="Times New Roman"/>
          <w:noProof/>
          <w:sz w:val="24"/>
          <w:szCs w:val="24"/>
          <w:lang w:val="en-GB"/>
        </w:rPr>
        <w:t>(Reineking</w:t>
      </w:r>
      <w:r w:rsidR="0068758F">
        <w:rPr>
          <w:rFonts w:cs="Times New Roman"/>
          <w:noProof/>
          <w:sz w:val="24"/>
          <w:szCs w:val="24"/>
          <w:lang w:val="en-GB"/>
        </w:rPr>
        <w:t xml:space="preserve"> </w:t>
      </w:r>
      <w:r w:rsidR="00DA4999">
        <w:rPr>
          <w:rFonts w:cs="Times New Roman"/>
          <w:noProof/>
          <w:sz w:val="24"/>
          <w:szCs w:val="24"/>
          <w:lang w:val="en-GB"/>
        </w:rPr>
        <w:t>2006)</w:t>
      </w:r>
      <w:r w:rsidR="00DA4999">
        <w:rPr>
          <w:rFonts w:cs="Times New Roman"/>
          <w:sz w:val="24"/>
          <w:szCs w:val="24"/>
          <w:lang w:val="en-GB"/>
        </w:rPr>
        <w:fldChar w:fldCharType="end"/>
      </w:r>
      <w:r w:rsidRPr="00613D1C">
        <w:rPr>
          <w:rFonts w:cs="Times New Roman"/>
          <w:sz w:val="24"/>
          <w:szCs w:val="24"/>
          <w:lang w:val="en-GB"/>
        </w:rPr>
        <w:t xml:space="preserve"> is an individual-based, stochastic model, designed to analyse coexistence mechanisms based on allocation trade-offs and environmental heterogeneity. The model is parameterised for succulent communities in the </w:t>
      </w:r>
      <w:proofErr w:type="spellStart"/>
      <w:r w:rsidRPr="00613D1C">
        <w:rPr>
          <w:rFonts w:cs="Times New Roman"/>
          <w:sz w:val="24"/>
          <w:szCs w:val="24"/>
          <w:lang w:val="en-GB"/>
        </w:rPr>
        <w:t>Richtersveld</w:t>
      </w:r>
      <w:proofErr w:type="spellEnd"/>
      <w:r w:rsidRPr="00613D1C">
        <w:rPr>
          <w:rFonts w:cs="Times New Roman"/>
          <w:sz w:val="24"/>
          <w:szCs w:val="24"/>
          <w:lang w:val="en-GB"/>
        </w:rPr>
        <w:t xml:space="preserve">, South Africa. Plants compete for water, and biomass allocation to leaves, roots, water storage and seeds affects plant growth, survival, and reproduction. At high water supply rates, species not investing in water storage outcompete species investing in storage, which in turn persist longer during drought periods. Long-term coexistence of a small number of species is maintained by </w:t>
      </w:r>
      <w:proofErr w:type="spellStart"/>
      <w:r w:rsidRPr="00613D1C">
        <w:rPr>
          <w:rFonts w:cs="Times New Roman"/>
          <w:sz w:val="24"/>
          <w:szCs w:val="24"/>
          <w:lang w:val="en-GB"/>
        </w:rPr>
        <w:t>spatio</w:t>
      </w:r>
      <w:proofErr w:type="spellEnd"/>
      <w:r w:rsidRPr="00613D1C">
        <w:rPr>
          <w:rFonts w:cs="Times New Roman"/>
          <w:sz w:val="24"/>
          <w:szCs w:val="24"/>
          <w:lang w:val="en-GB"/>
        </w:rPr>
        <w:t>-temporal heterogeneity in water supply. In the present study, higher levels of local diversity were maintained via external seed rain. Within the Dryland model, our experimental design necessitated a modification to the species pool of the original model, to increase chances of simulating high-diversity communities (see Appendix S1: Model preparation).</w:t>
      </w:r>
    </w:p>
    <w:p w14:paraId="00000048" w14:textId="77777777" w:rsidR="007F1434" w:rsidRPr="00613D1C" w:rsidRDefault="007F1434" w:rsidP="00613D1C">
      <w:pPr>
        <w:spacing w:line="360" w:lineRule="auto"/>
        <w:rPr>
          <w:rFonts w:cs="Times New Roman"/>
          <w:sz w:val="24"/>
          <w:szCs w:val="24"/>
          <w:lang w:val="en-GB"/>
        </w:rPr>
      </w:pPr>
    </w:p>
    <w:p w14:paraId="00000049" w14:textId="77777777" w:rsidR="007F1434" w:rsidRPr="00613D1C" w:rsidRDefault="000236F3" w:rsidP="00613D1C">
      <w:pPr>
        <w:spacing w:line="360" w:lineRule="auto"/>
        <w:rPr>
          <w:rFonts w:cs="Times New Roman"/>
          <w:sz w:val="24"/>
          <w:szCs w:val="24"/>
          <w:lang w:val="en-GB"/>
        </w:rPr>
      </w:pPr>
      <w:r w:rsidRPr="00613D1C">
        <w:rPr>
          <w:rFonts w:cs="Times New Roman"/>
          <w:i/>
          <w:sz w:val="24"/>
          <w:szCs w:val="24"/>
          <w:lang w:val="en-GB"/>
        </w:rPr>
        <w:t>Experimental design</w:t>
      </w:r>
    </w:p>
    <w:p w14:paraId="0000004A" w14:textId="15C7BD85"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For each model, a set of 64 species was selected by sampling a functionally diverse assemblage from its original species pool. Depending on the model, this was achieved through either sampling species at regular intervals from the underlying trade-off surface (</w:t>
      </w:r>
      <w:r w:rsidRPr="00613D1C">
        <w:rPr>
          <w:rFonts w:cs="Times New Roman"/>
          <w:i/>
          <w:sz w:val="24"/>
          <w:szCs w:val="24"/>
          <w:lang w:val="en-GB"/>
        </w:rPr>
        <w:t>Grass1</w:t>
      </w:r>
      <w:r w:rsidRPr="00613D1C">
        <w:rPr>
          <w:rFonts w:cs="Times New Roman"/>
          <w:sz w:val="24"/>
          <w:szCs w:val="24"/>
          <w:lang w:val="en-GB"/>
        </w:rPr>
        <w:t xml:space="preserve">, </w:t>
      </w:r>
      <w:r w:rsidRPr="00613D1C">
        <w:rPr>
          <w:rFonts w:cs="Times New Roman"/>
          <w:i/>
          <w:sz w:val="24"/>
          <w:szCs w:val="24"/>
          <w:lang w:val="en-GB"/>
        </w:rPr>
        <w:t>Grass2</w:t>
      </w:r>
      <w:r w:rsidRPr="00613D1C">
        <w:rPr>
          <w:rFonts w:cs="Times New Roman"/>
          <w:sz w:val="24"/>
          <w:szCs w:val="24"/>
          <w:lang w:val="en-GB"/>
        </w:rPr>
        <w:t xml:space="preserve">, </w:t>
      </w:r>
      <w:r w:rsidRPr="00613D1C">
        <w:rPr>
          <w:rFonts w:cs="Times New Roman"/>
          <w:i/>
          <w:sz w:val="24"/>
          <w:szCs w:val="24"/>
          <w:lang w:val="en-GB"/>
        </w:rPr>
        <w:t>Dryland</w:t>
      </w:r>
      <w:r w:rsidRPr="00613D1C">
        <w:rPr>
          <w:rFonts w:cs="Times New Roman"/>
          <w:sz w:val="24"/>
          <w:szCs w:val="24"/>
          <w:lang w:val="en-GB"/>
        </w:rPr>
        <w:t>), or by running k-means clustering (k = 64) on the species pool (</w:t>
      </w:r>
      <w:r w:rsidRPr="00613D1C">
        <w:rPr>
          <w:rFonts w:cs="Times New Roman"/>
          <w:i/>
          <w:sz w:val="24"/>
          <w:szCs w:val="24"/>
          <w:lang w:val="en-GB"/>
        </w:rPr>
        <w:t>Grass3</w:t>
      </w:r>
      <w:r w:rsidRPr="00613D1C">
        <w:rPr>
          <w:rFonts w:cs="Times New Roman"/>
          <w:sz w:val="24"/>
          <w:szCs w:val="24"/>
          <w:lang w:val="en-GB"/>
        </w:rPr>
        <w:t xml:space="preserve">, </w:t>
      </w:r>
      <w:r w:rsidRPr="00613D1C">
        <w:rPr>
          <w:rFonts w:cs="Times New Roman"/>
          <w:i/>
          <w:sz w:val="24"/>
          <w:szCs w:val="24"/>
          <w:lang w:val="en-GB"/>
        </w:rPr>
        <w:t>Forest1</w:t>
      </w:r>
      <w:r w:rsidRPr="00613D1C">
        <w:rPr>
          <w:rFonts w:cs="Times New Roman"/>
          <w:sz w:val="24"/>
          <w:szCs w:val="24"/>
          <w:lang w:val="en-GB"/>
        </w:rPr>
        <w:t xml:space="preserve">, </w:t>
      </w:r>
      <w:r w:rsidRPr="00613D1C">
        <w:rPr>
          <w:rFonts w:cs="Times New Roman"/>
          <w:i/>
          <w:sz w:val="24"/>
          <w:szCs w:val="24"/>
          <w:lang w:val="en-GB"/>
        </w:rPr>
        <w:t>Forest2</w:t>
      </w:r>
      <w:r w:rsidRPr="00613D1C">
        <w:rPr>
          <w:rFonts w:cs="Times New Roman"/>
          <w:sz w:val="24"/>
          <w:szCs w:val="24"/>
          <w:lang w:val="en-GB"/>
        </w:rPr>
        <w:t>). For each model, we then implemented an experimental design typical of BEF experiments (</w:t>
      </w:r>
      <w:proofErr w:type="spellStart"/>
      <w:r w:rsidRPr="0068758F">
        <w:rPr>
          <w:rFonts w:cs="Times New Roman"/>
          <w:i/>
          <w:iCs/>
          <w:sz w:val="24"/>
          <w:szCs w:val="24"/>
          <w:lang w:val="en-GB"/>
        </w:rPr>
        <w:t>sensu</w:t>
      </w:r>
      <w:proofErr w:type="spellEnd"/>
      <w:r w:rsidRPr="00613D1C">
        <w:rPr>
          <w:rFonts w:cs="Times New Roman"/>
          <w:sz w:val="24"/>
          <w:szCs w:val="24"/>
          <w:lang w:val="en-GB"/>
        </w:rPr>
        <w:t xml:space="preserve"> </w:t>
      </w:r>
      <w:r w:rsidR="00DA4999">
        <w:rPr>
          <w:rFonts w:cs="Times New Roman"/>
          <w:sz w:val="24"/>
          <w:szCs w:val="24"/>
          <w:lang w:val="en-GB"/>
        </w:rPr>
        <w:fldChar w:fldCharType="begin"/>
      </w:r>
      <w:r w:rsidR="00921D16">
        <w:rPr>
          <w:rFonts w:cs="Times New Roman"/>
          <w:sz w:val="24"/>
          <w:szCs w:val="24"/>
          <w:lang w:val="en-GB"/>
        </w:rPr>
        <w:instrText xml:space="preserve"> ADDIN ZOTERO_ITEM CSL_CITATION {"citationID":"Vspmf5lI","properties":{"formattedCitation":"(Tilman {\\i{}et al.} 1996; Roscher {\\i{}et al.} 2004)","plainCitation":"(Tilman et al. 1996; Roscher et al. 2004)","dontUpdate":true,"noteIndex":0},"citationItems":[{"id":77,"uris":["http://zotero.org/users/961091/items/5JS2ND9W"],"uri":["http://zotero.org/users/961091/items/5JS2ND9W"],"itemData":{"id":77,"type":"article-journal","container-title":"Nature","DOI":"10.1038/379718a0","ISSN":"0028-0836","issue":"6567","page":"718-720","source":"CrossRef","title":"Productivity and sustainability influenced by biodiversity in grassland ecosystems","volume":"379","author":[{"family":"Tilman","given":"David"},{"family":"Wedin","given":"David"},{"family":"Knops","given":"Johannes"}],"issued":{"date-parts":[["1996",2,22]]}}},{"id":1829,"uris":["http://zotero.org/users/961091/items/AVZ3868P"],"uri":["http://zotero.org/users/961091/items/AVZ3868P"],"itemData":{"id":1829,"type":"article-journal","container-title":"Basic and Applied Ecology","issue":"2","page":"107–121","source":"Google Scholar","title":"The role of biodiversity for element cycling and trophic interactions: an experimental approach in a grassland community","title-short":"The role of biodiversity for element cycling and trophic interactions","volume":"5","author":[{"family":"Roscher","given":"Christiane"},{"family":"Schumacher","given":"Jens"},{"family":"Baade","given":"Jussi"},{"family":"Wilcke","given":"Wolfgang"},{"family":"Gleixner","given":"Gerd"},{"family":"Weisser","given":"Wolfgang W."},{"family":"Schmid","given":"Bernhard"},{"family":"Schulze","given":"Ernst-Detlef"}],"issued":{"date-parts":[["2004"]]}}}],"schema":"https://github.com/citation-style-language/schema/raw/master/csl-citation.json"}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Tilman </w:t>
      </w:r>
      <w:r w:rsidR="00DA4999" w:rsidRPr="00DA4999">
        <w:rPr>
          <w:rFonts w:cs="Times New Roman"/>
          <w:i/>
          <w:iCs/>
          <w:sz w:val="24"/>
        </w:rPr>
        <w:t>et al.</w:t>
      </w:r>
      <w:r w:rsidR="00DA4999" w:rsidRPr="00DA4999">
        <w:rPr>
          <w:rFonts w:cs="Times New Roman"/>
          <w:sz w:val="24"/>
        </w:rPr>
        <w:t xml:space="preserve"> 1996; Roscher </w:t>
      </w:r>
      <w:r w:rsidR="00DA4999" w:rsidRPr="00DA4999">
        <w:rPr>
          <w:rFonts w:cs="Times New Roman"/>
          <w:i/>
          <w:iCs/>
          <w:sz w:val="24"/>
        </w:rPr>
        <w:t>et al.</w:t>
      </w:r>
      <w:r w:rsidR="00DA4999" w:rsidRPr="00DA4999">
        <w:rPr>
          <w:rFonts w:cs="Times New Roman"/>
          <w:sz w:val="24"/>
        </w:rPr>
        <w:t xml:space="preserve"> 2004)</w:t>
      </w:r>
      <w:r w:rsidR="00DA4999">
        <w:rPr>
          <w:rFonts w:cs="Times New Roman"/>
          <w:sz w:val="24"/>
          <w:szCs w:val="24"/>
          <w:lang w:val="en-GB"/>
        </w:rPr>
        <w:fldChar w:fldCharType="end"/>
      </w:r>
      <w:r w:rsidRPr="00613D1C">
        <w:rPr>
          <w:rFonts w:cs="Times New Roman"/>
          <w:sz w:val="24"/>
          <w:szCs w:val="24"/>
          <w:lang w:val="en-GB"/>
        </w:rPr>
        <w:t xml:space="preserve">. The design included seven planted species richness treatments (1, 2, 4, 8, 16, 32 or 64 species) with 64 replicates each (except for the 64-species treatment with only one replicate). The 1-species </w:t>
      </w:r>
      <w:r w:rsidRPr="00613D1C">
        <w:rPr>
          <w:rFonts w:cs="Times New Roman"/>
          <w:sz w:val="24"/>
          <w:szCs w:val="24"/>
          <w:lang w:val="en-GB"/>
        </w:rPr>
        <w:lastRenderedPageBreak/>
        <w:t>treatment consisted of monocultures of the 64 species, and the 2- to 32-species treatments were implemented by randomly sampling (without replacement) from the 64-species pool of each model.</w:t>
      </w:r>
    </w:p>
    <w:p w14:paraId="0000004B" w14:textId="77777777"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 xml:space="preserve">For each model, the 385 (6*64+1) experimental communities were initialised with equal abundances of seeds or seedlings for each planted species (depending on each model’s default settings) and run until a stable abundance distribution was achieved (hereafter “equilibrium”) (see Appendix S1: Experimental Design). Therefore, the forest models were run for significantly longer than the grassland and succulent models, because their dynamics occur over longer time horizons. </w:t>
      </w:r>
    </w:p>
    <w:p w14:paraId="0000004C" w14:textId="77777777"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During this stage, external seed rain from the initial species pool of the community took place (</w:t>
      </w:r>
      <w:r w:rsidRPr="00613D1C">
        <w:rPr>
          <w:rFonts w:cs="Times New Roman"/>
          <w:i/>
          <w:sz w:val="24"/>
          <w:szCs w:val="24"/>
          <w:lang w:val="en-GB"/>
        </w:rPr>
        <w:t>“with seed rain”</w:t>
      </w:r>
      <w:r w:rsidRPr="00613D1C">
        <w:rPr>
          <w:rFonts w:cs="Times New Roman"/>
          <w:sz w:val="24"/>
          <w:szCs w:val="24"/>
          <w:lang w:val="en-GB"/>
        </w:rPr>
        <w:t>). The amount of external seed rain for each species and time step was constant and corresponded to the average internal seed production per time step of all equilibrium monocultures divided by the number of species. To explore the effect of isolating the communities from their respective metacommunities, in a second stage of the same duration, external seed rain stopped (</w:t>
      </w:r>
      <w:r w:rsidRPr="00613D1C">
        <w:rPr>
          <w:rFonts w:cs="Times New Roman"/>
          <w:i/>
          <w:sz w:val="24"/>
          <w:szCs w:val="24"/>
          <w:lang w:val="en-GB"/>
        </w:rPr>
        <w:t>“without seed rain”</w:t>
      </w:r>
      <w:r w:rsidRPr="00613D1C">
        <w:rPr>
          <w:rFonts w:cs="Times New Roman"/>
          <w:sz w:val="24"/>
          <w:szCs w:val="24"/>
          <w:lang w:val="en-GB"/>
        </w:rPr>
        <w:t>). We measured diversity and ecosystem functioning on the last time steps of the seed rain and without seed rain stages.</w:t>
      </w:r>
    </w:p>
    <w:p w14:paraId="0000004D" w14:textId="77777777" w:rsidR="007F1434" w:rsidRPr="00613D1C" w:rsidRDefault="007F1434" w:rsidP="00613D1C">
      <w:pPr>
        <w:spacing w:line="360" w:lineRule="auto"/>
        <w:ind w:firstLine="720"/>
        <w:rPr>
          <w:rFonts w:cs="Times New Roman"/>
          <w:sz w:val="24"/>
          <w:szCs w:val="24"/>
          <w:lang w:val="en-GB"/>
        </w:rPr>
      </w:pPr>
    </w:p>
    <w:p w14:paraId="0000004E" w14:textId="77777777" w:rsidR="007F1434" w:rsidRPr="00613D1C" w:rsidRDefault="000236F3" w:rsidP="00613D1C">
      <w:pPr>
        <w:spacing w:line="360" w:lineRule="auto"/>
        <w:rPr>
          <w:rFonts w:cs="Times New Roman"/>
          <w:sz w:val="24"/>
          <w:szCs w:val="24"/>
          <w:lang w:val="en-GB"/>
        </w:rPr>
      </w:pPr>
      <w:r w:rsidRPr="00613D1C">
        <w:rPr>
          <w:rFonts w:cs="Times New Roman"/>
          <w:i/>
          <w:sz w:val="24"/>
          <w:szCs w:val="24"/>
          <w:lang w:val="en-GB"/>
        </w:rPr>
        <w:t>BEF relationships within models</w:t>
      </w:r>
      <w:r w:rsidRPr="00613D1C">
        <w:rPr>
          <w:rFonts w:cs="Times New Roman"/>
          <w:sz w:val="24"/>
          <w:szCs w:val="24"/>
          <w:lang w:val="en-GB"/>
        </w:rPr>
        <w:tab/>
      </w:r>
    </w:p>
    <w:p w14:paraId="0000004F" w14:textId="32B76539" w:rsidR="007F1434" w:rsidRPr="00613D1C" w:rsidRDefault="000236F3" w:rsidP="00613D1C">
      <w:pPr>
        <w:spacing w:line="360" w:lineRule="auto"/>
        <w:rPr>
          <w:rFonts w:cs="Times New Roman"/>
          <w:sz w:val="24"/>
          <w:szCs w:val="24"/>
          <w:lang w:val="en-GB"/>
        </w:rPr>
      </w:pPr>
      <w:r w:rsidRPr="00613D1C">
        <w:rPr>
          <w:rFonts w:cs="Times New Roman"/>
          <w:sz w:val="24"/>
          <w:szCs w:val="24"/>
          <w:lang w:val="en-GB"/>
        </w:rPr>
        <w:tab/>
        <w:t xml:space="preserve">We used the Shannon diversity index to quantify community diversity because in addition to including richness, Shannon diversity includes the evenness component of diversity and therefore changes with species abundance. In several of the simulations, species abundances declined to very low levels rather than to zero. While these species became functionally extinct, realised species richness remained unchanged. However, our results were qualitatively similar for both indices (see Appendix S2). We present the results for three important but related ecosystem functions: 1. Aboveground biomass (main results), 2. Net primary productivity (Appendix S3), and 3. Overyielding in aboveground biomass, i.e. the capacity of a mixture to outperform monocultures of its component species (Relative Yield, </w:t>
      </w:r>
      <w:r w:rsidR="00DA4999">
        <w:rPr>
          <w:rFonts w:cs="Times New Roman"/>
          <w:sz w:val="24"/>
          <w:szCs w:val="24"/>
          <w:lang w:val="en-GB"/>
        </w:rPr>
        <w:fldChar w:fldCharType="begin"/>
      </w:r>
      <w:r w:rsidR="00921D16">
        <w:rPr>
          <w:rFonts w:cs="Times New Roman"/>
          <w:sz w:val="24"/>
          <w:szCs w:val="24"/>
          <w:lang w:val="en-GB"/>
        </w:rPr>
        <w:instrText xml:space="preserve"> ADDIN ZOTERO_ITEM CSL_CITATION {"citationID":"42IhfFFH","properties":{"formattedCitation":"(Loreau &amp; Hector 2001)","plainCitation":"(Loreau &amp; Hector 2001)","dontUpdate":true,"noteIndex":0},"citationItems":[{"id":3425,"uris":["http://zotero.org/users/961091/items/ZC6XMNC4"],"uri":["http://zotero.org/users/961091/items/ZC6XMNC4"],"itemData":{"id":3425,"type":"article-journal","abstract":"The impact of biodiversity loss on the functioning of ecosystems and their ability to provide ecological services has become a central issue in ecology. Several experiments have provided evidence that reduced species diversity may impair ecosystem processes such as plant biomass production1,2,3,4,5. The interpretation of these experiments, however, has been controversial6,7,8,9,10,11,12 because two types of mechanism may operate in combination6,13,14,15. In the ‘selection effect’, dominance by species with particular traits affects ecosystem processes. In the ‘complementarity effect’, resource partitioning or positive interactions lead to increased total resource use. Here we present a new approach to separate the two effects on the basis of an additive partitioning analogous to the Price equation in evolutionary genetics16,17,18,19. Applying this method to data from the pan-European BIODEPTH experiment4 reveals that the selection effect is zero on average and varies from negative to positive in different localities, depending on whether species with lower- or higher-than-average biomass dominate communities. In contrast, the complementarity effect is positive overall, supporting the hypothesis that plant diversity influences primary production in European grasslands through niche differentiation or facilitation.","container-title":"Nature","DOI":"10.1038/35083573","ISSN":"1476-4687","issue":"6842","journalAbbreviation":"Nature","language":"en","page":"72-76","source":"www.nature.com","title":"Partitioning selection and complementarity in biodiversity experiments","volume":"412","author":[{"family":"Loreau","given":"Michel"},{"family":"Hector","given":"Andy"}],"issued":{"date-parts":[["2001",7]]}}}],"schema":"https://github.com/citation-style-language/schema/raw/master/csl-citation.json"} </w:instrText>
      </w:r>
      <w:r w:rsidR="00DA4999">
        <w:rPr>
          <w:rFonts w:cs="Times New Roman"/>
          <w:sz w:val="24"/>
          <w:szCs w:val="24"/>
          <w:lang w:val="en-GB"/>
        </w:rPr>
        <w:fldChar w:fldCharType="separate"/>
      </w:r>
      <w:r w:rsidR="00DA4999">
        <w:rPr>
          <w:rFonts w:cs="Times New Roman"/>
          <w:noProof/>
          <w:sz w:val="24"/>
          <w:szCs w:val="24"/>
          <w:lang w:val="en-GB"/>
        </w:rPr>
        <w:t>Loreau &amp; Hector 2001</w:t>
      </w:r>
      <w:r w:rsidR="00DA4999">
        <w:rPr>
          <w:rFonts w:cs="Times New Roman"/>
          <w:sz w:val="24"/>
          <w:szCs w:val="24"/>
          <w:lang w:val="en-GB"/>
        </w:rPr>
        <w:fldChar w:fldCharType="end"/>
      </w:r>
      <w:r w:rsidRPr="00613D1C">
        <w:rPr>
          <w:rFonts w:cs="Times New Roman"/>
          <w:sz w:val="24"/>
          <w:szCs w:val="24"/>
          <w:lang w:val="en-GB"/>
        </w:rPr>
        <w:t xml:space="preserve">, Appendix S4). We apply the same methodology to each ecosystem function contained within the supplemental materials, but for clarity focus on biomass within this manuscript from this point forward. To enable comparison between models with very different amounts of total biomass, we scaled the community biomass across all simulated communities from 0 to 100 for each model by dividing by the maximum biomass achieved and multiplying by 100. We quantified the effect of realised Shannon diversity on biomass </w:t>
      </w:r>
      <w:r w:rsidRPr="00613D1C">
        <w:rPr>
          <w:rFonts w:cs="Times New Roman"/>
          <w:sz w:val="24"/>
          <w:szCs w:val="24"/>
          <w:lang w:val="en-GB"/>
        </w:rPr>
        <w:lastRenderedPageBreak/>
        <w:t>across and within species richness treatments, fitting realised Shannon diversity as a continuous fixed effect for each plant community model and seed rain stage.</w:t>
      </w:r>
    </w:p>
    <w:p w14:paraId="00000050" w14:textId="35A195D1"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 xml:space="preserve">Our analyses consisted of two steps. In the first step, for each plant community model and seed rain stage, we first fit a Bayesian linear regression between realised Shannon diversity and biomass across species richness levels to estimate the </w:t>
      </w:r>
      <w:r w:rsidRPr="00613D1C">
        <w:rPr>
          <w:rFonts w:cs="Times New Roman"/>
          <w:i/>
          <w:sz w:val="24"/>
          <w:szCs w:val="24"/>
          <w:lang w:val="en-GB"/>
        </w:rPr>
        <w:t>“across</w:t>
      </w:r>
      <w:r w:rsidR="00E90B13">
        <w:rPr>
          <w:rFonts w:cs="Times New Roman"/>
          <w:i/>
          <w:sz w:val="24"/>
          <w:szCs w:val="24"/>
          <w:lang w:val="en-GB"/>
        </w:rPr>
        <w:t xml:space="preserve"> species richness </w:t>
      </w:r>
      <w:r w:rsidRPr="00613D1C">
        <w:rPr>
          <w:rFonts w:cs="Times New Roman"/>
          <w:i/>
          <w:sz w:val="24"/>
          <w:szCs w:val="24"/>
          <w:lang w:val="en-GB"/>
        </w:rPr>
        <w:t>treatment”</w:t>
      </w:r>
      <w:r w:rsidRPr="00613D1C">
        <w:rPr>
          <w:rFonts w:cs="Times New Roman"/>
          <w:sz w:val="24"/>
          <w:szCs w:val="24"/>
          <w:lang w:val="en-GB"/>
        </w:rPr>
        <w:t xml:space="preserve"> BEF slope (black line in Fig. 1, see Appendix S1: Statistical Methods). In the second step, we fit independent Bayesian linear regressions within species richness treatments to quantify </w:t>
      </w:r>
      <w:r w:rsidRPr="00613D1C">
        <w:rPr>
          <w:rFonts w:cs="Times New Roman"/>
          <w:i/>
          <w:sz w:val="24"/>
          <w:szCs w:val="24"/>
          <w:lang w:val="en-GB"/>
        </w:rPr>
        <w:t>“within</w:t>
      </w:r>
      <w:r w:rsidR="00E90B13">
        <w:rPr>
          <w:rFonts w:cs="Times New Roman"/>
          <w:i/>
          <w:sz w:val="24"/>
          <w:szCs w:val="24"/>
          <w:lang w:val="en-GB"/>
        </w:rPr>
        <w:t xml:space="preserve"> species richness </w:t>
      </w:r>
      <w:r w:rsidRPr="00613D1C">
        <w:rPr>
          <w:rFonts w:cs="Times New Roman"/>
          <w:i/>
          <w:sz w:val="24"/>
          <w:szCs w:val="24"/>
          <w:lang w:val="en-GB"/>
        </w:rPr>
        <w:t>treatment”</w:t>
      </w:r>
      <w:r w:rsidRPr="00613D1C">
        <w:rPr>
          <w:rFonts w:cs="Times New Roman"/>
          <w:sz w:val="24"/>
          <w:szCs w:val="24"/>
          <w:lang w:val="en-GB"/>
        </w:rPr>
        <w:t xml:space="preserve"> BEF slopes (coloured lines in Fig. 1) for each plant community model and seed rain stage (see Appendix S1: Statistical Methods).</w:t>
      </w:r>
    </w:p>
    <w:p w14:paraId="00000051" w14:textId="6A0FAF99" w:rsidR="007F1434" w:rsidRPr="00613D1C" w:rsidRDefault="000236F3" w:rsidP="00613D1C">
      <w:pPr>
        <w:spacing w:line="360" w:lineRule="auto"/>
        <w:rPr>
          <w:rFonts w:cs="Times New Roman"/>
          <w:sz w:val="24"/>
          <w:szCs w:val="24"/>
          <w:lang w:val="en-GB"/>
        </w:rPr>
      </w:pPr>
      <w:r w:rsidRPr="00613D1C">
        <w:rPr>
          <w:rFonts w:cs="Times New Roman"/>
          <w:sz w:val="24"/>
          <w:szCs w:val="24"/>
          <w:lang w:val="en-GB"/>
        </w:rPr>
        <w:tab/>
        <w:t xml:space="preserve">Regressions were fit using the Hamiltonian Monte Carlo (HMC) sampler Stan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{"citationID":"PEqQfTsY","properties":{"formattedCitation":"(Carpenter {\\i{}et al.} 2017)","plainCitation":"(Carpenter et al. 2017)","noteIndex":0},"citationItems":[{"id":4132,"uris":["http://zotero.org/users/961091/items/I488ZYVG"],"uri":["http://zotero.org/users/961091/items/I488ZYVG"],"itemData":{"id":4132,"type":"article-journal","abstract":"The U.S. Department of Energy's Office of Scientific and Technical Information","container-title":"Journal of Statistical Software","DOI":"10.18637/jss.v076.i01","ISSN":"1548-7660","issue":"1","language":"English","note":"Institution: Columbia Univ., New York, NY (United States); Harvard Univ., Cambridge, MA (United States)","source":"www.osti.gov","title":"Stan : A Probabilistic Programming Language","title-short":"Stan","URL":"https://www.osti.gov/pages/biblio/1430202-stan-probabilistic-programming-language","volume":"76","author":[{"family":"Carpenter","given":"Bob"},{"family":"Gelman","given":"Andrew"},{"family":"Hoffman","given":"Matthew D."},{"family":"Lee","given":"Daniel"},{"family":"Goodrich","given":"Ben"},{"family":"Betancourt","given":"Michael"},{"family":"Brubaker","given":"Marcus"},{"family":"Guo","given":"Jiqiang"},{"family":"Li","given":"Peter"},{"family":"Riddell","given":"Allen"}],"accessed":{"date-parts":[["2020",11,20]]},"issued":{"date-parts":[["2017",1,1]]}}}],"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 xml:space="preserve">(Carpenter </w:t>
      </w:r>
      <w:r w:rsidR="00DA4999" w:rsidRPr="00DA4999">
        <w:rPr>
          <w:rFonts w:cs="Times New Roman"/>
          <w:i/>
          <w:iCs/>
          <w:sz w:val="24"/>
        </w:rPr>
        <w:t>et al.</w:t>
      </w:r>
      <w:r w:rsidR="00DA4999" w:rsidRPr="00DA4999">
        <w:rPr>
          <w:rFonts w:cs="Times New Roman"/>
          <w:sz w:val="24"/>
        </w:rPr>
        <w:t xml:space="preserve"> 2017)</w:t>
      </w:r>
      <w:r w:rsidR="00DA4999">
        <w:rPr>
          <w:rFonts w:cs="Times New Roman"/>
          <w:sz w:val="24"/>
          <w:szCs w:val="24"/>
          <w:lang w:val="en-GB"/>
        </w:rPr>
        <w:fldChar w:fldCharType="end"/>
      </w:r>
      <w:r w:rsidRPr="00613D1C">
        <w:rPr>
          <w:rFonts w:cs="Times New Roman"/>
          <w:sz w:val="24"/>
          <w:szCs w:val="24"/>
          <w:lang w:val="en-GB"/>
        </w:rPr>
        <w:t xml:space="preserve"> through the ‘brms’ package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{"citationID":"dvrf21KU","properties":{"formattedCitation":"(B\\uc0\\u252{}rkner 2017)","plainCitation":"(Bürkner 2017)","noteIndex":0},"citationItems":[{"id":4135,"uris":["http://zotero.org/users/961091/items/H5JK362T"],"uri":["http://zotero.org/users/961091/items/H5JK362T"],"itemData":{"id":4135,"type":"article-journal","container-title":"Journal of Statistical Software","DOI":"10.18637/jss.v080.i01","ISSN":"1548-7660","issue":"1","language":"en","note":"number: 1","page":"1-28","source":"www.jstatsoft.org","title":"brms: An R Package for Bayesian Multilevel Models Using Stan","title-short":"brms","volume":"80","author":[{"family":"Bürkner","given":"Paul-Christian"}],"issued":{"date-parts":[["2017",8,29]]}}}],"schema":"https://github.com/citation-style-language/schema/raw/master/csl-citation.json"} </w:instrText>
      </w:r>
      <w:r w:rsidR="00DA4999">
        <w:rPr>
          <w:rFonts w:cs="Times New Roman"/>
          <w:sz w:val="24"/>
          <w:szCs w:val="24"/>
          <w:lang w:val="en-GB"/>
        </w:rPr>
        <w:fldChar w:fldCharType="separate"/>
      </w:r>
      <w:r w:rsidR="00DA4999" w:rsidRPr="00DA4999">
        <w:rPr>
          <w:rFonts w:cs="Times New Roman"/>
          <w:sz w:val="24"/>
        </w:rPr>
        <w:t>(Bürkner 2017)</w:t>
      </w:r>
      <w:r w:rsidR="00DA4999">
        <w:rPr>
          <w:rFonts w:cs="Times New Roman"/>
          <w:sz w:val="24"/>
          <w:szCs w:val="24"/>
          <w:lang w:val="en-GB"/>
        </w:rPr>
        <w:fldChar w:fldCharType="end"/>
      </w:r>
      <w:r w:rsidRPr="00613D1C">
        <w:rPr>
          <w:rFonts w:cs="Times New Roman"/>
          <w:sz w:val="24"/>
          <w:szCs w:val="24"/>
          <w:lang w:val="en-GB"/>
        </w:rPr>
        <w:t xml:space="preserve"> in R </w:t>
      </w:r>
      <w:r w:rsidR="00DA4999">
        <w:rPr>
          <w:rFonts w:cs="Times New Roman"/>
          <w:sz w:val="24"/>
          <w:szCs w:val="24"/>
          <w:lang w:val="en-GB"/>
        </w:rPr>
        <w:fldChar w:fldCharType="begin"/>
      </w:r>
      <w:r w:rsidR="00DA4999">
        <w:rPr>
          <w:rFonts w:cs="Times New Roman"/>
          <w:sz w:val="24"/>
          <w:szCs w:val="24"/>
          <w:lang w:val="en-GB"/>
        </w:rPr>
        <w:instrText xml:space="preserve"> ADDIN ZOTERO_ITEM CSL_CITATION {"citationID":"dSQ1Afl5","properties":{"formattedCitation":"(R Core Team 2019)","plainCitation":"(R Core Team 2019)","noteIndex":0},"citationItems":[{"id":1359,"uris":["http://zotero.org/users/961091/items/SZH7CNHV"],"uri":["http://zotero.org/users/961091/items/SZH7CNHV"],"itemData":{"id":1359,"type":"book","event-place":"Vienna, Austria","publisher":"R Foundation for Statistical Computing","publisher-place":"Vienna, Austria","title":"R: A language and environment for statistical computer.","version":"4.0.0","author":[{"family":"R Core Team","given":""}],"issued":{"date-parts":[["2019"]]}}}],"schema":"https://github.com/citation-style-language/schema/raw/master/csl-citation.json"} </w:instrText>
      </w:r>
      <w:r w:rsidR="00DA4999">
        <w:rPr>
          <w:rFonts w:cs="Times New Roman"/>
          <w:sz w:val="24"/>
          <w:szCs w:val="24"/>
          <w:lang w:val="en-GB"/>
        </w:rPr>
        <w:fldChar w:fldCharType="separate"/>
      </w:r>
      <w:r w:rsidR="00DA4999">
        <w:rPr>
          <w:rFonts w:cs="Times New Roman"/>
          <w:noProof/>
          <w:sz w:val="24"/>
          <w:szCs w:val="24"/>
          <w:lang w:val="en-GB"/>
        </w:rPr>
        <w:t>(R Core Team 2019)</w:t>
      </w:r>
      <w:r w:rsidR="00DA4999">
        <w:rPr>
          <w:rFonts w:cs="Times New Roman"/>
          <w:sz w:val="24"/>
          <w:szCs w:val="24"/>
          <w:lang w:val="en-GB"/>
        </w:rPr>
        <w:fldChar w:fldCharType="end"/>
      </w:r>
      <w:r w:rsidRPr="00613D1C">
        <w:rPr>
          <w:rFonts w:cs="Times New Roman"/>
          <w:sz w:val="24"/>
          <w:szCs w:val="24"/>
          <w:lang w:val="en-GB"/>
        </w:rPr>
        <w:t xml:space="preserve"> using 4 chains, 2000 iterations (1000 as warm up) and Gaussian distributions for all models. We used weakly regularising default priors, and inspection of the HMC chains for each model showed excellent convergence, with R-hat values of 1.0 for all estimates. We used posterior predictive checks to visually inspect how well the statistical models reproduced the data (see Appendix S5).</w:t>
      </w:r>
    </w:p>
    <w:p w14:paraId="00000052" w14:textId="77777777" w:rsidR="007F1434" w:rsidRPr="00613D1C" w:rsidRDefault="007F1434" w:rsidP="00613D1C">
      <w:pPr>
        <w:spacing w:line="360" w:lineRule="auto"/>
        <w:rPr>
          <w:rFonts w:cs="Times New Roman"/>
          <w:sz w:val="24"/>
          <w:szCs w:val="24"/>
          <w:lang w:val="en-GB"/>
        </w:rPr>
      </w:pPr>
    </w:p>
    <w:p w14:paraId="00000053" w14:textId="77777777" w:rsidR="007F1434" w:rsidRPr="00613D1C" w:rsidRDefault="000236F3" w:rsidP="00613D1C">
      <w:pPr>
        <w:spacing w:line="360" w:lineRule="auto"/>
        <w:rPr>
          <w:rFonts w:cs="Times New Roman"/>
          <w:sz w:val="24"/>
          <w:szCs w:val="24"/>
          <w:lang w:val="en-GB"/>
        </w:rPr>
      </w:pPr>
      <w:r w:rsidRPr="00613D1C">
        <w:rPr>
          <w:rFonts w:cs="Times New Roman"/>
          <w:i/>
          <w:sz w:val="24"/>
          <w:szCs w:val="24"/>
          <w:lang w:val="en-GB"/>
        </w:rPr>
        <w:t>Comparison across models</w:t>
      </w:r>
    </w:p>
    <w:p w14:paraId="00000054" w14:textId="7D3D77CA"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To test for an effect of the correlation between the capacity of a species to provide ecosystem functioning in monoculture and its dominance in mixture (</w:t>
      </w:r>
      <w:r w:rsidRPr="00613D1C">
        <w:rPr>
          <w:rFonts w:cs="Times New Roman"/>
          <w:i/>
          <w:sz w:val="24"/>
          <w:szCs w:val="24"/>
          <w:lang w:val="en-GB"/>
        </w:rPr>
        <w:t>“function- dominance correlation”</w:t>
      </w:r>
      <w:r w:rsidRPr="00613D1C">
        <w:rPr>
          <w:rFonts w:cs="Times New Roman"/>
          <w:sz w:val="24"/>
          <w:szCs w:val="24"/>
          <w:lang w:val="en-GB"/>
        </w:rPr>
        <w:t xml:space="preserve">) on BEF relationships (Fig. 1), we quantified the baseline capacity of a species to provide ecosystem functioning by its monoculture biomass, and its dominance in mixture </w:t>
      </w:r>
      <w:r w:rsidRPr="00613D1C">
        <w:rPr>
          <w:rFonts w:cs="Times New Roman"/>
          <w:sz w:val="24"/>
          <w:szCs w:val="24"/>
          <w:highlight w:val="white"/>
          <w:lang w:val="en-GB"/>
        </w:rPr>
        <w:t xml:space="preserve">by its biomass in mixture. This metric is related to, but distinct from, the classic "selection effect" of </w:t>
      </w:r>
      <w:proofErr w:type="spellStart"/>
      <w:r w:rsidRPr="00613D1C">
        <w:rPr>
          <w:rFonts w:cs="Times New Roman"/>
          <w:sz w:val="24"/>
          <w:szCs w:val="24"/>
          <w:highlight w:val="white"/>
          <w:lang w:val="en-GB"/>
        </w:rPr>
        <w:t>Loreau</w:t>
      </w:r>
      <w:proofErr w:type="spellEnd"/>
      <w:r w:rsidRPr="00613D1C">
        <w:rPr>
          <w:rFonts w:cs="Times New Roman"/>
          <w:sz w:val="24"/>
          <w:szCs w:val="24"/>
          <w:highlight w:val="white"/>
          <w:lang w:val="en-GB"/>
        </w:rPr>
        <w:t xml:space="preserve"> and Hector (2001). The selection effect of </w:t>
      </w:r>
      <w:proofErr w:type="spellStart"/>
      <w:r w:rsidRPr="00613D1C">
        <w:rPr>
          <w:rFonts w:cs="Times New Roman"/>
          <w:sz w:val="24"/>
          <w:szCs w:val="24"/>
          <w:highlight w:val="white"/>
          <w:lang w:val="en-GB"/>
        </w:rPr>
        <w:t>Loreau</w:t>
      </w:r>
      <w:proofErr w:type="spellEnd"/>
      <w:r w:rsidRPr="00613D1C">
        <w:rPr>
          <w:rFonts w:cs="Times New Roman"/>
          <w:sz w:val="24"/>
          <w:szCs w:val="24"/>
          <w:highlight w:val="white"/>
          <w:lang w:val="en-GB"/>
        </w:rPr>
        <w:t xml:space="preserve"> and Hector (2001) is quantified using the correlation between monoculture biomass and the ratio of mixture biomass relative to monoculture biomasses. </w:t>
      </w:r>
      <w:r w:rsidR="00A570CD">
        <w:rPr>
          <w:rFonts w:cs="Times New Roman"/>
          <w:sz w:val="24"/>
          <w:szCs w:val="24"/>
          <w:highlight w:val="white"/>
          <w:lang w:val="en-GB"/>
        </w:rPr>
        <w:t>T</w:t>
      </w:r>
      <w:r w:rsidRPr="00613D1C">
        <w:rPr>
          <w:rFonts w:cs="Times New Roman"/>
          <w:sz w:val="24"/>
          <w:szCs w:val="24"/>
          <w:highlight w:val="white"/>
          <w:lang w:val="en-GB"/>
        </w:rPr>
        <w:t xml:space="preserve">o avoid </w:t>
      </w:r>
      <w:r w:rsidR="00A570CD">
        <w:rPr>
          <w:rFonts w:cs="Times New Roman"/>
          <w:sz w:val="24"/>
          <w:szCs w:val="24"/>
          <w:highlight w:val="white"/>
          <w:lang w:val="en-GB"/>
        </w:rPr>
        <w:t>potential statistical problems related to this ratio distribution</w:t>
      </w:r>
      <w:r w:rsidRPr="00613D1C">
        <w:rPr>
          <w:rFonts w:cs="Times New Roman"/>
          <w:sz w:val="24"/>
          <w:szCs w:val="24"/>
          <w:highlight w:val="white"/>
          <w:lang w:val="en-GB"/>
        </w:rPr>
        <w:t xml:space="preserve"> </w:t>
      </w:r>
      <w:r w:rsidR="00DA4999">
        <w:rPr>
          <w:rFonts w:cs="Times New Roman"/>
          <w:sz w:val="24"/>
          <w:szCs w:val="24"/>
          <w:highlight w:val="white"/>
          <w:lang w:val="en-GB"/>
        </w:rPr>
        <w:fldChar w:fldCharType="begin"/>
      </w:r>
      <w:r w:rsidR="00DA4999">
        <w:rPr>
          <w:rFonts w:cs="Times New Roman"/>
          <w:sz w:val="24"/>
          <w:szCs w:val="24"/>
          <w:highlight w:val="white"/>
          <w:lang w:val="en-GB"/>
        </w:rPr>
        <w:instrText xml:space="preserve"> ADDIN ZOTERO_ITEM CSL_CITATION {"citationID":"Fyjno76Z","properties":{"formattedCitation":"(Clark {\\i{}et al.} 2019)","plainCitation":"(Clark et al. 2019)","noteIndex":0},"citationItems":[{"id":4066,"uris":["http://zotero.org/users/961091/items/U2R6ZH23"],"uri":["http://zotero.org/users/961091/items/U2R6ZH23"],"itemData":{"id":4066,"type":"article-journal","abstract":"Declines in global biodiversity have inspired a generation of studies that seek to characterize relationships between biodiversity and ecosystem functioning. The metrics for complementarity and selection effects derived by Loreau and Hector in 2001 remain some of the most influential and widely used statistics for studying these relationships. These metrics quantify the degree to which the effect of biodiversity on a given ecosystem function depends on only a few species that perform well in monoculture and in mixture (the selection effect) or if the effect of biodiversity on a given ecosystem function is independent of monoculture performance (the complementarity effect). This distinction may be useful in determining the consequences of the loss of rare versus common or dominant species in natural systems. However, because these metrics require observations of all species in a community in monoculture, applications in natural systems have been limited. Here, we derive a statistical augmentation of the original partition, which can be applied to incomplete random samples of species drawn from a larger pool. This augmentation controls for the bias introduced by using only a subsample of species in monocultures rather than having monocultures of all species. Using simulated and empirical examples, we demonstrate the robustness of these metrics, and provide source code for calculating them. We find that these augmentations provide a reliable estimate of complementarity and selection effects as long as approximately 50% of the species present in mixture are present in monoculture and these species represent a random subset of the mixture. We foresee two primary applications for this method: (a) estimating complementarity and selection effects for experimentally assembled communities where monoculture data are lacking for some species, and (b) extrapolating results from biodiversity experiments to diverse natural systems.","container-title":"Methods in Ecology and Evolution","DOI":"10.1111/2041-210X.13285","ISSN":"2041-210X","issue":"12","language":"en","note":"_eprint: https://besjournals.onlinelibrary.wiley.com/doi/pdf/10.1111/2041-210X.13285","page":"2141-2152","source":"Wiley Online Library","title":"How to estimate complementarity and selection effects from an incomplete sample of species","volume":"10","author":[{"family":"Clark","given":"Adam Thomas"},{"family":"Barry","given":"Kathryn E."},{"family":"Roscher","given":"Christiane"},{"family":"Buchmann","given":"Tina"},{"family":"Loreau","given":"Michel"},{"family":"Harpole","given":"W. Stanley"}],"issued":{"date-parts":[["2019"]]}}}],"schema":"https://github.com/citation-style-language/schema/raw/master/csl-citation.json"} </w:instrText>
      </w:r>
      <w:r w:rsidR="00DA4999">
        <w:rPr>
          <w:rFonts w:cs="Times New Roman"/>
          <w:sz w:val="24"/>
          <w:szCs w:val="24"/>
          <w:highlight w:val="white"/>
          <w:lang w:val="en-GB"/>
        </w:rPr>
        <w:fldChar w:fldCharType="separate"/>
      </w:r>
      <w:r w:rsidR="00DA4999" w:rsidRPr="00DA4999">
        <w:rPr>
          <w:rFonts w:cs="Times New Roman"/>
          <w:sz w:val="24"/>
        </w:rPr>
        <w:t xml:space="preserve">(Clark </w:t>
      </w:r>
      <w:r w:rsidR="00DA4999" w:rsidRPr="00DA4999">
        <w:rPr>
          <w:rFonts w:cs="Times New Roman"/>
          <w:i/>
          <w:iCs/>
          <w:sz w:val="24"/>
        </w:rPr>
        <w:t>et al.</w:t>
      </w:r>
      <w:r w:rsidR="00DA4999" w:rsidRPr="00DA4999">
        <w:rPr>
          <w:rFonts w:cs="Times New Roman"/>
          <w:sz w:val="24"/>
        </w:rPr>
        <w:t xml:space="preserve"> 2019)</w:t>
      </w:r>
      <w:r w:rsidR="00DA4999">
        <w:rPr>
          <w:rFonts w:cs="Times New Roman"/>
          <w:sz w:val="24"/>
          <w:szCs w:val="24"/>
          <w:highlight w:val="white"/>
          <w:lang w:val="en-GB"/>
        </w:rPr>
        <w:fldChar w:fldCharType="end"/>
      </w:r>
      <w:r w:rsidR="00A570CD">
        <w:rPr>
          <w:rFonts w:cs="Times New Roman"/>
          <w:sz w:val="24"/>
          <w:szCs w:val="24"/>
          <w:highlight w:val="white"/>
          <w:lang w:val="en-GB"/>
        </w:rPr>
        <w:t>, we instead focus on absolute biomass here</w:t>
      </w:r>
      <w:r w:rsidR="00DA4999">
        <w:rPr>
          <w:rFonts w:cs="Times New Roman"/>
          <w:sz w:val="24"/>
          <w:szCs w:val="24"/>
          <w:highlight w:val="white"/>
          <w:lang w:val="en-GB"/>
        </w:rPr>
        <w:t>.</w:t>
      </w:r>
    </w:p>
    <w:p w14:paraId="00000055" w14:textId="24B82B09"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 xml:space="preserve">We quantified the function-dominance correlation for each seed rain stage separately. For each stage, we nonparametrically bootstrapped the species’ biomasses (n = 2500, with replacement) within the 32-species mixtures. We then calculated the Pearson’s correlation between the biomasses of these species in the mixtures and their respective biomasses in monoculture. We focused on the 32-species communities because they encompass the highest initial diversity of any treatment level excluding the 64-species treatment, which is </w:t>
      </w:r>
      <w:proofErr w:type="spellStart"/>
      <w:r w:rsidRPr="00613D1C">
        <w:rPr>
          <w:rFonts w:cs="Times New Roman"/>
          <w:sz w:val="24"/>
          <w:szCs w:val="24"/>
          <w:lang w:val="en-GB"/>
        </w:rPr>
        <w:lastRenderedPageBreak/>
        <w:t>unreplicated</w:t>
      </w:r>
      <w:proofErr w:type="spellEnd"/>
      <w:r w:rsidRPr="00613D1C">
        <w:rPr>
          <w:rFonts w:cs="Times New Roman"/>
          <w:sz w:val="24"/>
          <w:szCs w:val="24"/>
          <w:lang w:val="en-GB"/>
        </w:rPr>
        <w:t xml:space="preserve"> because our species pool contains 64 species. We then drew 2500 samples from the posterior distributions of the within-treatment and across-treatment BEF slopes of each model and regressed them against the function-dominance correlations. Since both metrics are estimated and thus incorporate error, we used Standard Major Axis regression (lmodel2,</w:t>
      </w:r>
      <w:r w:rsidR="00DA4999">
        <w:rPr>
          <w:rFonts w:cs="Times New Roman"/>
          <w:sz w:val="24"/>
          <w:szCs w:val="24"/>
          <w:lang w:val="en-GB"/>
        </w:rPr>
        <w:t xml:space="preserve"> </w:t>
      </w:r>
      <w:r w:rsidR="00DA4999">
        <w:rPr>
          <w:rFonts w:cs="Times New Roman"/>
          <w:sz w:val="24"/>
          <w:szCs w:val="24"/>
          <w:lang w:val="en-GB"/>
        </w:rPr>
        <w:fldChar w:fldCharType="begin"/>
      </w:r>
      <w:r w:rsidR="00921D16">
        <w:rPr>
          <w:rFonts w:cs="Times New Roman"/>
          <w:sz w:val="24"/>
          <w:szCs w:val="24"/>
          <w:lang w:val="en-GB"/>
        </w:rPr>
        <w:instrText xml:space="preserve"> ADDIN ZOTERO_ITEM CSL_CITATION {"citationID":"lQLZB9Wl","properties":{"formattedCitation":"(Legendre 2018)","plainCitation":"(Legendre 2018)","dontUpdate":true,"noteIndex":0},"citationItems":[{"id":4138,"uris":["http://zotero.org/users/961091/items/P5JH6NF3"],"uri":["http://zotero.org/users/961091/items/P5JH6NF3"],"itemData":{"id":4138,"type":"book","title":"lmodel2: Model II Regression","URL":"https://CRAN.R-project.org/package=lmodel2","version":"R package version 1.7-3","author":[{"family":"Legendre","given":"Pierre"}],"issued":{"date-parts":[["2018"]]}}}],"schema":"https://github.com/citation-style-language/schema/raw/master/csl-citation.json"} </w:instrText>
      </w:r>
      <w:r w:rsidR="00DA4999">
        <w:rPr>
          <w:rFonts w:cs="Times New Roman"/>
          <w:sz w:val="24"/>
          <w:szCs w:val="24"/>
          <w:lang w:val="en-GB"/>
        </w:rPr>
        <w:fldChar w:fldCharType="separate"/>
      </w:r>
      <w:r w:rsidR="00DA4999">
        <w:rPr>
          <w:rFonts w:cs="Times New Roman"/>
          <w:noProof/>
          <w:sz w:val="24"/>
          <w:szCs w:val="24"/>
          <w:lang w:val="en-GB"/>
        </w:rPr>
        <w:t>Legendre 2018)</w:t>
      </w:r>
      <w:r w:rsidR="00DA4999">
        <w:rPr>
          <w:rFonts w:cs="Times New Roman"/>
          <w:sz w:val="24"/>
          <w:szCs w:val="24"/>
          <w:lang w:val="en-GB"/>
        </w:rPr>
        <w:fldChar w:fldCharType="end"/>
      </w:r>
      <w:r w:rsidRPr="00613D1C">
        <w:rPr>
          <w:rFonts w:cs="Times New Roman"/>
          <w:sz w:val="24"/>
          <w:szCs w:val="24"/>
          <w:lang w:val="en-GB"/>
        </w:rPr>
        <w:t xml:space="preserve">. </w:t>
      </w:r>
    </w:p>
    <w:p w14:paraId="00000056" w14:textId="77777777" w:rsidR="007F1434" w:rsidRPr="00613D1C" w:rsidRDefault="007F1434" w:rsidP="00613D1C">
      <w:pPr>
        <w:spacing w:line="360" w:lineRule="auto"/>
        <w:rPr>
          <w:rFonts w:cs="Times New Roman"/>
          <w:sz w:val="24"/>
          <w:szCs w:val="24"/>
          <w:lang w:val="en-GB"/>
        </w:rPr>
      </w:pPr>
    </w:p>
    <w:p w14:paraId="00000057" w14:textId="77777777" w:rsidR="007F1434" w:rsidRPr="00613D1C" w:rsidRDefault="000236F3" w:rsidP="00613D1C">
      <w:pPr>
        <w:spacing w:line="360" w:lineRule="auto"/>
        <w:rPr>
          <w:rFonts w:cs="Times New Roman"/>
          <w:b/>
          <w:sz w:val="24"/>
          <w:szCs w:val="24"/>
          <w:lang w:val="en-GB"/>
        </w:rPr>
      </w:pPr>
      <w:r w:rsidRPr="00613D1C">
        <w:rPr>
          <w:rFonts w:cs="Times New Roman"/>
          <w:b/>
          <w:sz w:val="24"/>
          <w:szCs w:val="24"/>
          <w:lang w:val="en-GB"/>
        </w:rPr>
        <w:t>RESULTS</w:t>
      </w:r>
    </w:p>
    <w:p w14:paraId="00000058" w14:textId="77777777" w:rsidR="007F1434" w:rsidRPr="00613D1C" w:rsidRDefault="007F1434" w:rsidP="00613D1C">
      <w:pPr>
        <w:spacing w:line="360" w:lineRule="auto"/>
        <w:rPr>
          <w:rFonts w:cs="Times New Roman"/>
          <w:sz w:val="24"/>
          <w:szCs w:val="24"/>
          <w:lang w:val="en-GB"/>
        </w:rPr>
      </w:pPr>
    </w:p>
    <w:p w14:paraId="00000059" w14:textId="77777777" w:rsidR="007F1434" w:rsidRPr="00613D1C" w:rsidRDefault="000236F3" w:rsidP="00613D1C">
      <w:pPr>
        <w:spacing w:line="360" w:lineRule="auto"/>
        <w:rPr>
          <w:rFonts w:cs="Times New Roman"/>
          <w:i/>
          <w:sz w:val="24"/>
          <w:szCs w:val="24"/>
          <w:lang w:val="en-GB"/>
        </w:rPr>
      </w:pPr>
      <w:r w:rsidRPr="00613D1C">
        <w:rPr>
          <w:rFonts w:cs="Times New Roman"/>
          <w:i/>
          <w:sz w:val="24"/>
          <w:szCs w:val="24"/>
          <w:lang w:val="en-GB"/>
        </w:rPr>
        <w:t>Communities with seed rain</w:t>
      </w:r>
    </w:p>
    <w:p w14:paraId="0000005A" w14:textId="77777777"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 xml:space="preserve">In communities with external seed rain, community biomass was positively correlated with realised Shannon diversity across species richness treatments in five of the six models (all except </w:t>
      </w:r>
      <w:r w:rsidRPr="00613D1C">
        <w:rPr>
          <w:rFonts w:cs="Times New Roman"/>
          <w:i/>
          <w:sz w:val="24"/>
          <w:szCs w:val="24"/>
          <w:lang w:val="en-GB"/>
        </w:rPr>
        <w:t>Forest2</w:t>
      </w:r>
      <w:r w:rsidRPr="00613D1C">
        <w:rPr>
          <w:rFonts w:cs="Times New Roman"/>
          <w:sz w:val="24"/>
          <w:szCs w:val="24"/>
          <w:lang w:val="en-GB"/>
        </w:rPr>
        <w:t xml:space="preserve">). The most pronounced positive relationships emerged from </w:t>
      </w:r>
      <w:r w:rsidRPr="00613D1C">
        <w:rPr>
          <w:rFonts w:cs="Times New Roman"/>
          <w:i/>
          <w:sz w:val="24"/>
          <w:szCs w:val="24"/>
          <w:lang w:val="en-GB"/>
        </w:rPr>
        <w:t>Grass1</w:t>
      </w:r>
      <w:r w:rsidRPr="00613D1C">
        <w:rPr>
          <w:rFonts w:cs="Times New Roman"/>
          <w:sz w:val="24"/>
          <w:szCs w:val="24"/>
          <w:lang w:val="en-GB"/>
        </w:rPr>
        <w:t xml:space="preserve">, </w:t>
      </w:r>
      <w:r w:rsidRPr="00613D1C">
        <w:rPr>
          <w:rFonts w:cs="Times New Roman"/>
          <w:i/>
          <w:sz w:val="24"/>
          <w:szCs w:val="24"/>
          <w:lang w:val="en-GB"/>
        </w:rPr>
        <w:t>Grass2</w:t>
      </w:r>
      <w:r w:rsidRPr="00613D1C">
        <w:rPr>
          <w:rFonts w:cs="Times New Roman"/>
          <w:sz w:val="24"/>
          <w:szCs w:val="24"/>
          <w:lang w:val="en-GB"/>
        </w:rPr>
        <w:t xml:space="preserve">, and </w:t>
      </w:r>
      <w:r w:rsidRPr="00613D1C">
        <w:rPr>
          <w:rFonts w:cs="Times New Roman"/>
          <w:i/>
          <w:sz w:val="24"/>
          <w:szCs w:val="24"/>
          <w:lang w:val="en-GB"/>
        </w:rPr>
        <w:t>Forest1</w:t>
      </w:r>
      <w:r w:rsidRPr="00613D1C">
        <w:rPr>
          <w:rFonts w:cs="Times New Roman"/>
          <w:sz w:val="24"/>
          <w:szCs w:val="24"/>
          <w:lang w:val="en-GB"/>
        </w:rPr>
        <w:t xml:space="preserve"> (Fig. 2). Within-treatment BEF slopes were negative in four out of the six models. This pattern was most pronounced in </w:t>
      </w:r>
      <w:r w:rsidRPr="00613D1C">
        <w:rPr>
          <w:rFonts w:cs="Times New Roman"/>
          <w:i/>
          <w:sz w:val="24"/>
          <w:szCs w:val="24"/>
          <w:lang w:val="en-GB"/>
        </w:rPr>
        <w:t>Grass1</w:t>
      </w:r>
      <w:r w:rsidRPr="00613D1C">
        <w:rPr>
          <w:rFonts w:cs="Times New Roman"/>
          <w:sz w:val="24"/>
          <w:szCs w:val="24"/>
          <w:lang w:val="en-GB"/>
        </w:rPr>
        <w:t xml:space="preserve"> and </w:t>
      </w:r>
      <w:r w:rsidRPr="00613D1C">
        <w:rPr>
          <w:rFonts w:cs="Times New Roman"/>
          <w:i/>
          <w:sz w:val="24"/>
          <w:szCs w:val="24"/>
          <w:lang w:val="en-GB"/>
        </w:rPr>
        <w:t>Forest2</w:t>
      </w:r>
      <w:r w:rsidRPr="00613D1C">
        <w:rPr>
          <w:rFonts w:cs="Times New Roman"/>
          <w:sz w:val="24"/>
          <w:szCs w:val="24"/>
          <w:lang w:val="en-GB"/>
        </w:rPr>
        <w:t xml:space="preserve">. In </w:t>
      </w:r>
      <w:r w:rsidRPr="00613D1C">
        <w:rPr>
          <w:rFonts w:cs="Times New Roman"/>
          <w:i/>
          <w:sz w:val="24"/>
          <w:szCs w:val="24"/>
          <w:lang w:val="en-GB"/>
        </w:rPr>
        <w:t>Grass2</w:t>
      </w:r>
      <w:r w:rsidRPr="00613D1C">
        <w:rPr>
          <w:rFonts w:cs="Times New Roman"/>
          <w:sz w:val="24"/>
          <w:szCs w:val="24"/>
          <w:lang w:val="en-GB"/>
        </w:rPr>
        <w:t xml:space="preserve"> and </w:t>
      </w:r>
      <w:r w:rsidRPr="00613D1C">
        <w:rPr>
          <w:rFonts w:cs="Times New Roman"/>
          <w:i/>
          <w:sz w:val="24"/>
          <w:szCs w:val="24"/>
          <w:lang w:val="en-GB"/>
        </w:rPr>
        <w:t>Forest1</w:t>
      </w:r>
      <w:r w:rsidRPr="00613D1C">
        <w:rPr>
          <w:rFonts w:cs="Times New Roman"/>
          <w:sz w:val="24"/>
          <w:szCs w:val="24"/>
          <w:lang w:val="en-GB"/>
        </w:rPr>
        <w:t xml:space="preserve">, the within-treatment BEF slopes were negative for low species richness and became positive with increasing species richness. In </w:t>
      </w:r>
      <w:r w:rsidRPr="00613D1C">
        <w:rPr>
          <w:rFonts w:cs="Times New Roman"/>
          <w:i/>
          <w:sz w:val="24"/>
          <w:szCs w:val="24"/>
          <w:lang w:val="en-GB"/>
        </w:rPr>
        <w:t>Grass3</w:t>
      </w:r>
      <w:r w:rsidRPr="00613D1C">
        <w:rPr>
          <w:rFonts w:cs="Times New Roman"/>
          <w:sz w:val="24"/>
          <w:szCs w:val="24"/>
          <w:lang w:val="en-GB"/>
        </w:rPr>
        <w:t xml:space="preserve"> and </w:t>
      </w:r>
      <w:r w:rsidRPr="00613D1C">
        <w:rPr>
          <w:rFonts w:cs="Times New Roman"/>
          <w:i/>
          <w:sz w:val="24"/>
          <w:szCs w:val="24"/>
          <w:lang w:val="en-GB"/>
        </w:rPr>
        <w:t>Dryland</w:t>
      </w:r>
      <w:r w:rsidRPr="00613D1C">
        <w:rPr>
          <w:rFonts w:cs="Times New Roman"/>
          <w:sz w:val="24"/>
          <w:szCs w:val="24"/>
          <w:lang w:val="en-GB"/>
        </w:rPr>
        <w:t>, within-treatment BEF slopes tended to be positive.</w:t>
      </w:r>
    </w:p>
    <w:p w14:paraId="0000005B" w14:textId="77777777"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Consistent with our hypothesis, the effect of realised diversity on community biomass was more positive across species richness treatments (Fig. 3) and more negative within species richness treatments (Fig. 4) in models that display a strong function-dominance correlation (cf. Fig. 1). This relationship was also present in both supplemental ecosystem functions, productivity (Appendix S3) and Relative Yield (Appendix S4).</w:t>
      </w:r>
    </w:p>
    <w:p w14:paraId="0000005C" w14:textId="77777777" w:rsidR="007F1434" w:rsidRPr="00613D1C" w:rsidRDefault="007F1434" w:rsidP="00613D1C">
      <w:pPr>
        <w:spacing w:line="360" w:lineRule="auto"/>
        <w:ind w:firstLine="720"/>
        <w:rPr>
          <w:rFonts w:cs="Times New Roman"/>
          <w:sz w:val="24"/>
          <w:szCs w:val="24"/>
          <w:lang w:val="en-GB"/>
        </w:rPr>
      </w:pPr>
    </w:p>
    <w:p w14:paraId="0000005D" w14:textId="77777777" w:rsidR="007F1434" w:rsidRPr="00613D1C" w:rsidRDefault="000236F3" w:rsidP="00613D1C">
      <w:pPr>
        <w:spacing w:line="360" w:lineRule="auto"/>
        <w:rPr>
          <w:rFonts w:cs="Times New Roman"/>
          <w:i/>
          <w:sz w:val="24"/>
          <w:szCs w:val="24"/>
          <w:lang w:val="en-GB"/>
        </w:rPr>
      </w:pPr>
      <w:r w:rsidRPr="00613D1C">
        <w:rPr>
          <w:rFonts w:cs="Times New Roman"/>
          <w:i/>
          <w:sz w:val="24"/>
          <w:szCs w:val="24"/>
          <w:lang w:val="en-GB"/>
        </w:rPr>
        <w:t>Communities without seed rain</w:t>
      </w:r>
    </w:p>
    <w:p w14:paraId="0000005E" w14:textId="77777777"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After local communities were isolated from their metacommunity (by eliminating external seed rain), there was no consistent pattern in how the across-treatment BEF slopes changed across models (Fig. 2). Within-treatment BEF slopes often became more positive, either changing from negative to positive (</w:t>
      </w:r>
      <w:r w:rsidRPr="00613D1C">
        <w:rPr>
          <w:rFonts w:cs="Times New Roman"/>
          <w:i/>
          <w:sz w:val="24"/>
          <w:szCs w:val="24"/>
          <w:lang w:val="en-GB"/>
        </w:rPr>
        <w:t>Grass2</w:t>
      </w:r>
      <w:r w:rsidRPr="00613D1C">
        <w:rPr>
          <w:rFonts w:cs="Times New Roman"/>
          <w:sz w:val="24"/>
          <w:szCs w:val="24"/>
          <w:lang w:val="en-GB"/>
        </w:rPr>
        <w:t xml:space="preserve">, </w:t>
      </w:r>
      <w:r w:rsidRPr="00613D1C">
        <w:rPr>
          <w:rFonts w:cs="Times New Roman"/>
          <w:i/>
          <w:sz w:val="24"/>
          <w:szCs w:val="24"/>
          <w:lang w:val="en-GB"/>
        </w:rPr>
        <w:t>Forest2</w:t>
      </w:r>
      <w:r w:rsidRPr="00613D1C">
        <w:rPr>
          <w:rFonts w:cs="Times New Roman"/>
          <w:sz w:val="24"/>
          <w:szCs w:val="24"/>
          <w:lang w:val="en-GB"/>
        </w:rPr>
        <w:t>), becoming less negative (</w:t>
      </w:r>
      <w:r w:rsidRPr="00613D1C">
        <w:rPr>
          <w:rFonts w:cs="Times New Roman"/>
          <w:i/>
          <w:sz w:val="24"/>
          <w:szCs w:val="24"/>
          <w:lang w:val="en-GB"/>
        </w:rPr>
        <w:t>Grass1</w:t>
      </w:r>
      <w:r w:rsidRPr="00613D1C">
        <w:rPr>
          <w:rFonts w:cs="Times New Roman"/>
          <w:sz w:val="24"/>
          <w:szCs w:val="24"/>
          <w:lang w:val="en-GB"/>
        </w:rPr>
        <w:t>), or becoming more positive (</w:t>
      </w:r>
      <w:r w:rsidRPr="00613D1C">
        <w:rPr>
          <w:rFonts w:cs="Times New Roman"/>
          <w:i/>
          <w:sz w:val="24"/>
          <w:szCs w:val="24"/>
          <w:lang w:val="en-GB"/>
        </w:rPr>
        <w:t>Dryland</w:t>
      </w:r>
      <w:r w:rsidRPr="00613D1C">
        <w:rPr>
          <w:rFonts w:cs="Times New Roman"/>
          <w:sz w:val="24"/>
          <w:szCs w:val="24"/>
          <w:lang w:val="en-GB"/>
        </w:rPr>
        <w:t xml:space="preserve">) than in communities with seed rain. </w:t>
      </w:r>
    </w:p>
    <w:p w14:paraId="0000005F" w14:textId="238ED93A"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 xml:space="preserve">The elimination of external seed rain did not substantially alter the function-dominance correlation, except for </w:t>
      </w:r>
      <w:r w:rsidRPr="00613D1C">
        <w:rPr>
          <w:rFonts w:cs="Times New Roman"/>
          <w:i/>
          <w:sz w:val="24"/>
          <w:szCs w:val="24"/>
          <w:lang w:val="en-GB"/>
        </w:rPr>
        <w:t>Forest2</w:t>
      </w:r>
      <w:r w:rsidRPr="00613D1C">
        <w:rPr>
          <w:rFonts w:cs="Times New Roman"/>
          <w:sz w:val="24"/>
          <w:szCs w:val="24"/>
          <w:lang w:val="en-GB"/>
        </w:rPr>
        <w:t>, where this correlation changed from positive to negative (see Appendix S5). As a consequence</w:t>
      </w:r>
      <w:r w:rsidR="00DA4999">
        <w:rPr>
          <w:rFonts w:cs="Times New Roman"/>
          <w:sz w:val="24"/>
          <w:szCs w:val="24"/>
          <w:lang w:val="en-GB"/>
        </w:rPr>
        <w:t>,</w:t>
      </w:r>
      <w:r w:rsidRPr="00613D1C">
        <w:rPr>
          <w:rFonts w:cs="Times New Roman"/>
          <w:sz w:val="24"/>
          <w:szCs w:val="24"/>
          <w:lang w:val="en-GB"/>
        </w:rPr>
        <w:t xml:space="preserve"> the relationship between the function-dominance correlation and across-treatment BEF slopes became even more strongly positive (Fig. 3). In contrast, the relationship between function-dominance correlation and within-</w:t>
      </w:r>
      <w:r w:rsidRPr="00613D1C">
        <w:rPr>
          <w:rFonts w:cs="Times New Roman"/>
          <w:sz w:val="24"/>
          <w:szCs w:val="24"/>
          <w:lang w:val="en-GB"/>
        </w:rPr>
        <w:lastRenderedPageBreak/>
        <w:t>treatment BEF slopes tended to become weaker (Fig. 4). Both supplemental ecosystem functions, productivity (Appendix S3) and Relative Yield (Appendix S4), were again consistent with this result.</w:t>
      </w:r>
    </w:p>
    <w:p w14:paraId="00000060" w14:textId="77777777" w:rsidR="007F1434" w:rsidRPr="00613D1C" w:rsidRDefault="007F1434" w:rsidP="00613D1C">
      <w:pPr>
        <w:spacing w:line="360" w:lineRule="auto"/>
        <w:rPr>
          <w:rFonts w:cs="Times New Roman"/>
          <w:b/>
          <w:sz w:val="24"/>
          <w:szCs w:val="24"/>
          <w:lang w:val="en-GB"/>
        </w:rPr>
      </w:pPr>
    </w:p>
    <w:p w14:paraId="00000061" w14:textId="77777777" w:rsidR="007F1434" w:rsidRPr="00613D1C" w:rsidRDefault="000236F3" w:rsidP="00613D1C">
      <w:pPr>
        <w:spacing w:line="360" w:lineRule="auto"/>
        <w:rPr>
          <w:rFonts w:cs="Times New Roman"/>
          <w:b/>
          <w:sz w:val="24"/>
          <w:szCs w:val="24"/>
          <w:lang w:val="en-GB"/>
        </w:rPr>
      </w:pPr>
      <w:r w:rsidRPr="00613D1C">
        <w:rPr>
          <w:rFonts w:cs="Times New Roman"/>
          <w:b/>
          <w:sz w:val="24"/>
          <w:szCs w:val="24"/>
          <w:lang w:val="en-GB"/>
        </w:rPr>
        <w:t xml:space="preserve">DISCUSSION </w:t>
      </w:r>
    </w:p>
    <w:p w14:paraId="00000062" w14:textId="77777777" w:rsidR="007F1434" w:rsidRPr="00613D1C" w:rsidRDefault="007F1434" w:rsidP="00613D1C">
      <w:pPr>
        <w:spacing w:line="360" w:lineRule="auto"/>
        <w:rPr>
          <w:rFonts w:cs="Times New Roman"/>
          <w:b/>
          <w:sz w:val="24"/>
          <w:szCs w:val="24"/>
          <w:lang w:val="en-GB"/>
        </w:rPr>
      </w:pPr>
    </w:p>
    <w:p w14:paraId="00000063" w14:textId="58D3636E"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 xml:space="preserve">Biodiversity experiments have convincingly demonstrated the importance of biodiversity for ecosystem functioning. However, applying these findings to naturally assembled systems has proven complex because even in experimental settings, BEF relationships are variable </w:t>
      </w:r>
      <w:r w:rsidR="00DA4999">
        <w:rPr>
          <w:rFonts w:cs="Times New Roman"/>
          <w:sz w:val="24"/>
          <w:szCs w:val="24"/>
          <w:lang w:val="en-GB"/>
        </w:rPr>
        <w:fldChar w:fldCharType="begin"/>
      </w:r>
      <w:r w:rsidR="00921D16">
        <w:rPr>
          <w:rFonts w:cs="Times New Roman"/>
          <w:sz w:val="24"/>
          <w:szCs w:val="24"/>
          <w:lang w:val="en-GB"/>
        </w:rPr>
        <w:instrText xml:space="preserve"> ADDIN ZOTERO_ITEM CSL_CITATION {"citationID":"Hg4uoHnw","properties":{"formattedCitation":"(Guerrero-Ram\\uc0\\u237{}rez {\\i{}et al.} 2017; Ratcliffe {\\i{}et al.} 2017a; Barry {\\i{}et al.} 2020)","plainCitation":"(Guerrero-Ramírez et al. 2017; Ratcliffe et al. 2017a; Barry et al. 2020)","noteIndex":0},"citationItems":[{"id":2564,"uris":["http://zotero.org/users/961091/items/Z3XSNF5G"],"uri":["http://zotero.org/users/961091/items/Z3XSNF5G"],"itemData":{"id":2564,"type":"article-journal","abstract":"Long-term grassland and forest experiments reveal that temporal strengthening in biodiversity functioning relationships is mainly driven by increases in functioning in high-diversity communities.","container-title":"Nature Ecology &amp; Evolution","DOI":"10.1038/s41559-017-0325-1","ISSN":"2397-334X","issue":"11","language":"en","page":"1639-1642","source":"www.nature.com","title":"Diversity-dependent temporal divergence of ecosystem functioning in experimental ecosystems","volume":"1","author":[{"family":"Guerrero-Ramírez","given":"Nathaly R."},{"family":"Craven","given":"Dylan"},{"family":"Reich","given":"Peter B."},{"family":"Ewel","given":"John J."},{"family":"Isbell","given":"Forest"},{"family":"Koricheva","given":"Julia"},{"family":"Parrotta","given":"John A."},{"family":"Auge","given":"Harald"},{"family":"Erickson","given":"Heather E."},{"family":"Forrester","given":"David I."},{"family":"Hector","given":"Andy"},{"family":"Joshi","given":"Jasmin"},{"family":"Montagnini","given":"Florencia"},{"family":"Palmborg","given":"Cecilia"},{"family":"Piotto","given":"Daniel"},{"family":"Potvin","given":"Catherine"},{"family":"Roscher","given":"Christiane"},{"family":"Ruijven","given":"Jasper","dropping-particle":"van"},{"family":"Tilman","given":"David"},{"family":"Wilsey","given":"Brian"},{"family":"Eisenhauer","given":"Nico"}],"issued":{"date-parts":[["2017",11]]}}},{"id":3420,"uris":["http://zotero.org/users/961091/items/GBWCUELC"],"uri":["http://zotero.org/users/961091/items/GBWCUELC"],"itemData":{"id":3420,"type":"article-journal","abstract":"The importance of biodiversity in supporting ecosystem functioning is generally well accepted. However, most evidence comes from small-scale studies, and scaling-up patterns of biodiversity–ecosystem functioning (B-EF) remains challenging, in part because the importance of environmental factors in shaping B-EF relations is poorly understood. Using a forest research platform in which 26 ecosystem functions were measured along gradients of tree species richness in six regions across Europe, we investigated the extent and the potential drivers of context dependency of B-EF relations. Despite considerable variation in species richness effects across the continent, we found a tendency for stronger B-EF relations in drier climates as well as in areas with longer growing seasons and more functionally diverse tree species. The importance of water availability in driving context dependency suggests that as water limitation increases under climate change, biodiversity may become even more important to support high levels of functioning in European forests.","container-title":"Ecology Letters","DOI":"10.1111/ele.12849","ISSN":"1461-0248","issue":"11","language":"en","page":"1414-1426","source":"Wiley Online Library","title":"Biodiversity and ecosystem functioning relations in European forests depend on environmental context","volume":"20","author":[{"family":"Ratcliffe","given":"Sophia"},{"family":"Wirth","given":"Christian"},{"family":"Jucker","given":"Tommaso"},{"family":"Plas","given":"Fons","dropping-particle":"van der"},{"family":"Scherer‐Lorenzen","given":"Michael"},{"family":"Verheyen","given":"Kris"},{"family":"Allan","given":"Eric"},{"family":"Benavides","given":"Raquel"},{"family":"Bruelheide","given":"Helge"},{"family":"Ohse","given":"Bettina"},{"family":"Paquette","given":"Alain"},{"family":"Ampoorter","given":"Evy"},{"family":"Bastias","given":"Cristina C."},{"family":"Bauhus","given":"Jürgen"},{"family":"Bonal","given":"Damien"},{"family":"Bouriaud","given":"Olivier"},{"family":"Bussotti","given":"Filippo"},{"family":"Carnol","given":"Monique"},{"family":"Castagneyrol","given":"Bastien"},{"family":"Chećko","given":"Ewa"},{"family":"Dawud","given":"Seid Muhie"},{"family":"Wandeler","given":"Hans De"},{"family":"Domisch","given":"Timo"},{"family":"Finér","given":"Leena"},{"family":"Fischer","given":"Markus"},{"family":"Fotelli","given":"Mariangela"},{"family":"Gessler","given":"Arthur"},{"family":"Granier","given":"André"},{"family":"Grossiord","given":"Charlotte"},{"family":"Guyot","given":"Virginie"},{"family":"Haase","given":"Josephine"},{"family":"Hättenschwiler","given":"Stephan"},{"family":"Jactel","given":"Hervé"},{"family":"Jaroszewicz","given":"Bogdan"},{"family":"Joly","given":"François-Xavier"},{"family":"Kambach","given":"Stephan"},{"family":"Kolb","given":"Simon"},{"family":"Koricheva","given":"Julia"},{"family":"Liebersgesell","given":"Mario"},{"family":"Milligan","given":"Harriet"},{"family":"Müller","given":"Sandra"},{"family":"Muys","given":"Bart"},{"family":"Nguyen","given":"Diem"},{"family":"Nock","given":"Charles"},{"family":"Pollastrini","given":"Martina"},{"family":"Purschke","given":"Oliver"},{"family":"Radoglou","given":"Kalliopi"},{"family":"Raulund‐Rasmussen","given":"Karsten"},{"family":"Roger","given":"Fabian"},{"family":"Ruiz‐Benito","given":"Paloma"},{"family":"Seidl","given":"Rupert"},{"family":"Selvi","given":"Federico"},{"family":"Seiferling","given":"Ian"},{"family":"Stenlid","given":"Jan"},{"family":"Valladares","given":"Fernando"},{"family":"Vesterdal","given":"Lars"},{"family":"Baeten","given":"Lander"}],"issued":{"date-parts":[["2017"]]}}},{"id":4093,"uris":["http://zotero.org/users/961091/items/74QCBA7E"],"uri":["http://zotero.org/users/961091/items/74QCBA7E"],"itemData":{"id":4093,"type":"article-journal","abstract":"Locally, plant species richness supports many ecosystem functions. Yet, the mechanisms driving these often-positive biodiversity–ecosystem functioning relationships are not well understood. Spatial resource partitioning across vertical resource gradients is one of the main hypothesized causes for enhanced ecosystem functioning in more biodiverse grasslands. Spatial resource partitioning occurs if species differ in where they acquire resources and can happen both above- and belowground. However, studies investigating spatial resource partitioning in grasslands provide inconsistent evidence. We present the results of a meta-analysis of 21 data sets from experimental species-richness gradients in grasslands. We test the hypothesis that increasing spatial resource partitioning along vertical resource gradients enhances ecosystem functioning in diverse grassland plant communities above- and belowground. To test this hypothesis, we asked three questions. (1) Does species richness enhance biomass production or community resource uptake across sites? (2) Is there evidence of spatial resource partitioning as indicated by resource tracer uptake and biomass allocation above- and belowground? (3) Is evidence of spatial resource partitioning correlated with increased biomass production or community resource uptake? Although plant species richness enhanced community nitrogen and potassium uptake and biomass production above- and belowground, we found that plant communities did not meet our criteria for spatial resource partitioning, though they did invest in significantly more aboveground biomass in higher canopy layers in mixture relative to monoculture. Furthermore, the extent of spatial resource partitioning across studies was not positively correlated with either biomass production or community resource uptake. Our results suggest that spatial resource partitioning across vertical resource gradients alone does not offer a general explanation for enhanced ecosystem functioning in more diverse temperate grasslands.","container-title":"Ecology","DOI":"10.1002/ecy.2905","ISSN":"1939-9170","issue":"1","language":"en","note":"_eprint: https://esajournals.onlinelibrary.wiley.com/doi/pdf/10.1002/ecy.2905","page":"e02905","source":"Wiley Online Library","title":"Limited evidence for spatial resource partitioning across temperate grassland biodiversity experiments","volume":"101","author":[{"family":"Barry","given":"Kathryn E."},{"family":"Ruijven","given":"Jasper","dropping-particle":"van"},{"family":"Mommer","given":"Liesje"},{"family":"Bai","given":"Yongfei"},{"family":"Beierkuhnlein","given":"Carl"},{"family":"Buchmann","given":"Nina"},{"family":"Kroon","given":"Hans","dropping-particle":"de"},{"family":"Ebeling","given":"Anne"},{"family":"Eisenhauer","given":"Nico"},{"family":"Guimarães‐Steinicke","given":"Claudia"},{"family":"Hildebrandt","given":"Anke"},{"family":"Isbell","given":"Forest"},{"family":"Milcu","given":"Alexandru"},{"family":"Neßhöver","given":"Carsten"},{"family":"Reich","given":"Peter B."},{"family":"Roscher","given":"Christiane"},{"family":"Sauheitl","given":"Leopold"},{"family":"Scherer‐Lorenzen","given":"Michael"},{"family":"Schmid","given":"Bernhard"},{"family":"Tilman","given":"David"},{"family":"Felten","given":"Stefanie","dropping-particle":"von"},{"family":"Weigelt","given":"Alexandra"}],"issued":{"date-parts":[["2020"]]}}}],"schema":"https://github.com/citation-style-language/schema/raw/master/csl-citation.json"} </w:instrText>
      </w:r>
      <w:r w:rsidR="00DA4999">
        <w:rPr>
          <w:rFonts w:cs="Times New Roman"/>
          <w:sz w:val="24"/>
          <w:szCs w:val="24"/>
          <w:lang w:val="en-GB"/>
        </w:rPr>
        <w:fldChar w:fldCharType="separate"/>
      </w:r>
      <w:r w:rsidR="00921D16" w:rsidRPr="00921D16">
        <w:rPr>
          <w:rFonts w:cs="Times New Roman"/>
          <w:sz w:val="24"/>
        </w:rPr>
        <w:t xml:space="preserve">(Guerrero-Ramírez </w:t>
      </w:r>
      <w:r w:rsidR="00921D16" w:rsidRPr="00921D16">
        <w:rPr>
          <w:rFonts w:cs="Times New Roman"/>
          <w:i/>
          <w:iCs/>
          <w:sz w:val="24"/>
        </w:rPr>
        <w:t>et al.</w:t>
      </w:r>
      <w:r w:rsidR="00921D16" w:rsidRPr="00921D16">
        <w:rPr>
          <w:rFonts w:cs="Times New Roman"/>
          <w:sz w:val="24"/>
        </w:rPr>
        <w:t xml:space="preserve"> 2017; Ratcliffe </w:t>
      </w:r>
      <w:r w:rsidR="00921D16" w:rsidRPr="00921D16">
        <w:rPr>
          <w:rFonts w:cs="Times New Roman"/>
          <w:i/>
          <w:iCs/>
          <w:sz w:val="24"/>
        </w:rPr>
        <w:t>et al.</w:t>
      </w:r>
      <w:r w:rsidR="00921D16" w:rsidRPr="00921D16">
        <w:rPr>
          <w:rFonts w:cs="Times New Roman"/>
          <w:sz w:val="24"/>
        </w:rPr>
        <w:t xml:space="preserve"> 2017; Barry </w:t>
      </w:r>
      <w:r w:rsidR="00921D16" w:rsidRPr="00921D16">
        <w:rPr>
          <w:rFonts w:cs="Times New Roman"/>
          <w:i/>
          <w:iCs/>
          <w:sz w:val="24"/>
        </w:rPr>
        <w:t>et al.</w:t>
      </w:r>
      <w:r w:rsidR="00921D16" w:rsidRPr="00921D16">
        <w:rPr>
          <w:rFonts w:cs="Times New Roman"/>
          <w:sz w:val="24"/>
        </w:rPr>
        <w:t xml:space="preserve"> 2020)</w:t>
      </w:r>
      <w:r w:rsidR="00DA4999">
        <w:rPr>
          <w:rFonts w:cs="Times New Roman"/>
          <w:sz w:val="24"/>
          <w:szCs w:val="24"/>
          <w:lang w:val="en-GB"/>
        </w:rPr>
        <w:fldChar w:fldCharType="end"/>
      </w:r>
      <w:r w:rsidR="0068758F">
        <w:rPr>
          <w:rFonts w:cs="Times New Roman"/>
          <w:sz w:val="24"/>
          <w:szCs w:val="24"/>
          <w:lang w:val="en-GB"/>
        </w:rPr>
        <w:t>.</w:t>
      </w:r>
      <w:r w:rsidRPr="00613D1C">
        <w:rPr>
          <w:rFonts w:cs="Times New Roman"/>
          <w:sz w:val="24"/>
          <w:szCs w:val="24"/>
          <w:lang w:val="en-GB"/>
        </w:rPr>
        <w:t xml:space="preserve"> This variability hinders generalizable predictions for how global biodiversity change is likely to affect ecosystem functioning. The results of our model intercomparison suggest that differences in BEF relationships are driven by the function-dominance correlation. When dominant species have a high capacity to provide ecosystem functioning, diversity and functioning are positively related across communities with different species richness due to the sampling effect, but negatively related across communities with similar species richness – or within a species richness treatment in an experiment – because the dominant species outcompete those species that contribute less to ecosystem functioning. Further, removing external seed input strengthens the importance of the function-dominance correlation across species richness treatments, but weakens it within</w:t>
      </w:r>
      <w:r w:rsidR="00CB35F1">
        <w:rPr>
          <w:rFonts w:cs="Times New Roman"/>
          <w:sz w:val="24"/>
          <w:szCs w:val="24"/>
          <w:lang w:val="en-GB"/>
        </w:rPr>
        <w:t xml:space="preserve"> them</w:t>
      </w:r>
      <w:r w:rsidRPr="00613D1C">
        <w:rPr>
          <w:rFonts w:cs="Times New Roman"/>
          <w:sz w:val="24"/>
          <w:szCs w:val="24"/>
          <w:lang w:val="en-GB"/>
        </w:rPr>
        <w:t xml:space="preserve">. Our model intercomparison shows that these results are consistent for three ecosystem functions (biomass, productivity, overyielding) and across models that have previously been shown to accurately represent the dynamics of grasslands, tropical forests, and a dryland succulent community. </w:t>
      </w:r>
    </w:p>
    <w:p w14:paraId="00000064" w14:textId="77777777" w:rsidR="007F1434" w:rsidRPr="00613D1C" w:rsidRDefault="007F1434" w:rsidP="00613D1C">
      <w:pPr>
        <w:spacing w:line="360" w:lineRule="auto"/>
        <w:ind w:firstLine="720"/>
        <w:rPr>
          <w:rFonts w:cs="Times New Roman"/>
          <w:sz w:val="24"/>
          <w:szCs w:val="24"/>
          <w:lang w:val="en-GB"/>
        </w:rPr>
      </w:pPr>
    </w:p>
    <w:p w14:paraId="00000065" w14:textId="77777777" w:rsidR="007F1434" w:rsidRPr="00613D1C" w:rsidRDefault="000236F3" w:rsidP="00613D1C">
      <w:pPr>
        <w:spacing w:line="360" w:lineRule="auto"/>
        <w:rPr>
          <w:rFonts w:cs="Times New Roman"/>
          <w:i/>
          <w:sz w:val="24"/>
          <w:szCs w:val="24"/>
          <w:lang w:val="en-GB"/>
        </w:rPr>
      </w:pPr>
      <w:r w:rsidRPr="00613D1C">
        <w:rPr>
          <w:rFonts w:cs="Times New Roman"/>
          <w:i/>
          <w:sz w:val="24"/>
          <w:szCs w:val="24"/>
          <w:lang w:val="en-GB"/>
        </w:rPr>
        <w:t>The function-dominance correlation mediates BEF relationships</w:t>
      </w:r>
    </w:p>
    <w:p w14:paraId="00000066" w14:textId="2F488363"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In general, the relationship between realised Shannon diversity and biomass was positive across communities that differ in their species richness in our model experiment (5 out of 6 models). This result is consistent with results from many biodiversity experiments (reviewed by</w:t>
      </w:r>
      <w:r w:rsidR="0068758F">
        <w:rPr>
          <w:rFonts w:cs="Times New Roman"/>
          <w:sz w:val="24"/>
          <w:szCs w:val="24"/>
          <w:lang w:val="en-GB"/>
        </w:rPr>
        <w:t xml:space="preserve"> </w:t>
      </w:r>
      <w:r w:rsidR="0068758F">
        <w:rPr>
          <w:rFonts w:cs="Times New Roman"/>
          <w:sz w:val="24"/>
          <w:szCs w:val="24"/>
          <w:lang w:val="en-GB"/>
        </w:rPr>
        <w:fldChar w:fldCharType="begin"/>
      </w:r>
      <w:r w:rsidR="00921D16">
        <w:rPr>
          <w:rFonts w:cs="Times New Roman"/>
          <w:sz w:val="24"/>
          <w:szCs w:val="24"/>
          <w:lang w:val="en-GB"/>
        </w:rPr>
        <w:instrText xml:space="preserve"> ADDIN ZOTERO_ITEM CSL_CITATION {"citationID":"klEeEHNV","properties":{"formattedCitation":"(Tilman {\\i{}et al.} 2014)","plainCitation":"(Tilman et al. 2014)","dontUpdate":true,"noteIndex":0},"citationItems":[{"id":1807,"uris":["http://zotero.org/users/961091/items/43PFWTEC"],"uri":["http://zotero.org/users/961091/items/43PFWTEC"],"itemData":{"id":1807,"type":"article-journal","container-title":"Annual Review of Ecology, Evolution, and Systematics","page":"471–493","source":"Google Scholar","title":"Biodiversity and ecosystem functioning","volume":"45","author":[{"family":"Tilman","given":"David"},{"family":"Isbell","given":"Forest"},{"family":"Cowles","given":"Jane M."}],"issued":{"date-parts":[["2014"]]}}}],"schema":"https://github.com/citation-style-language/schema/raw/master/csl-citation.json"} </w:instrText>
      </w:r>
      <w:r w:rsidR="0068758F">
        <w:rPr>
          <w:rFonts w:cs="Times New Roman"/>
          <w:sz w:val="24"/>
          <w:szCs w:val="24"/>
          <w:lang w:val="en-GB"/>
        </w:rPr>
        <w:fldChar w:fldCharType="separate"/>
      </w:r>
      <w:r w:rsidR="0068758F" w:rsidRPr="0068758F">
        <w:rPr>
          <w:rFonts w:cs="Times New Roman"/>
          <w:sz w:val="24"/>
        </w:rPr>
        <w:t xml:space="preserve">Tilman </w:t>
      </w:r>
      <w:r w:rsidR="0068758F" w:rsidRPr="0068758F">
        <w:rPr>
          <w:rFonts w:cs="Times New Roman"/>
          <w:i/>
          <w:iCs/>
          <w:sz w:val="24"/>
        </w:rPr>
        <w:t>et al.</w:t>
      </w:r>
      <w:r w:rsidR="0068758F" w:rsidRPr="0068758F">
        <w:rPr>
          <w:rFonts w:cs="Times New Roman"/>
          <w:sz w:val="24"/>
        </w:rPr>
        <w:t xml:space="preserve"> 2014)</w:t>
      </w:r>
      <w:r w:rsidR="0068758F">
        <w:rPr>
          <w:rFonts w:cs="Times New Roman"/>
          <w:sz w:val="24"/>
          <w:szCs w:val="24"/>
          <w:lang w:val="en-GB"/>
        </w:rPr>
        <w:fldChar w:fldCharType="end"/>
      </w:r>
      <w:r w:rsidRPr="00613D1C">
        <w:rPr>
          <w:rFonts w:cs="Times New Roman"/>
          <w:sz w:val="24"/>
          <w:szCs w:val="24"/>
          <w:lang w:val="en-GB"/>
        </w:rPr>
        <w:t>. Where the positive relationship between realised diversity and ecosystem functioning was strongest across species richness treatments (</w:t>
      </w:r>
      <w:r w:rsidRPr="00921D16">
        <w:rPr>
          <w:rFonts w:cs="Times New Roman"/>
          <w:i/>
          <w:iCs/>
          <w:sz w:val="24"/>
          <w:szCs w:val="24"/>
          <w:lang w:val="en-GB"/>
        </w:rPr>
        <w:t>i.e.</w:t>
      </w:r>
      <w:r w:rsidRPr="00613D1C">
        <w:rPr>
          <w:rFonts w:cs="Times New Roman"/>
          <w:sz w:val="24"/>
          <w:szCs w:val="24"/>
          <w:lang w:val="en-GB"/>
        </w:rPr>
        <w:t xml:space="preserve"> </w:t>
      </w:r>
      <w:r w:rsidRPr="00613D1C">
        <w:rPr>
          <w:rFonts w:cs="Times New Roman"/>
          <w:i/>
          <w:sz w:val="24"/>
          <w:szCs w:val="24"/>
          <w:lang w:val="en-GB"/>
        </w:rPr>
        <w:t>Grass1</w:t>
      </w:r>
      <w:r w:rsidRPr="00613D1C">
        <w:rPr>
          <w:rFonts w:cs="Times New Roman"/>
          <w:sz w:val="24"/>
          <w:szCs w:val="24"/>
          <w:lang w:val="en-GB"/>
        </w:rPr>
        <w:t xml:space="preserve">, </w:t>
      </w:r>
      <w:r w:rsidRPr="00613D1C">
        <w:rPr>
          <w:rFonts w:cs="Times New Roman"/>
          <w:i/>
          <w:sz w:val="24"/>
          <w:szCs w:val="24"/>
          <w:lang w:val="en-GB"/>
        </w:rPr>
        <w:t>Grass2</w:t>
      </w:r>
      <w:r w:rsidRPr="00613D1C">
        <w:rPr>
          <w:rFonts w:cs="Times New Roman"/>
          <w:sz w:val="24"/>
          <w:szCs w:val="24"/>
          <w:lang w:val="en-GB"/>
        </w:rPr>
        <w:t xml:space="preserve">, </w:t>
      </w:r>
      <w:r w:rsidRPr="00613D1C">
        <w:rPr>
          <w:rFonts w:cs="Times New Roman"/>
          <w:i/>
          <w:sz w:val="24"/>
          <w:szCs w:val="24"/>
          <w:lang w:val="en-GB"/>
        </w:rPr>
        <w:t>Forest1</w:t>
      </w:r>
      <w:r w:rsidRPr="00613D1C">
        <w:rPr>
          <w:rFonts w:cs="Times New Roman"/>
          <w:sz w:val="24"/>
          <w:szCs w:val="24"/>
          <w:lang w:val="en-GB"/>
        </w:rPr>
        <w:t xml:space="preserve">), the relationship between realised diversity and biomass was negative within species richness treatments. This negative BEF relationship within species richness treatments is also consistent with results from the Jena Experiment </w:t>
      </w:r>
      <w:r w:rsidR="0068758F">
        <w:rPr>
          <w:rFonts w:cs="Times New Roman"/>
          <w:sz w:val="24"/>
          <w:szCs w:val="24"/>
          <w:lang w:val="en-GB"/>
        </w:rPr>
        <w:fldChar w:fldCharType="begin"/>
      </w:r>
      <w:r w:rsidR="0068758F">
        <w:rPr>
          <w:rFonts w:cs="Times New Roman"/>
          <w:sz w:val="24"/>
          <w:szCs w:val="24"/>
          <w:lang w:val="en-GB"/>
        </w:rPr>
        <w:instrText xml:space="preserve"> ADDIN ZOTERO_ITEM CSL_CITATION {"citationID":"ju8w9j7g","properties":{"formattedCitation":"(Rychteck\\uc0\\u225{} {\\i{}et al.} 2014; Leibold {\\i{}et al.} 2017)","plainCitation":"(Rychtecká et al. 2014; Leibold et al. 2017)","noteIndex":0},"citationItems":[{"id":4139,"uris":["http://zotero.org/users/961091/items/EE7ZEYH2"],"uri":["http://zotero.org/users/961091/items/EE7ZEYH2"],"itemData":{"id":4139,"type":"article-journal","abstract":"Biodiversity-ecosystem functioning experiments (BEF) typically manipulate sown species richness and composition of experimental communities to study ecosystem functioning as a response to changes in diversity. If sown species richness is taken as a measure of diversity and aboveground biomass production as a measure of community functioning, then this relationship is usually found to be positive....","container-title":"Naturwissenschaften","ISSN":"0028-1042","issue":"8","language":"English","note":"publisher: Springer Berlin","page":"637-644","source":"www.cabdirect.org","title":"Sown species richness and realized diversity can influence functioning of plant communities differently.","volume":"101","author":[{"family":"Rychtecká","given":"T."},{"family":"Lanta","given":"V."},{"family":"Weiterová","given":"I."},{"family":"Lepš","given":"J."}],"issued":{"date-parts":[["2014"]]}}},{"id":2930,"uris":["http://zotero.org/users/961091/items/RJ5GQSS4"],"uri":["http://zotero.org/users/961091/items/RJ5GQSS4"],"itemData":{"id":2930,"type":"article-journal","abstract":"Recent work linking community structure and ecosystem function has primarily focused on the effects of local species richness but has neglected the dispersal-dependent processes of community assembly that are ultimately involved in determining community structure and its relation to ecosystems. Here we combine simple consumer-resource competition models and metacommunity theory with discussion of case studies to outline how spatial processes within metacommunities can alter community assembly and modify expectations about how species diversity and composition influence ecosystem attributes at local scales. We argue that when community assembly is strongly limited by dispersal, this can constrain ecosystem functioning by reducing positive selection effects (reducing the probability of the most productive species becoming dominant) even though it may often also enhance complementarity (favoring combinations of species that enhance production even though they may not individually be most productive). Conversely, excess dispersal with strong source-sink relations among heterogeneous habitats can reduce ecosystem functioning by swamping local filters that would normally favor better-suited species. Ecosystem function is thus most likely maximized at intermediate levels of dispersal where both of these effects are minimized. In this scenario, we find that the selection effect is maximized, while complementarity is often reduced and local diversity may often be relatively low. Our synthesis emphasizes that it is the entire set of community assembly processes that affect the functioning of ecosystems, not just the part that determines local species richness.","container-title":"Ecology","DOI":"10.1002/ecy.1697","ISSN":"1939-9170","issue":"4","language":"en","page":"909-919","source":"Wiley Online Library","title":"Community assembly and the functioning of ecosystems: how metacommunity processes alter ecosystems attributes","title-short":"Community assembly and the functioning of ecosystems","volume":"98","author":[{"family":"Leibold","given":"Mathew A."},{"family":"Chase","given":"Jonathan M."},{"family":"Ernest","given":"S. K. Morgan"}],"issued":{"date-parts":[["2017"]]}}}],"schema":"https://github.com/citation-style-language/schema/raw/master/csl-citation.json"} </w:instrText>
      </w:r>
      <w:r w:rsidR="0068758F">
        <w:rPr>
          <w:rFonts w:cs="Times New Roman"/>
          <w:sz w:val="24"/>
          <w:szCs w:val="24"/>
          <w:lang w:val="en-GB"/>
        </w:rPr>
        <w:fldChar w:fldCharType="separate"/>
      </w:r>
      <w:r w:rsidR="0068758F" w:rsidRPr="0068758F">
        <w:rPr>
          <w:rFonts w:cs="Times New Roman"/>
          <w:sz w:val="24"/>
        </w:rPr>
        <w:t xml:space="preserve">(Rychtecká </w:t>
      </w:r>
      <w:r w:rsidR="0068758F" w:rsidRPr="0068758F">
        <w:rPr>
          <w:rFonts w:cs="Times New Roman"/>
          <w:i/>
          <w:iCs/>
          <w:sz w:val="24"/>
        </w:rPr>
        <w:t>et al.</w:t>
      </w:r>
      <w:r w:rsidR="0068758F" w:rsidRPr="0068758F">
        <w:rPr>
          <w:rFonts w:cs="Times New Roman"/>
          <w:sz w:val="24"/>
        </w:rPr>
        <w:t xml:space="preserve"> 2014; Leibold </w:t>
      </w:r>
      <w:r w:rsidR="0068758F" w:rsidRPr="0068758F">
        <w:rPr>
          <w:rFonts w:cs="Times New Roman"/>
          <w:i/>
          <w:iCs/>
          <w:sz w:val="24"/>
        </w:rPr>
        <w:t>et al.</w:t>
      </w:r>
      <w:r w:rsidR="0068758F" w:rsidRPr="0068758F">
        <w:rPr>
          <w:rFonts w:cs="Times New Roman"/>
          <w:sz w:val="24"/>
        </w:rPr>
        <w:t xml:space="preserve"> 2017)</w:t>
      </w:r>
      <w:r w:rsidR="0068758F">
        <w:rPr>
          <w:rFonts w:cs="Times New Roman"/>
          <w:sz w:val="24"/>
          <w:szCs w:val="24"/>
          <w:lang w:val="en-GB"/>
        </w:rPr>
        <w:fldChar w:fldCharType="end"/>
      </w:r>
      <w:r w:rsidRPr="00613D1C">
        <w:rPr>
          <w:rFonts w:cs="Times New Roman"/>
          <w:sz w:val="24"/>
          <w:szCs w:val="24"/>
          <w:lang w:val="en-GB"/>
        </w:rPr>
        <w:t xml:space="preserve"> but has not, to our knowledge, been tested in other BEF experiments. </w:t>
      </w:r>
      <w:r w:rsidRPr="00613D1C">
        <w:rPr>
          <w:rFonts w:cs="Times New Roman"/>
          <w:sz w:val="24"/>
          <w:szCs w:val="24"/>
          <w:lang w:val="en-GB"/>
        </w:rPr>
        <w:lastRenderedPageBreak/>
        <w:t>These contrasting patterns across and within species richness treatments suggest that an underlying latent variable may interact with both of these patterns (</w:t>
      </w:r>
      <w:r w:rsidRPr="00921D16">
        <w:rPr>
          <w:rFonts w:cs="Times New Roman"/>
          <w:i/>
          <w:iCs/>
          <w:sz w:val="24"/>
          <w:szCs w:val="24"/>
          <w:lang w:val="en-GB"/>
        </w:rPr>
        <w:t>i.e.</w:t>
      </w:r>
      <w:r w:rsidRPr="00613D1C">
        <w:rPr>
          <w:rFonts w:cs="Times New Roman"/>
          <w:sz w:val="24"/>
          <w:szCs w:val="24"/>
          <w:lang w:val="en-GB"/>
        </w:rPr>
        <w:t xml:space="preserve"> Simpson’s paradox, Simpson 1951). </w:t>
      </w:r>
    </w:p>
    <w:p w14:paraId="00000067" w14:textId="67D855A6"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Our results suggest that this “counter-gradient” is likely driven by the correlation between species’ dominance in mixture and their capacity to provide ecosystem functioning. Where this correlation is strong and positive (</w:t>
      </w:r>
      <w:r w:rsidRPr="00613D1C">
        <w:rPr>
          <w:rFonts w:cs="Times New Roman"/>
          <w:i/>
          <w:sz w:val="24"/>
          <w:szCs w:val="24"/>
          <w:lang w:val="en-GB"/>
        </w:rPr>
        <w:t>Grass1, Grass2, Forest1</w:t>
      </w:r>
      <w:r w:rsidRPr="00613D1C">
        <w:rPr>
          <w:rFonts w:cs="Times New Roman"/>
          <w:sz w:val="24"/>
          <w:szCs w:val="24"/>
          <w:lang w:val="en-GB"/>
        </w:rPr>
        <w:t xml:space="preserve">), BEF relationships across species richness treatments were most positive and BEF relationships within species richness treatments were most negative. This is because communities with more species are more likely to include dominant species that produce high levels of ecosystem functioning through a “sampling effect” </w:t>
      </w:r>
      <w:r w:rsidR="00921D16">
        <w:rPr>
          <w:rFonts w:cs="Times New Roman"/>
          <w:sz w:val="24"/>
          <w:szCs w:val="24"/>
          <w:lang w:val="en-GB"/>
        </w:rPr>
        <w:fldChar w:fldCharType="begin"/>
      </w:r>
      <w:r w:rsidR="00921D16">
        <w:rPr>
          <w:rFonts w:cs="Times New Roman"/>
          <w:sz w:val="24"/>
          <w:szCs w:val="24"/>
          <w:lang w:val="en-GB"/>
        </w:rPr>
        <w:instrText xml:space="preserve"> ADDIN ZOTERO_ITEM CSL_CITATION {"citationID":"VWiSLS3X","properties":{"formattedCitation":"(Huston 1997; Hooper {\\i{}et al.} 2005)","plainCitation":"(Huston 1997; Hooper et al. 2005)","noteIndex":0},"citationItems":[{"id":3115,"uris":["http://zotero.org/users/961091/items/AKF9CJJL"],"uri":["http://zotero.org/users/961091/items/AKF9CJJL"],"itemData":{"id":3115,"type":"article-journal","abstract":"Interactions between biotic and abiotic processes complicate the design and interpretation of ecological experiments. Separating causality from simple correlation requires distinguishing among experimental treatments, experimental responses, and the many processes and properties that are correlated with either the treatments or the responses, or both. When an experimental manipulation has multiple components, but only one of them is identified as the experimental treatment, erroneous conclusions about cause and effect relationships are likely because the actual cause of any observed response may be ignored in the interpretation of the experimental results. This unrecognized cause of an observed response can be considered a “hidden treatment.” Three types of hidden treatments are potential problems in biodiversity experiments: (1) abiotic conditions, such as resource levels, or biotic conditions, such as predation, which are intentionally or unintentionally altered in order to create differences in species numbers for “diversity” treatments; (2) non-random selection of species with particular attributes that produce treatment differences that exceed those due to “diversity” alone; and (3) the increased statistical probability of including a species with a dominant negative or positive effect (e.g., dense shade, or nitrogen fixation) in randomly selected groups of species of increasing number or “diversity.” In each of these cases, treatment responses that are actually the result of the “hidden treatment” may be inadvertently attributed to variation in species diversity. Case studies re-evaluating three different types of biodiversity experiments demonstrate that the increases found in such ecosystem properties as productivity, nutrient use efficiency, and stability (all of which were attributed to higher levels of species diversity) were actually caused by “hidden treatments” that altered plant biomass and productivity.","container-title":"Oecologia","DOI":"10.1007/s004420050180","ISSN":"1432-1939","issue":"4","journalAbbreviation":"Oecologia","language":"en","page":"449-460","source":"Springer Link","title":"Hidden treatments in ecological experiments: re-evaluating the ecosystem function of biodiversity","title-short":"Hidden treatments in ecological experiments","volume":"110","author":[{"family":"Huston","given":"Michael A."}],"issued":{"date-parts":[["1997",5,1]]}}},{"id":2208,"uris":["http://zotero.org/users/961091/items/IG2KE7XH"],"uri":["http://zotero.org/users/961091/items/IG2KE7XH"],"itemData":{"id":2208,"type":"article-journal","abstract":"Humans are altering the composition of biological communities through a variety of activities that increase rates of species invasions and species extinctions, at all scales, from local to global. These changes in components of the Earth's biodiversity cause concern for ethical and aesthetic reasons, but they also have a strong potential to alter ecosystem properties and the goods and services they provide to humanity. Ecological experiments, observations, and theoretical developments show that ecosystem properties depend greatly on biodiversity in terms of the functional characteristics of organisms present in the ecosystem and the distribution and abundance of those organisms over space and time. Species effects act in concert with the effects of climate, resource availability, and disturbance regimes in influencing ecosystem properties. Human activities can modify all of the above factors; here we focus on modification of these biotic controls. The scientific community has come to a broad consensus on many aspects of the relationship between biodiversity and ecosystem functioning, including many points relevant to management of ecosystems. Further progress will require integration of knowledge about biotic and abiotic controls on ecosystem properties, how ecological communities are structured, and the forces driving species extinctions and invasions. To strengthen links to policy and management, we also need to integrate our ecological knowledge with understanding of the social and economic constraints of potential management practices. Understanding this complexity, while taking strong steps to minimize current losses of species, is necessary for responsible management of Earth's ecosystems and the diverse biota they contain. Based on our review of the scientific literature, we are certain of the following conclusions: 1) Species' functional characteristics strongly influence ecosystem properties. Functional characteristics operate in a variety of contexts, including effects of dominant species, keystone species, ecological engineers, and interactions among species (e.g., competition, facilitation, mutualism, disease, and predation). Relative abundance alone is not always a good predictor of the ecosystem-level importance of a species, as even relatively rare species (e.g., a keystone predator) can strongly influence pathways of energy and material flows. 2) Alteration of biota in ecosystems via species invasions and extinctions caused by human activities has altered ecosystem goods and services in many well-documented cases. Many of these changes are difficult, expensive, or impossible to reverse or fix with technological solutions. 3) The effects of species loss or changes in composition, and the mechanisms by which the effects manifest themselves, can differ among ecosystem properties, ecosystem types, and pathways of potential community change. 4) Some ecosystem properties are initially insensitive to species loss because (a) ecosystems may have multiple species that carry out similar functional roles, (b) some species may contribute relatively little to ecosystem properties, or (c) properties may be primarily controlled by abiotic environmental conditions. 5) More species are needed to insure a stable supply of ecosystem goods and services as spatial and temporal variability increases, which typically occurs as longer time periods and larger areas are considered. We have high confidence in the following conclusions: 1) Certain combinations of species are complementary in their patterns of resource use and can increase average rates of productivity and nutrient retention. At the same time, environmental conditions can influence the importance of complementarity in structuring communities. Identification of which and how many species act in a complementary way in complex communities is just beginning. 2) Susceptibility to invasion by exotic species is strongly influenced by species composition and, under similar environmental conditions, generally decreases with increasing species richness. However, several other factors, such as propagule pressure, disturbance regime, and resource availability also strongly influence invasion success and often override effects of species richness in comparisons across different sites or ecosystems. 3) Having a range of species that respond differently to different environmental perturbations can stabilize ecosystem process rates in response to disturbances and variation in abiotic conditions. Using practices that maintain a diversity of organisms of different functional effect and functional response types will help preserve a range of management options. Uncertainties remain and further research is necessary in the following areas: 1) Further resolution of the relationships among taxonomic diversity, functional diversity, and community structure is important for identifying mechanisms of biodiversity effects. 2) Multiple trophic levels are common to ecosystems but have been understudied in biodiversity/ecosystem functioning research. The response of ecosystem properties to varying composition and diversity of consumer organisms is much more complex than responses seen in experiments that vary only the diversity of primary producers. 3) Theoretical work on stability has outpaced experimental work, especially field research. We need long-term experiments to be able to assess temporal stability, as well as experimental perturbations to assess response to and recovery from a variety of disturbances. Design and analysis of such experiments must account for several factors that covary with species diversity. 4) Because biodiversity both responds to and influences ecosystem properties, understanding the feedbacks involved is necessary to integrate results from experimental communities with patterns seen at broader scales. Likely patterns of extinction and invasion need to be linked to different drivers of global change, the forces that structure communities, and controls on ecosystem properties for the development of effective management and conservation strategies. 5) This paper focuses primarily on terrestrial systems, with some coverage of freshwater systems, because that is where most empirical and theoretical study has focused. While the fundamental principles described here should apply to marine systems, further study of that realm is necessary. Despite some uncertainties about the mechanisms and circumstances under which diversity influences ecosystem properties, incorporating diversity effects into policy and management is essential, especially in making decisions involving large temporal and spatial scales. Sacrificing those aspects of ecosystems that are difficult or impossible to reconstruct, such as diversity, simply because we are not yet certain about the extent and mechanisms by which they affect ecosystem properties, will restrict future management options even further. It is incumbent upon ecologists to communicate this need, and the values that can derive from such a perspective, to those charged with economic and policy decision-making.","container-title":"Ecological Monographs","DOI":"10.1890/04-0922","ISSN":"1557-7015","issue":"1","language":"en","page":"3-35","source":"Wiley Online Library","title":"Effects of Biodiversity on Ecosystem Functioning: A Consensus of Current Knowledge","title-short":"Effects of Biodiversity on Ecosystem Functioning","volume":"75","author":[{"family":"Hooper","given":"D. U."},{"family":"Chapin","given":"F. S."},{"family":"Ewel","given":"J. J."},{"family":"Hector","given":"A."},{"family":"Inchausti","given":"P."},{"family":"Lavorel","given":"S."},{"family":"Lawton","given":"J. H."},{"family":"Lodge","given":"D. M."},{"family":"Loreau","given":"M."},{"family":"Naeem","given":"S."},{"family":"Schmid","given":"B."},{"family":"Setälä","given":"H."},{"family":"Symstad","given":"A. J."},{"family":"Vandermeer","given":"J."},{"family":"Wardle","given":"D. A."}],"issued":{"date-parts":[["2005",2,1]]}}}],"schema":"https://github.com/citation-style-language/schema/raw/master/csl-citation.json"} </w:instrText>
      </w:r>
      <w:r w:rsidR="00921D16">
        <w:rPr>
          <w:rFonts w:cs="Times New Roman"/>
          <w:sz w:val="24"/>
          <w:szCs w:val="24"/>
          <w:lang w:val="en-GB"/>
        </w:rPr>
        <w:fldChar w:fldCharType="separate"/>
      </w:r>
      <w:r w:rsidR="00921D16" w:rsidRPr="00921D16">
        <w:rPr>
          <w:rFonts w:cs="Times New Roman"/>
          <w:sz w:val="24"/>
        </w:rPr>
        <w:t xml:space="preserve">(Huston 1997; Hooper </w:t>
      </w:r>
      <w:r w:rsidR="00921D16" w:rsidRPr="00921D16">
        <w:rPr>
          <w:rFonts w:cs="Times New Roman"/>
          <w:i/>
          <w:iCs/>
          <w:sz w:val="24"/>
        </w:rPr>
        <w:t>et al.</w:t>
      </w:r>
      <w:r w:rsidR="00921D16" w:rsidRPr="00921D16">
        <w:rPr>
          <w:rFonts w:cs="Times New Roman"/>
          <w:sz w:val="24"/>
        </w:rPr>
        <w:t xml:space="preserve"> 2005)</w:t>
      </w:r>
      <w:r w:rsidR="00921D16">
        <w:rPr>
          <w:rFonts w:cs="Times New Roman"/>
          <w:sz w:val="24"/>
          <w:szCs w:val="24"/>
          <w:lang w:val="en-GB"/>
        </w:rPr>
        <w:fldChar w:fldCharType="end"/>
      </w:r>
      <w:r w:rsidR="00921D16">
        <w:rPr>
          <w:rFonts w:cs="Times New Roman"/>
          <w:sz w:val="24"/>
          <w:szCs w:val="24"/>
          <w:lang w:val="en-GB"/>
        </w:rPr>
        <w:t>.</w:t>
      </w:r>
      <w:r w:rsidRPr="00613D1C">
        <w:rPr>
          <w:rFonts w:cs="Times New Roman"/>
          <w:sz w:val="24"/>
          <w:szCs w:val="24"/>
          <w:lang w:val="en-GB"/>
        </w:rPr>
        <w:t xml:space="preserve"> However, across species richness treatments, the dominant and high-functioning species may outcompete other species, and thus causing the negative within species richness treatment slopes. Alternatively, where the function-dominance correlation is weak (</w:t>
      </w:r>
      <w:r w:rsidRPr="00613D1C">
        <w:rPr>
          <w:rFonts w:cs="Times New Roman"/>
          <w:i/>
          <w:sz w:val="24"/>
          <w:szCs w:val="24"/>
          <w:lang w:val="en-GB"/>
        </w:rPr>
        <w:t>Grass3</w:t>
      </w:r>
      <w:r w:rsidRPr="00613D1C">
        <w:rPr>
          <w:rFonts w:cs="Times New Roman"/>
          <w:sz w:val="24"/>
          <w:szCs w:val="24"/>
          <w:lang w:val="en-GB"/>
        </w:rPr>
        <w:t xml:space="preserve">, </w:t>
      </w:r>
      <w:r w:rsidRPr="00613D1C">
        <w:rPr>
          <w:rFonts w:cs="Times New Roman"/>
          <w:i/>
          <w:sz w:val="24"/>
          <w:szCs w:val="24"/>
          <w:lang w:val="en-GB"/>
        </w:rPr>
        <w:t>Forest2</w:t>
      </w:r>
      <w:r w:rsidRPr="00613D1C">
        <w:rPr>
          <w:rFonts w:cs="Times New Roman"/>
          <w:sz w:val="24"/>
          <w:szCs w:val="24"/>
          <w:lang w:val="en-GB"/>
        </w:rPr>
        <w:t xml:space="preserve">, </w:t>
      </w:r>
      <w:r w:rsidRPr="00613D1C">
        <w:rPr>
          <w:rFonts w:cs="Times New Roman"/>
          <w:i/>
          <w:sz w:val="24"/>
          <w:szCs w:val="24"/>
          <w:lang w:val="en-GB"/>
        </w:rPr>
        <w:t>Dryland</w:t>
      </w:r>
      <w:r w:rsidRPr="00613D1C">
        <w:rPr>
          <w:rFonts w:cs="Times New Roman"/>
          <w:sz w:val="24"/>
          <w:szCs w:val="24"/>
          <w:lang w:val="en-GB"/>
        </w:rPr>
        <w:t>), the relationship between realised Shannon diversity and biomass is weak or insignificant across communities with contrasting or similar species richness.</w:t>
      </w:r>
    </w:p>
    <w:p w14:paraId="00000068" w14:textId="4F69F05B"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This clear link between the function-dominance correlation and BEF relationships emerged despite the diversity of coexistence mechanisms and systems represented by our models. Interestingly, the strength of the function-dominance correlation was not related to the type of mechanisms that allowed for coexistence in the models, i.e. resource partitioning (</w:t>
      </w:r>
      <w:r w:rsidRPr="00613D1C">
        <w:rPr>
          <w:rFonts w:cs="Times New Roman"/>
          <w:i/>
          <w:sz w:val="24"/>
          <w:szCs w:val="24"/>
          <w:lang w:val="en-GB"/>
        </w:rPr>
        <w:t>Grass1</w:t>
      </w:r>
      <w:r w:rsidRPr="00613D1C">
        <w:rPr>
          <w:rFonts w:cs="Times New Roman"/>
          <w:sz w:val="24"/>
          <w:szCs w:val="24"/>
          <w:lang w:val="en-GB"/>
        </w:rPr>
        <w:t xml:space="preserve">, </w:t>
      </w:r>
      <w:r w:rsidRPr="00613D1C">
        <w:rPr>
          <w:rFonts w:cs="Times New Roman"/>
          <w:i/>
          <w:sz w:val="24"/>
          <w:szCs w:val="24"/>
          <w:lang w:val="en-GB"/>
        </w:rPr>
        <w:t>Grass2, Dryland</w:t>
      </w:r>
      <w:r w:rsidRPr="00613D1C">
        <w:rPr>
          <w:rFonts w:cs="Times New Roman"/>
          <w:sz w:val="24"/>
          <w:szCs w:val="24"/>
          <w:lang w:val="en-GB"/>
        </w:rPr>
        <w:t>), seed addition (</w:t>
      </w:r>
      <w:r w:rsidRPr="00613D1C">
        <w:rPr>
          <w:rFonts w:cs="Times New Roman"/>
          <w:i/>
          <w:sz w:val="24"/>
          <w:szCs w:val="24"/>
          <w:lang w:val="en-GB"/>
        </w:rPr>
        <w:t>Forest1</w:t>
      </w:r>
      <w:r w:rsidRPr="00613D1C">
        <w:rPr>
          <w:rFonts w:cs="Times New Roman"/>
          <w:sz w:val="24"/>
          <w:szCs w:val="24"/>
          <w:lang w:val="en-GB"/>
        </w:rPr>
        <w:t xml:space="preserve">, </w:t>
      </w:r>
      <w:r w:rsidRPr="00613D1C">
        <w:rPr>
          <w:rFonts w:cs="Times New Roman"/>
          <w:i/>
          <w:sz w:val="24"/>
          <w:szCs w:val="24"/>
          <w:lang w:val="en-GB"/>
        </w:rPr>
        <w:t>Forest2</w:t>
      </w:r>
      <w:r w:rsidRPr="00613D1C">
        <w:rPr>
          <w:rFonts w:cs="Times New Roman"/>
          <w:sz w:val="24"/>
          <w:szCs w:val="24"/>
          <w:lang w:val="en-GB"/>
        </w:rPr>
        <w:t>), or conspecific negative density dependence (</w:t>
      </w:r>
      <w:r w:rsidRPr="00613D1C">
        <w:rPr>
          <w:rFonts w:cs="Times New Roman"/>
          <w:i/>
          <w:sz w:val="24"/>
          <w:szCs w:val="24"/>
          <w:lang w:val="en-GB"/>
        </w:rPr>
        <w:t>Grass3</w:t>
      </w:r>
      <w:r w:rsidRPr="00613D1C">
        <w:rPr>
          <w:rFonts w:cs="Times New Roman"/>
          <w:sz w:val="24"/>
          <w:szCs w:val="24"/>
          <w:lang w:val="en-GB"/>
        </w:rPr>
        <w:t>). However, strong local coexistence mechanisms like resource partitioning (</w:t>
      </w:r>
      <w:r w:rsidRPr="00613D1C">
        <w:rPr>
          <w:rFonts w:cs="Times New Roman"/>
          <w:i/>
          <w:sz w:val="24"/>
          <w:szCs w:val="24"/>
          <w:lang w:val="en-GB"/>
        </w:rPr>
        <w:t>Dryland</w:t>
      </w:r>
      <w:r w:rsidRPr="00613D1C">
        <w:rPr>
          <w:rFonts w:cs="Times New Roman"/>
          <w:sz w:val="24"/>
          <w:szCs w:val="24"/>
          <w:lang w:val="en-GB"/>
        </w:rPr>
        <w:t>) and conspecific negative density dependence (</w:t>
      </w:r>
      <w:r w:rsidRPr="00613D1C">
        <w:rPr>
          <w:rFonts w:cs="Times New Roman"/>
          <w:i/>
          <w:sz w:val="24"/>
          <w:szCs w:val="24"/>
          <w:lang w:val="en-GB"/>
        </w:rPr>
        <w:t>Grass3</w:t>
      </w:r>
      <w:r w:rsidRPr="00613D1C">
        <w:rPr>
          <w:rFonts w:cs="Times New Roman"/>
          <w:sz w:val="24"/>
          <w:szCs w:val="24"/>
          <w:lang w:val="en-GB"/>
        </w:rPr>
        <w:t>) increased the positive impact of diversity on ecosystem functioning across</w:t>
      </w:r>
      <w:r w:rsidRPr="00613D1C">
        <w:rPr>
          <w:rFonts w:cs="Times New Roman"/>
          <w:b/>
          <w:sz w:val="24"/>
          <w:szCs w:val="24"/>
          <w:lang w:val="en-GB"/>
        </w:rPr>
        <w:t xml:space="preserve"> </w:t>
      </w:r>
      <w:r w:rsidRPr="00613D1C">
        <w:rPr>
          <w:rFonts w:cs="Times New Roman"/>
          <w:sz w:val="24"/>
          <w:szCs w:val="24"/>
          <w:lang w:val="en-GB"/>
        </w:rPr>
        <w:t xml:space="preserve">communities with similar species richness. </w:t>
      </w:r>
      <w:r w:rsidRPr="00613D1C">
        <w:rPr>
          <w:rFonts w:cs="Times New Roman"/>
          <w:i/>
          <w:sz w:val="24"/>
          <w:szCs w:val="24"/>
          <w:lang w:val="en-GB"/>
        </w:rPr>
        <w:t>Grass3</w:t>
      </w:r>
      <w:r w:rsidRPr="00613D1C">
        <w:rPr>
          <w:rFonts w:cs="Times New Roman"/>
          <w:sz w:val="24"/>
          <w:szCs w:val="24"/>
          <w:lang w:val="en-GB"/>
        </w:rPr>
        <w:t>, for example, is spatially</w:t>
      </w:r>
      <w:r w:rsidR="007C242D">
        <w:rPr>
          <w:rFonts w:cs="Times New Roman"/>
          <w:sz w:val="24"/>
          <w:szCs w:val="24"/>
          <w:lang w:val="en-GB"/>
        </w:rPr>
        <w:t xml:space="preserve"> </w:t>
      </w:r>
      <w:r w:rsidRPr="00613D1C">
        <w:rPr>
          <w:rFonts w:cs="Times New Roman"/>
          <w:sz w:val="24"/>
          <w:szCs w:val="24"/>
          <w:lang w:val="en-GB"/>
        </w:rPr>
        <w:t xml:space="preserve">explicit and incorporates conspecific negative density dependence. Individuals that are surrounded by conspecifics perform more poorly than individuals that are surrounded by </w:t>
      </w:r>
      <w:proofErr w:type="spellStart"/>
      <w:r w:rsidRPr="00613D1C">
        <w:rPr>
          <w:rFonts w:cs="Times New Roman"/>
          <w:sz w:val="24"/>
          <w:szCs w:val="24"/>
          <w:lang w:val="en-GB"/>
        </w:rPr>
        <w:t>heterospecifics</w:t>
      </w:r>
      <w:proofErr w:type="spellEnd"/>
      <w:r w:rsidRPr="00613D1C">
        <w:rPr>
          <w:rFonts w:cs="Times New Roman"/>
          <w:sz w:val="24"/>
          <w:szCs w:val="24"/>
          <w:lang w:val="en-GB"/>
        </w:rPr>
        <w:t xml:space="preserve"> </w:t>
      </w:r>
      <w:r w:rsidR="0068758F">
        <w:rPr>
          <w:rFonts w:cs="Times New Roman"/>
          <w:sz w:val="24"/>
          <w:szCs w:val="24"/>
          <w:lang w:val="en-GB"/>
        </w:rPr>
        <w:fldChar w:fldCharType="begin"/>
      </w:r>
      <w:r w:rsidR="0068758F">
        <w:rPr>
          <w:rFonts w:cs="Times New Roman"/>
          <w:sz w:val="24"/>
          <w:szCs w:val="24"/>
          <w:lang w:val="en-GB"/>
        </w:rPr>
        <w:instrText xml:space="preserve"> ADDIN ZOTERO_ITEM CSL_CITATION {"citationID":"Xt1MvEIS","properties":{"formattedCitation":"(May {\\i{}et al.} 2009)","plainCitation":"(May et al. 2009)","noteIndex":0},"citationItems":[{"id":3479,"uris":["http://zotero.org/users/961091/items/KM4RKAI6"],"uri":["http://zotero.org/users/961091/items/KM4RKAI6"],"itemData":{"id":3479,"type":"article-journal","abstract":"Grazing is known as one of the key factors for diversity and community composition in grassland ecosystems, but the response of plant communities towards grazing varies remarkably between sites with different environmental conditions. It is generally accepted that grazing increases plant diversity in productive environments, while it tends to reduce diversity in unproductive habitats (grazing reversal hypothesis). Despite empirical evidence for this pattern the mechanistic link between modes of plant–plant competition and grazing response at the community level still remains poorly understood. Root-competition in particular has rarely been included in theoretical studies, although it has been hypothesized that variations in productivity and grazing regime can alter the relative importance of shoot- and root-competition. We therefore developed an individual-based model based on plant functional traits to investigate the response of a grassland community towards grazing. Models of different complexity, either incorporating only shoot competition or with distinct shoot- and root-competition, were used to study the interactive effects of grazing, resource availability, and the mode of competition (size-symmetric or asymmetric). The pattern predicted by the grazing reversal hypothesis (GRH) can only be explained by our model if shoot- and root-competition are explicitly considered and if size asymmetry of above- and symmetry of below-ground competition is assumed. For this scenario, the model additionally reproduced empirically observed plant trait responses: erect and large plant functional types (PFTs) dominated without grazing, while frequent grazing favoured small PFTs with a rosette growth form. We conclude that interactions between shoot- and root-competition and size symmetry/asymmetry of plant–plant interactions are crucial in order to understand grazing response under different habitat productivities. Our results suggest that future empirical trait surveys in grassland communities should include root traits, which have been largely ignored in previous studies, in order to improve predictions of plants’ responses to grazing.","container-title":"Oikos","DOI":"10.1111/j.1600-0706.2009.17724.x","ISSN":"1600-0706","issue":"12","language":"en","page":"1830-1843","source":"Wiley Online Library","title":"Reversed effects of grazing on plant diversity: the role of below-ground competition and size symmetry","title-short":"Reversed effects of grazing on plant diversity","volume":"118","author":[{"family":"May","given":"Felix"},{"family":"Grimm","given":"Volker"},{"family":"Jeltsch","given":"Florian"}],"issued":{"date-parts":[["2009"]]}}}],"schema":"https://github.com/citation-style-language/schema/raw/master/csl-citation.json"} </w:instrText>
      </w:r>
      <w:r w:rsidR="0068758F">
        <w:rPr>
          <w:rFonts w:cs="Times New Roman"/>
          <w:sz w:val="24"/>
          <w:szCs w:val="24"/>
          <w:lang w:val="en-GB"/>
        </w:rPr>
        <w:fldChar w:fldCharType="separate"/>
      </w:r>
      <w:r w:rsidR="0068758F" w:rsidRPr="0068758F">
        <w:rPr>
          <w:rFonts w:cs="Times New Roman"/>
          <w:sz w:val="24"/>
        </w:rPr>
        <w:t xml:space="preserve">(May </w:t>
      </w:r>
      <w:r w:rsidR="0068758F" w:rsidRPr="0068758F">
        <w:rPr>
          <w:rFonts w:cs="Times New Roman"/>
          <w:i/>
          <w:iCs/>
          <w:sz w:val="24"/>
        </w:rPr>
        <w:t>et al.</w:t>
      </w:r>
      <w:r w:rsidR="0068758F" w:rsidRPr="0068758F">
        <w:rPr>
          <w:rFonts w:cs="Times New Roman"/>
          <w:sz w:val="24"/>
        </w:rPr>
        <w:t xml:space="preserve"> 2009)</w:t>
      </w:r>
      <w:r w:rsidR="0068758F">
        <w:rPr>
          <w:rFonts w:cs="Times New Roman"/>
          <w:sz w:val="24"/>
          <w:szCs w:val="24"/>
          <w:lang w:val="en-GB"/>
        </w:rPr>
        <w:fldChar w:fldCharType="end"/>
      </w:r>
      <w:r w:rsidRPr="00613D1C">
        <w:rPr>
          <w:rFonts w:cs="Times New Roman"/>
          <w:sz w:val="24"/>
          <w:szCs w:val="24"/>
          <w:lang w:val="en-GB"/>
        </w:rPr>
        <w:t xml:space="preserve"> Because individuals are more likely to be surrounded by </w:t>
      </w:r>
      <w:proofErr w:type="spellStart"/>
      <w:r w:rsidRPr="00613D1C">
        <w:rPr>
          <w:rFonts w:cs="Times New Roman"/>
          <w:sz w:val="24"/>
          <w:szCs w:val="24"/>
          <w:lang w:val="en-GB"/>
        </w:rPr>
        <w:t>heterospecifics</w:t>
      </w:r>
      <w:proofErr w:type="spellEnd"/>
      <w:r w:rsidRPr="00613D1C">
        <w:rPr>
          <w:rFonts w:cs="Times New Roman"/>
          <w:sz w:val="24"/>
          <w:szCs w:val="24"/>
          <w:lang w:val="en-GB"/>
        </w:rPr>
        <w:t xml:space="preserve"> in communities with more even species abundances (i.e. at higher Shannon diversity), these more diverse communities are higher functioning. This effect disappears at higher species richness levels because the effect of conspecific negative density dependence is strongest in low diversity communities. Similarly, in </w:t>
      </w:r>
      <w:r w:rsidRPr="00613D1C">
        <w:rPr>
          <w:rFonts w:cs="Times New Roman"/>
          <w:i/>
          <w:sz w:val="24"/>
          <w:szCs w:val="24"/>
          <w:lang w:val="en-GB"/>
        </w:rPr>
        <w:t>Forest1</w:t>
      </w:r>
      <w:r w:rsidRPr="00613D1C">
        <w:rPr>
          <w:rFonts w:cs="Times New Roman"/>
          <w:sz w:val="24"/>
          <w:szCs w:val="24"/>
          <w:lang w:val="en-GB"/>
        </w:rPr>
        <w:t xml:space="preserve">, BEF relationships within species richness treatments are negative at low initial species richness but become positive at high initial species richness. In this model, more diverse communities are likely to include several species of similar competitive ability that are able to coexist. These species include ‘tall’ species and ‘slow’ species, two </w:t>
      </w:r>
      <w:r w:rsidRPr="00613D1C">
        <w:rPr>
          <w:rFonts w:cs="Times New Roman"/>
          <w:sz w:val="24"/>
          <w:szCs w:val="24"/>
          <w:lang w:val="en-GB"/>
        </w:rPr>
        <w:lastRenderedPageBreak/>
        <w:t xml:space="preserve">complementary strategies. Tall species maximise biomass in upper canopy layers while slow species maximise biomass in lower layers. Thus, these species partition the vertical canopy gradient, leading to positive BEF relationships within species richness treatments at higher species richness levels. Further, because these six models are so different but lead to a common conclusion, we expect that the function-dominance correlation is relevant across a wide variety of terrestrial systems. </w:t>
      </w:r>
    </w:p>
    <w:p w14:paraId="00000069" w14:textId="77777777"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 xml:space="preserve"> </w:t>
      </w:r>
    </w:p>
    <w:p w14:paraId="0000006A" w14:textId="77777777" w:rsidR="007F1434" w:rsidRPr="00613D1C" w:rsidRDefault="000236F3" w:rsidP="00613D1C">
      <w:pPr>
        <w:spacing w:line="360" w:lineRule="auto"/>
        <w:rPr>
          <w:rFonts w:cs="Times New Roman"/>
          <w:i/>
          <w:sz w:val="24"/>
          <w:szCs w:val="24"/>
          <w:lang w:val="en-GB"/>
        </w:rPr>
      </w:pPr>
      <w:r w:rsidRPr="00613D1C">
        <w:rPr>
          <w:rFonts w:cs="Times New Roman"/>
          <w:i/>
          <w:sz w:val="24"/>
          <w:szCs w:val="24"/>
          <w:lang w:val="en-GB"/>
        </w:rPr>
        <w:t>The effect of removing seed rain</w:t>
      </w:r>
    </w:p>
    <w:p w14:paraId="0000006B" w14:textId="00F254DA"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 xml:space="preserve">One benefit of our modelling approach is our ability to eliminate external seed dispersal. In BEF experiments, </w:t>
      </w:r>
      <w:r w:rsidR="008834EE">
        <w:rPr>
          <w:rFonts w:cs="Times New Roman"/>
          <w:sz w:val="24"/>
          <w:szCs w:val="24"/>
          <w:lang w:val="en-GB"/>
        </w:rPr>
        <w:t>although</w:t>
      </w:r>
      <w:r w:rsidRPr="00613D1C">
        <w:rPr>
          <w:rFonts w:cs="Times New Roman"/>
          <w:sz w:val="24"/>
          <w:szCs w:val="24"/>
          <w:lang w:val="en-GB"/>
        </w:rPr>
        <w:t xml:space="preserve"> plots are weeded, it is </w:t>
      </w:r>
      <w:r w:rsidR="008834EE">
        <w:rPr>
          <w:rFonts w:cs="Times New Roman"/>
          <w:sz w:val="24"/>
          <w:szCs w:val="24"/>
          <w:lang w:val="en-GB"/>
        </w:rPr>
        <w:t>usually not possible</w:t>
      </w:r>
      <w:r w:rsidRPr="00613D1C">
        <w:rPr>
          <w:rFonts w:cs="Times New Roman"/>
          <w:sz w:val="24"/>
          <w:szCs w:val="24"/>
          <w:lang w:val="en-GB"/>
        </w:rPr>
        <w:t xml:space="preserve"> to </w:t>
      </w:r>
      <w:r w:rsidR="008834EE">
        <w:rPr>
          <w:rFonts w:cs="Times New Roman"/>
          <w:sz w:val="24"/>
          <w:szCs w:val="24"/>
          <w:lang w:val="en-GB"/>
        </w:rPr>
        <w:t>distinguish whether new recruits of planted species result from seeding treatments, dispersal from within the plot, or external seed dispersal</w:t>
      </w:r>
      <w:r w:rsidRPr="00613D1C">
        <w:rPr>
          <w:rFonts w:cs="Times New Roman"/>
          <w:sz w:val="24"/>
          <w:szCs w:val="24"/>
          <w:lang w:val="en-GB"/>
        </w:rPr>
        <w:t>. Thus, it is impossible to fully isolate the effect of dispersal</w:t>
      </w:r>
      <w:r w:rsidR="00DA0E1E">
        <w:rPr>
          <w:rFonts w:cs="Times New Roman"/>
          <w:sz w:val="24"/>
          <w:szCs w:val="24"/>
          <w:lang w:val="en-GB"/>
        </w:rPr>
        <w:t>,</w:t>
      </w:r>
      <w:r w:rsidRPr="00613D1C">
        <w:rPr>
          <w:rFonts w:cs="Times New Roman"/>
          <w:sz w:val="24"/>
          <w:szCs w:val="24"/>
          <w:lang w:val="en-GB"/>
        </w:rPr>
        <w:t xml:space="preserve"> and this weeding artifact is thought to be influential in producing BEF relationships </w:t>
      </w:r>
      <w:r w:rsidR="0068758F">
        <w:rPr>
          <w:rFonts w:cs="Times New Roman"/>
          <w:sz w:val="24"/>
          <w:szCs w:val="24"/>
          <w:lang w:val="en-GB"/>
        </w:rPr>
        <w:fldChar w:fldCharType="begin"/>
      </w:r>
      <w:r w:rsidR="0068758F">
        <w:rPr>
          <w:rFonts w:cs="Times New Roman"/>
          <w:sz w:val="24"/>
          <w:szCs w:val="24"/>
          <w:lang w:val="en-GB"/>
        </w:rPr>
        <w:instrText xml:space="preserve"> ADDIN ZOTERO_ITEM CSL_CITATION {"citationID":"jzainlOH","properties":{"formattedCitation":"(Roscher {\\i{}et al.} 2004; Hooper {\\i{}et al.} 2005)","plainCitation":"(Roscher et al. 2004; Hooper et al. 2005)","noteIndex":0},"citationItems":[{"id":1829,"uris":["http://zotero.org/users/961091/items/AVZ3868P"],"uri":["http://zotero.org/users/961091/items/AVZ3868P"],"itemData":{"id":1829,"type":"article-journal","container-title":"Basic and Applied Ecology","issue":"2","page":"107–121","source":"Google Scholar","title":"The role of biodiversity for element cycling and trophic interactions: an experimental approach in a grassland community","title-short":"The role of biodiversity for element cycling and trophic interactions","volume":"5","author":[{"family":"Roscher","given":"Christiane"},{"family":"Schumacher","given":"Jens"},{"family":"Baade","given":"Jussi"},{"family":"Wilcke","given":"Wolfgang"},{"family":"Gleixner","given":"Gerd"},{"family":"Weisser","given":"Wolfgang W."},{"family":"Schmid","given":"Bernhard"},{"family":"Schulze","given":"Ernst-Detlef"}],"issued":{"date-parts":[["2004"]]}}},{"id":2208,"uris":["http://zotero.org/users/961091/items/IG2KE7XH"],"uri":["http://zotero.org/users/961091/items/IG2KE7XH"],"itemData":{"id":2208,"type":"article-journal","abstract":"Humans are altering the composition of biological communities through a variety of activities that increase rates of species invasions and species extinctions, at all scales, from local to global. These changes in components of the Earth's biodiversity cause concern for ethical and aesthetic reasons, but they also have a strong potential to alter ecosystem properties and the goods and services they provide to humanity. Ecological experiments, observations, and theoretical developments show that ecosystem properties depend greatly on biodiversity in terms of the functional characteristics of organisms present in the ecosystem and the distribution and abundance of those organisms over space and time. Species effects act in concert with the effects of climate, resource availability, and disturbance regimes in influencing ecosystem properties. Human activities can modify all of the above factors; here we focus on modification of these biotic controls. The scientific community has come to a broad consensus on many aspects of the relationship between biodiversity and ecosystem functioning, including many points relevant to management of ecosystems. Further progress will require integration of knowledge about biotic and abiotic controls on ecosystem properties, how ecological communities are structured, and the forces driving species extinctions and invasions. To strengthen links to policy and management, we also need to integrate our ecological knowledge with understanding of the social and economic constraints of potential management practices. Understanding this complexity, while taking strong steps to minimize current losses of species, is necessary for responsible management of Earth's ecosystems and the diverse biota they contain. Based on our review of the scientific literature, we are certain of the following conclusions: 1) Species' functional characteristics strongly influence ecosystem properties. Functional characteristics operate in a variety of contexts, including effects of dominant species, keystone species, ecological engineers, and interactions among species (e.g., competition, facilitation, mutualism, disease, and predation). Relative abundance alone is not always a good predictor of the ecosystem-level importance of a species, as even relatively rare species (e.g., a keystone predator) can strongly influence pathways of energy and material flows. 2) Alteration of biota in ecosystems via species invasions and extinctions caused by human activities has altered ecosystem goods and services in many well-documented cases. Many of these changes are difficult, expensive, or impossible to reverse or fix with technological solutions. 3) The effects of species loss or changes in composition, and the mechanisms by which the effects manifest themselves, can differ among ecosystem properties, ecosystem types, and pathways of potential community change. 4) Some ecosystem properties are initially insensitive to species loss because (a) ecosystems may have multiple species that carry out similar functional roles, (b) some species may contribute relatively little to ecosystem properties, or (c) properties may be primarily controlled by abiotic environmental conditions. 5) More species are needed to insure a stable supply of ecosystem goods and services as spatial and temporal variability increases, which typically occurs as longer time periods and larger areas are considered. We have high confidence in the following conclusions: 1) Certain combinations of species are complementary in their patterns of resource use and can increase average rates of productivity and nutrient retention. At the same time, environmental conditions can influence the importance of complementarity in structuring communities. Identification of which and how many species act in a complementary way in complex communities is just beginning. 2) Susceptibility to invasion by exotic species is strongly influenced by species composition and, under similar environmental conditions, generally decreases with increasing species richness. However, several other factors, such as propagule pressure, disturbance regime, and resource availability also strongly influence invasion success and often override effects of species richness in comparisons across different sites or ecosystems. 3) Having a range of species that respond differently to different environmental perturbations can stabilize ecosystem process rates in response to disturbances and variation in abiotic conditions. Using practices that maintain a diversity of organisms of different functional effect and functional response types will help preserve a range of management options. Uncertainties remain and further research is necessary in the following areas: 1) Further resolution of the relationships among taxonomic diversity, functional diversity, and community structure is important for identifying mechanisms of biodiversity effects. 2) Multiple trophic levels are common to ecosystems but have been understudied in biodiversity/ecosystem functioning research. The response of ecosystem properties to varying composition and diversity of consumer organisms is much more complex than responses seen in experiments that vary only the diversity of primary producers. 3) Theoretical work on stability has outpaced experimental work, especially field research. We need long-term experiments to be able to assess temporal stability, as well as experimental perturbations to assess response to and recovery from a variety of disturbances. Design and analysis of such experiments must account for several factors that covary with species diversity. 4) Because biodiversity both responds to and influences ecosystem properties, understanding the feedbacks involved is necessary to integrate results from experimental communities with patterns seen at broader scales. Likely patterns of extinction and invasion need to be linked to different drivers of global change, the forces that structure communities, and controls on ecosystem properties for the development of effective management and conservation strategies. 5) This paper focuses primarily on terrestrial systems, with some coverage of freshwater systems, because that is where most empirical and theoretical study has focused. While the fundamental principles described here should apply to marine systems, further study of that realm is necessary. Despite some uncertainties about the mechanisms and circumstances under which diversity influences ecosystem properties, incorporating diversity effects into policy and management is essential, especially in making decisions involving large temporal and spatial scales. Sacrificing those aspects of ecosystems that are difficult or impossible to reconstruct, such as diversity, simply because we are not yet certain about the extent and mechanisms by which they affect ecosystem properties, will restrict future management options even further. It is incumbent upon ecologists to communicate this need, and the values that can derive from such a perspective, to those charged with economic and policy decision-making.","container-title":"Ecological Monographs","DOI":"10.1890/04-0922","ISSN":"1557-7015","issue":"1","language":"en","page":"3-35","source":"Wiley Online Library","title":"Effects of Biodiversity on Ecosystem Functioning: A Consensus of Current Knowledge","title-short":"Effects of Biodiversity on Ecosystem Functioning","volume":"75","author":[{"family":"Hooper","given":"D. U."},{"family":"Chapin","given":"F. S."},{"family":"Ewel","given":"J. J."},{"family":"Hector","given":"A."},{"family":"Inchausti","given":"P."},{"family":"Lavorel","given":"S."},{"family":"Lawton","given":"J. H."},{"family":"Lodge","given":"D. M."},{"family":"Loreau","given":"M."},{"family":"Naeem","given":"S."},{"family":"Schmid","given":"B."},{"family":"Setälä","given":"H."},{"family":"Symstad","given":"A. J."},{"family":"Vandermeer","given":"J."},{"family":"Wardle","given":"D. A."}],"issued":{"date-parts":[["2005",2,1]]}}}],"schema":"https://github.com/citation-style-language/schema/raw/master/csl-citation.json"} </w:instrText>
      </w:r>
      <w:r w:rsidR="0068758F">
        <w:rPr>
          <w:rFonts w:cs="Times New Roman"/>
          <w:sz w:val="24"/>
          <w:szCs w:val="24"/>
          <w:lang w:val="en-GB"/>
        </w:rPr>
        <w:fldChar w:fldCharType="separate"/>
      </w:r>
      <w:r w:rsidR="0068758F" w:rsidRPr="0068758F">
        <w:rPr>
          <w:rFonts w:cs="Times New Roman"/>
          <w:sz w:val="24"/>
        </w:rPr>
        <w:t xml:space="preserve">(Roscher </w:t>
      </w:r>
      <w:r w:rsidR="0068758F" w:rsidRPr="0068758F">
        <w:rPr>
          <w:rFonts w:cs="Times New Roman"/>
          <w:i/>
          <w:iCs/>
          <w:sz w:val="24"/>
        </w:rPr>
        <w:t>et al.</w:t>
      </w:r>
      <w:r w:rsidR="0068758F" w:rsidRPr="0068758F">
        <w:rPr>
          <w:rFonts w:cs="Times New Roman"/>
          <w:sz w:val="24"/>
        </w:rPr>
        <w:t xml:space="preserve"> 2004; Hooper </w:t>
      </w:r>
      <w:r w:rsidR="0068758F" w:rsidRPr="0068758F">
        <w:rPr>
          <w:rFonts w:cs="Times New Roman"/>
          <w:i/>
          <w:iCs/>
          <w:sz w:val="24"/>
        </w:rPr>
        <w:t>et al.</w:t>
      </w:r>
      <w:r w:rsidR="0068758F" w:rsidRPr="0068758F">
        <w:rPr>
          <w:rFonts w:cs="Times New Roman"/>
          <w:sz w:val="24"/>
        </w:rPr>
        <w:t xml:space="preserve"> 2005)</w:t>
      </w:r>
      <w:r w:rsidR="0068758F">
        <w:rPr>
          <w:rFonts w:cs="Times New Roman"/>
          <w:sz w:val="24"/>
          <w:szCs w:val="24"/>
          <w:lang w:val="en-GB"/>
        </w:rPr>
        <w:fldChar w:fldCharType="end"/>
      </w:r>
      <w:r w:rsidR="0068758F">
        <w:rPr>
          <w:rFonts w:cs="Times New Roman"/>
          <w:sz w:val="24"/>
          <w:szCs w:val="24"/>
          <w:lang w:val="en-GB"/>
        </w:rPr>
        <w:t>.</w:t>
      </w:r>
      <w:r w:rsidRPr="00613D1C">
        <w:rPr>
          <w:rFonts w:cs="Times New Roman"/>
          <w:sz w:val="24"/>
          <w:szCs w:val="24"/>
          <w:lang w:val="en-GB"/>
        </w:rPr>
        <w:t xml:space="preserve"> Yet, </w:t>
      </w:r>
      <w:r w:rsidR="00DA0E1E">
        <w:rPr>
          <w:rFonts w:cs="Times New Roman"/>
          <w:sz w:val="24"/>
          <w:szCs w:val="24"/>
          <w:lang w:val="en-GB"/>
        </w:rPr>
        <w:t>de</w:t>
      </w:r>
      <w:r w:rsidRPr="00613D1C">
        <w:rPr>
          <w:rFonts w:cs="Times New Roman"/>
          <w:sz w:val="24"/>
          <w:szCs w:val="24"/>
          <w:lang w:val="en-GB"/>
        </w:rPr>
        <w:t xml:space="preserve">spite the likely importance of dispersal, we found that completely removing seed rain had little effect on across species richness treatment BEF relationships, which are the most commonly reported BEF relationships in the literature. </w:t>
      </w:r>
    </w:p>
    <w:p w14:paraId="0000006C" w14:textId="65E14714"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 xml:space="preserve">However, BEF relationships within species richness treatments often became more positive when external seed rain stopped </w:t>
      </w:r>
      <w:r w:rsidRPr="00613D1C">
        <w:rPr>
          <w:rFonts w:cs="Times New Roman"/>
          <w:i/>
          <w:sz w:val="24"/>
          <w:szCs w:val="24"/>
          <w:lang w:val="en-GB"/>
        </w:rPr>
        <w:t>(Grass1, Grass2, Forest1, Forest2, Dryland</w:t>
      </w:r>
      <w:r w:rsidRPr="00613D1C">
        <w:rPr>
          <w:rFonts w:cs="Times New Roman"/>
          <w:sz w:val="24"/>
          <w:szCs w:val="24"/>
          <w:lang w:val="en-GB"/>
        </w:rPr>
        <w:t xml:space="preserve">). For example, in </w:t>
      </w:r>
      <w:r w:rsidRPr="00613D1C">
        <w:rPr>
          <w:rFonts w:cs="Times New Roman"/>
          <w:i/>
          <w:sz w:val="24"/>
          <w:szCs w:val="24"/>
          <w:lang w:val="en-GB"/>
        </w:rPr>
        <w:t>Grass2</w:t>
      </w:r>
      <w:r w:rsidRPr="00613D1C">
        <w:rPr>
          <w:rFonts w:cs="Times New Roman"/>
          <w:sz w:val="24"/>
          <w:szCs w:val="24"/>
          <w:lang w:val="en-GB"/>
        </w:rPr>
        <w:t xml:space="preserve">, within species richness treatment slopes changed from negative to positive. In this model, species are dominant in mixture by having either a high carrying capacity or a high growth rate </w:t>
      </w:r>
      <w:r w:rsidR="0068758F">
        <w:rPr>
          <w:rFonts w:cs="Times New Roman"/>
          <w:sz w:val="24"/>
          <w:szCs w:val="24"/>
          <w:lang w:val="en-GB"/>
        </w:rPr>
        <w:fldChar w:fldCharType="begin"/>
      </w:r>
      <w:r w:rsidR="0068758F">
        <w:rPr>
          <w:rFonts w:cs="Times New Roman"/>
          <w:sz w:val="24"/>
          <w:szCs w:val="24"/>
          <w:lang w:val="en-GB"/>
        </w:rPr>
        <w:instrText xml:space="preserve"> ADDIN ZOTERO_ITEM CSL_CITATION {"citationID":"pIqqw2mB","properties":{"formattedCitation":"(Turnbull {\\i{}et al.} 2013)","plainCitation":"(Turnbull et al. 2013)","noteIndex":0},"citationItems":[{"id":3182,"uris":["http://zotero.org/users/961091/items/4DEWCQ42"],"uri":["http://zotero.org/users/961091/items/4DEWCQ42"],"itemData":{"id":3182,"type":"article-journal","abstract":"General principles from coexistence theory are often invoked to explain how and why mixtures of species outperform monocultures. However, the complementarity and selection effects commonly measured in biodiversity experiments do not precisely quantify the niche and relative fitness differences that govern species coexistence. Given this lack of direct correspondence, how can we know whether species-rich mixtures are stable and that the benefits of diversity will therefore persist? We develop a resource-based included-niche model in which plant species have asymmetric access to a nested set of belowground resource pools. We use the model to show that positive complementarity effects arise from stabilising niche differences, but do not necessarily lead to stable coexistence and hence can be transient. In addition, these transient complementarity effects occur in the model when there is no complementary resource use among species. Including a trade-off between uptake rates and the size of the resource pool stabilised interactions and led to persistent complementarity coupled with weak or negative selection effects, consistent with results from the longest-running field biodiversity experiments. We suggest that future progress requires a greater mechanistic understanding of the links between ecosystem functions and their underlying biological processes.","container-title":"Ecology Letters","DOI":"10.1111/ele.12056","ISSN":"1461-0248","issue":"s1","language":"en","page":"116-127","source":"Wiley Online Library","title":"Coexistence, niches and biodiversity effects on ecosystem functioning","volume":"16","author":[{"family":"Turnbull","given":"Lindsay Ann"},{"family":"Levine","given":"Jonathan M."},{"family":"Loreau","given":"Michel"},{"family":"Hector","given":"Andy"}],"issued":{"date-parts":[["2013"]]}}}],"schema":"https://github.com/citation-style-language/schema/raw/master/csl-citation.json"} </w:instrText>
      </w:r>
      <w:r w:rsidR="0068758F">
        <w:rPr>
          <w:rFonts w:cs="Times New Roman"/>
          <w:sz w:val="24"/>
          <w:szCs w:val="24"/>
          <w:lang w:val="en-GB"/>
        </w:rPr>
        <w:fldChar w:fldCharType="separate"/>
      </w:r>
      <w:r w:rsidR="0068758F" w:rsidRPr="0068758F">
        <w:rPr>
          <w:rFonts w:cs="Times New Roman"/>
          <w:sz w:val="24"/>
        </w:rPr>
        <w:t xml:space="preserve">(Turnbull </w:t>
      </w:r>
      <w:r w:rsidR="0068758F" w:rsidRPr="0068758F">
        <w:rPr>
          <w:rFonts w:cs="Times New Roman"/>
          <w:i/>
          <w:iCs/>
          <w:sz w:val="24"/>
        </w:rPr>
        <w:t>et al.</w:t>
      </w:r>
      <w:r w:rsidR="0068758F" w:rsidRPr="0068758F">
        <w:rPr>
          <w:rFonts w:cs="Times New Roman"/>
          <w:sz w:val="24"/>
        </w:rPr>
        <w:t xml:space="preserve"> 2013)</w:t>
      </w:r>
      <w:r w:rsidR="0068758F">
        <w:rPr>
          <w:rFonts w:cs="Times New Roman"/>
          <w:sz w:val="24"/>
          <w:szCs w:val="24"/>
          <w:lang w:val="en-GB"/>
        </w:rPr>
        <w:fldChar w:fldCharType="end"/>
      </w:r>
      <w:r w:rsidR="0068758F">
        <w:rPr>
          <w:rFonts w:cs="Times New Roman"/>
          <w:sz w:val="24"/>
          <w:szCs w:val="24"/>
          <w:lang w:val="en-GB"/>
        </w:rPr>
        <w:t>.</w:t>
      </w:r>
      <w:r w:rsidRPr="00613D1C">
        <w:rPr>
          <w:rFonts w:cs="Times New Roman"/>
          <w:sz w:val="24"/>
          <w:szCs w:val="24"/>
          <w:lang w:val="en-GB"/>
        </w:rPr>
        <w:t xml:space="preserve"> Under seed rain, low-biomass species with high growth rates temporarily prevent their slower but higher functioning competitors from accessing soil resources. Consequently, higher functioning, slower-growing species are unable to reach their maximum </w:t>
      </w:r>
      <w:r w:rsidR="00C619EB">
        <w:rPr>
          <w:rFonts w:cs="Times New Roman"/>
          <w:sz w:val="24"/>
          <w:szCs w:val="24"/>
          <w:lang w:val="en-GB"/>
        </w:rPr>
        <w:t>size</w:t>
      </w:r>
      <w:r w:rsidRPr="00613D1C">
        <w:rPr>
          <w:rFonts w:cs="Times New Roman"/>
          <w:sz w:val="24"/>
          <w:szCs w:val="24"/>
          <w:lang w:val="en-GB"/>
        </w:rPr>
        <w:t>. Without external</w:t>
      </w:r>
      <w:r w:rsidRPr="00613D1C">
        <w:rPr>
          <w:rFonts w:cs="Times New Roman"/>
          <w:color w:val="00796B"/>
          <w:sz w:val="24"/>
          <w:szCs w:val="24"/>
          <w:lang w:val="en-GB"/>
        </w:rPr>
        <w:t xml:space="preserve"> </w:t>
      </w:r>
      <w:r w:rsidRPr="00613D1C">
        <w:rPr>
          <w:rFonts w:cs="Times New Roman"/>
          <w:sz w:val="24"/>
          <w:szCs w:val="24"/>
          <w:lang w:val="en-GB"/>
        </w:rPr>
        <w:t xml:space="preserve">seed rain, these high growth rate-low functioning species decrease in their relative abundance and the remaining species are better able to fully utilise available </w:t>
      </w:r>
      <w:r w:rsidR="00C21288">
        <w:rPr>
          <w:rFonts w:cs="Times New Roman"/>
          <w:sz w:val="24"/>
          <w:szCs w:val="24"/>
          <w:lang w:val="en-GB"/>
        </w:rPr>
        <w:t xml:space="preserve">resources, </w:t>
      </w:r>
      <w:r w:rsidRPr="00613D1C">
        <w:rPr>
          <w:rFonts w:cs="Times New Roman"/>
          <w:sz w:val="24"/>
          <w:szCs w:val="24"/>
          <w:lang w:val="en-GB"/>
        </w:rPr>
        <w:t xml:space="preserve">resulting in a positive within species richness treatment BEF relationship. </w:t>
      </w:r>
    </w:p>
    <w:p w14:paraId="0000006D" w14:textId="10876D4B" w:rsidR="007F1434" w:rsidRPr="00613D1C" w:rsidRDefault="00C21288" w:rsidP="00613D1C">
      <w:pPr>
        <w:spacing w:line="360" w:lineRule="auto"/>
        <w:ind w:firstLine="720"/>
        <w:rPr>
          <w:rFonts w:cs="Times New Roman"/>
          <w:sz w:val="24"/>
          <w:szCs w:val="24"/>
          <w:lang w:val="en-GB"/>
        </w:rPr>
      </w:pPr>
      <w:r>
        <w:rPr>
          <w:rFonts w:cs="Times New Roman"/>
          <w:sz w:val="24"/>
          <w:szCs w:val="24"/>
          <w:lang w:val="en-GB"/>
        </w:rPr>
        <w:t>Despite</w:t>
      </w:r>
      <w:r w:rsidR="000236F3" w:rsidRPr="00613D1C">
        <w:rPr>
          <w:rFonts w:cs="Times New Roman"/>
          <w:sz w:val="24"/>
          <w:szCs w:val="24"/>
          <w:lang w:val="en-GB"/>
        </w:rPr>
        <w:t xml:space="preserve"> shifts of the within species richness treatment BEF relationships, the function-dominance correlation remained largely unchanged, except for </w:t>
      </w:r>
      <w:r w:rsidR="000236F3" w:rsidRPr="00613D1C">
        <w:rPr>
          <w:rFonts w:cs="Times New Roman"/>
          <w:i/>
          <w:sz w:val="24"/>
          <w:szCs w:val="24"/>
          <w:lang w:val="en-GB"/>
        </w:rPr>
        <w:t>Forest2</w:t>
      </w:r>
      <w:r w:rsidR="000236F3" w:rsidRPr="00613D1C">
        <w:rPr>
          <w:rFonts w:cs="Times New Roman"/>
          <w:sz w:val="24"/>
          <w:szCs w:val="24"/>
          <w:lang w:val="en-GB"/>
        </w:rPr>
        <w:t xml:space="preserve">, where the function-dominance correlation changed from positive to negative. In this model, small low-biomass species disproportionately benefited from the removal of external seed rain because they reach their reproductive size more rapidly than tall high-biomass species. Thus, they are able to colonise more empty sites and reach a higher biomass in mixture than tall species. </w:t>
      </w:r>
      <w:r w:rsidR="000236F3" w:rsidRPr="00613D1C">
        <w:rPr>
          <w:rFonts w:cs="Times New Roman"/>
          <w:sz w:val="24"/>
          <w:szCs w:val="24"/>
          <w:lang w:val="en-GB"/>
        </w:rPr>
        <w:lastRenderedPageBreak/>
        <w:t xml:space="preserve">This leads to a change in the function-dominance correlation from positive to slightly negative, which in turn caused a reversal of the counter-gradient (negative across, positive within species richness treatments) and reinforced the relationship between the function-dominance correlation and across species richness treatment BEF slopes. To our knowledge, this is the first example of a negative counter-gradient with a negative BEF relationship across species richness treatments, but positive BEF relationships within species richness treatments. </w:t>
      </w:r>
    </w:p>
    <w:p w14:paraId="0000006E" w14:textId="51A8BD2B"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 xml:space="preserve">The results of removed seed rain in our </w:t>
      </w:r>
      <w:r w:rsidR="003515EC" w:rsidRPr="00613D1C">
        <w:rPr>
          <w:rFonts w:cs="Times New Roman"/>
          <w:sz w:val="24"/>
          <w:szCs w:val="24"/>
          <w:lang w:val="en-GB"/>
        </w:rPr>
        <w:t>modelling</w:t>
      </w:r>
      <w:r w:rsidRPr="00613D1C">
        <w:rPr>
          <w:rFonts w:cs="Times New Roman"/>
          <w:sz w:val="24"/>
          <w:szCs w:val="24"/>
          <w:lang w:val="en-GB"/>
        </w:rPr>
        <w:t xml:space="preserve"> experiment may not be immediately applicable to naturally assembled communities. Seed rain in our </w:t>
      </w:r>
      <w:r w:rsidR="003515EC" w:rsidRPr="00613D1C">
        <w:rPr>
          <w:rFonts w:cs="Times New Roman"/>
          <w:sz w:val="24"/>
          <w:szCs w:val="24"/>
          <w:lang w:val="en-GB"/>
        </w:rPr>
        <w:t>modelling</w:t>
      </w:r>
      <w:r w:rsidRPr="00613D1C">
        <w:rPr>
          <w:rFonts w:cs="Times New Roman"/>
          <w:sz w:val="24"/>
          <w:szCs w:val="24"/>
          <w:lang w:val="en-GB"/>
        </w:rPr>
        <w:t xml:space="preserve"> experiment is limited to the species in the original species pool and assumes constant seed input that is uniform across species. While this approach does not approximate natural seed dispersal, our results are consistent with findings from a recent meta-analysis of seed addition experiments </w:t>
      </w:r>
      <w:r w:rsidR="0068758F">
        <w:rPr>
          <w:rFonts w:cs="Times New Roman"/>
          <w:sz w:val="24"/>
          <w:szCs w:val="24"/>
          <w:lang w:val="en-GB"/>
        </w:rPr>
        <w:fldChar w:fldCharType="begin"/>
      </w:r>
      <w:r w:rsidR="0068758F">
        <w:rPr>
          <w:rFonts w:cs="Times New Roman"/>
          <w:sz w:val="24"/>
          <w:szCs w:val="24"/>
          <w:lang w:val="en-GB"/>
        </w:rPr>
        <w:instrText xml:space="preserve"> ADDIN ZOTERO_ITEM CSL_CITATION {"citationID":"o0OvTPf0","properties":{"formattedCitation":"(Ladouceur {\\i{}et al.} 2020)","plainCitation":"(Ladouceur et al. 2020)","noteIndex":0},"citationItems":[{"id":4140,"uris":["http://zotero.org/users/961091/items/7AX2G5FQ"],"uri":["http://zotero.org/users/961091/items/7AX2G5FQ"],"itemData":{"id":4140,"type":"article-journal","abstract":"Seed dispersal limitation, which can be exacerbated by a number of anthropogenic causes, can result in local communities having fewer species than they might potentially support, representing a potential diversity deficit. The link between processes that shape natural variation in diversity, such as dispersal limitation, and the consequent effects on productivity is less well known. Here, we synthesised data from 12 seed addition experiments in grassland communities to examine the influence of reducing seed dispersal limitation (from 1 to 60 species added across experiments) on species richness and productivity. For every 10 species of seed added, we found that species richness increased by about two species. However, the increase in species richness by overcoming seed limitation did not lead to a concomitant increase in above-ground biomass production. This highlights the need to consider the relationship between biodiversity and ecosystem functioning in a pluralistic way that considers both the processes that shape diversity and productivity simultaneously in naturally assembled communities.","container-title":"Ecology Letters","DOI":"https://doi.org/10.1111/ele.13566","ISSN":"1461-0248","issue":"10","language":"en","note":"_eprint: https://onlinelibrary.wiley.com/doi/pdf/10.1111/ele.13566","page":"1442-1450","source":"Wiley Online Library","title":"Reducing dispersal limitation via seed addition increases species richness but not above-ground biomass","volume":"23","author":[{"family":"Ladouceur","given":"Emma"},{"family":"Harpole","given":"W. Stanley"},{"family":"Blowes","given":"Shane A."},{"family":"Roscher","given":"Christiane"},{"family":"Auge","given":"Harald"},{"family":"Seabloom","given":"Eric W."},{"family":"Chase","given":"Jonathan M."}],"issued":{"date-parts":[["2020"]]}}}],"schema":"https://github.com/citation-style-language/schema/raw/master/csl-citation.json"} </w:instrText>
      </w:r>
      <w:r w:rsidR="0068758F">
        <w:rPr>
          <w:rFonts w:cs="Times New Roman"/>
          <w:sz w:val="24"/>
          <w:szCs w:val="24"/>
          <w:lang w:val="en-GB"/>
        </w:rPr>
        <w:fldChar w:fldCharType="separate"/>
      </w:r>
      <w:r w:rsidR="0068758F" w:rsidRPr="0068758F">
        <w:rPr>
          <w:rFonts w:cs="Times New Roman"/>
          <w:sz w:val="24"/>
        </w:rPr>
        <w:t xml:space="preserve">(Ladouceur </w:t>
      </w:r>
      <w:r w:rsidR="0068758F" w:rsidRPr="0068758F">
        <w:rPr>
          <w:rFonts w:cs="Times New Roman"/>
          <w:i/>
          <w:iCs/>
          <w:sz w:val="24"/>
        </w:rPr>
        <w:t>et al.</w:t>
      </w:r>
      <w:r w:rsidR="0068758F" w:rsidRPr="0068758F">
        <w:rPr>
          <w:rFonts w:cs="Times New Roman"/>
          <w:sz w:val="24"/>
        </w:rPr>
        <w:t xml:space="preserve"> 2020)</w:t>
      </w:r>
      <w:r w:rsidR="0068758F">
        <w:rPr>
          <w:rFonts w:cs="Times New Roman"/>
          <w:sz w:val="24"/>
          <w:szCs w:val="24"/>
          <w:lang w:val="en-GB"/>
        </w:rPr>
        <w:fldChar w:fldCharType="end"/>
      </w:r>
      <w:r w:rsidRPr="00613D1C">
        <w:rPr>
          <w:rFonts w:cs="Times New Roman"/>
          <w:sz w:val="24"/>
          <w:szCs w:val="24"/>
          <w:lang w:val="en-GB"/>
        </w:rPr>
        <w:t xml:space="preserve"> which found that when dispersal limitation was alleviated by seed addition, species richness increased (also reviewed by</w:t>
      </w:r>
      <w:r w:rsidR="0068758F">
        <w:rPr>
          <w:rFonts w:cs="Times New Roman"/>
          <w:sz w:val="24"/>
          <w:szCs w:val="24"/>
          <w:lang w:val="en-GB"/>
        </w:rPr>
        <w:t xml:space="preserve"> </w:t>
      </w:r>
      <w:r w:rsidR="0068758F">
        <w:rPr>
          <w:rFonts w:cs="Times New Roman"/>
          <w:sz w:val="24"/>
          <w:szCs w:val="24"/>
          <w:lang w:val="en-GB"/>
        </w:rPr>
        <w:fldChar w:fldCharType="begin"/>
      </w:r>
      <w:r w:rsidR="00921D16">
        <w:rPr>
          <w:rFonts w:cs="Times New Roman"/>
          <w:sz w:val="24"/>
          <w:szCs w:val="24"/>
          <w:lang w:val="en-GB"/>
        </w:rPr>
        <w:instrText xml:space="preserve"> ADDIN ZOTERO_ITEM CSL_CITATION {"citationID":"IBzmGGZs","properties":{"formattedCitation":"(Myers &amp; Harms 2009)","plainCitation":"(Myers &amp; Harms 2009)","dontUpdate":true,"noteIndex":0},"citationItems":[{"id":4142,"uris":["http://zotero.org/users/961091/items/5BRKCABD"],"uri":["http://zotero.org/users/961091/items/5BRKCABD"],"itemData":{"id":4142,"type":"article-journal","abstract":"Theoretical models predict that effects of dispersal on local biodiversity are influenced by the size and composition of the species pool, as well as ecological filters that limit local species membership. We tested these predictions by conducting a meta-analysis of 28 studies encompassing 62 experiments examining effects of propagule supply (seed arrival) on plant species richness under contrasting intensities of ecological filters (owing to disturbance and resource availability). Seed arrival increased local species richness in a wide range of communities (forest, grassland, montane, savanna, wetland), resulting in a positive mean effect size across experiments. Mean effect size was 70% higher in disturbed relative to undisturbed communities, suggesting that disturbance increases recruitment opportunities for immigrating species. In contrast, effect size was not significantly influenced by nutrient or water availability. Among seed-addition experiments, effect size was positively correlated with species and functional diversity within the pool of added seeds (species evenness and seed-size diversity), primarily in disturbed communities. Our analysis provides experimental support for the general hypothesis that species pools and local environmental heterogeneity interactively structure plant communities. We highlight empirical gaps that can be addressed by future experiments and discuss implications for community assembly, species coexistence, and the maintenance of biodiversity.","container-title":"Ecology Letters","DOI":"https://doi.org/10.1111/j.1461-0248.2009.01373.x","ISSN":"1461-0248","issue":"11","language":"en","note":"_eprint: https://onlinelibrary.wiley.com/doi/pdf/10.1111/j.1461-0248.2009.01373.x","page":"1250-1260","source":"Wiley Online Library","title":"Seed arrival, ecological filters, and plant species richness: a meta-analysis","title-short":"Seed arrival, ecological filters, and plant species richness","volume":"12","author":[{"family":"Myers","given":"Jonathan A."},{"family":"Harms","given":"Kyle E."}],"issued":{"date-parts":[["2009"]]}}}],"schema":"https://github.com/citation-style-language/schema/raw/master/csl-citation.json"} </w:instrText>
      </w:r>
      <w:r w:rsidR="0068758F">
        <w:rPr>
          <w:rFonts w:cs="Times New Roman"/>
          <w:sz w:val="24"/>
          <w:szCs w:val="24"/>
          <w:lang w:val="en-GB"/>
        </w:rPr>
        <w:fldChar w:fldCharType="separate"/>
      </w:r>
      <w:r w:rsidR="0068758F">
        <w:rPr>
          <w:rFonts w:cs="Times New Roman"/>
          <w:noProof/>
          <w:sz w:val="24"/>
          <w:szCs w:val="24"/>
          <w:lang w:val="en-GB"/>
        </w:rPr>
        <w:t>Myers &amp; Harms 2009)</w:t>
      </w:r>
      <w:r w:rsidR="0068758F">
        <w:rPr>
          <w:rFonts w:cs="Times New Roman"/>
          <w:sz w:val="24"/>
          <w:szCs w:val="24"/>
          <w:lang w:val="en-GB"/>
        </w:rPr>
        <w:fldChar w:fldCharType="end"/>
      </w:r>
      <w:r w:rsidRPr="00613D1C">
        <w:rPr>
          <w:rFonts w:cs="Times New Roman"/>
          <w:sz w:val="24"/>
          <w:szCs w:val="24"/>
          <w:lang w:val="en-GB"/>
        </w:rPr>
        <w:t xml:space="preserve"> while biomass was largely unaffected. Our results similarly suggest that diversity is supported by dispersal. In all of our models, communities had generally higher realised diversity with seed rain than without it, but biomass remained </w:t>
      </w:r>
      <w:r w:rsidR="00EE4D37">
        <w:rPr>
          <w:rFonts w:cs="Times New Roman"/>
          <w:sz w:val="24"/>
          <w:szCs w:val="24"/>
          <w:lang w:val="en-GB"/>
        </w:rPr>
        <w:t xml:space="preserve">largely </w:t>
      </w:r>
      <w:r w:rsidRPr="00613D1C">
        <w:rPr>
          <w:rFonts w:cs="Times New Roman"/>
          <w:sz w:val="24"/>
          <w:szCs w:val="24"/>
          <w:lang w:val="en-GB"/>
        </w:rPr>
        <w:t xml:space="preserve">unaffected </w:t>
      </w:r>
      <w:r w:rsidR="00EE4D37">
        <w:rPr>
          <w:rFonts w:cs="Times New Roman"/>
          <w:sz w:val="24"/>
          <w:szCs w:val="24"/>
          <w:lang w:val="en-GB"/>
        </w:rPr>
        <w:t xml:space="preserve">in the majority of models </w:t>
      </w:r>
      <w:r w:rsidRPr="00613D1C">
        <w:rPr>
          <w:rFonts w:cs="Times New Roman"/>
          <w:sz w:val="24"/>
          <w:szCs w:val="24"/>
          <w:lang w:val="en-GB"/>
        </w:rPr>
        <w:t xml:space="preserve">(Appendix S6). </w:t>
      </w:r>
    </w:p>
    <w:p w14:paraId="0000006F" w14:textId="77777777" w:rsidR="007F1434" w:rsidRPr="00613D1C" w:rsidRDefault="007F1434" w:rsidP="00613D1C">
      <w:pPr>
        <w:spacing w:line="360" w:lineRule="auto"/>
        <w:ind w:firstLine="720"/>
        <w:rPr>
          <w:rFonts w:cs="Times New Roman"/>
          <w:sz w:val="24"/>
          <w:szCs w:val="24"/>
          <w:lang w:val="en-GB"/>
        </w:rPr>
      </w:pPr>
    </w:p>
    <w:p w14:paraId="00000070" w14:textId="77777777" w:rsidR="007F1434" w:rsidRPr="00613D1C" w:rsidRDefault="000236F3" w:rsidP="00613D1C">
      <w:pPr>
        <w:spacing w:line="360" w:lineRule="auto"/>
        <w:rPr>
          <w:rFonts w:cs="Times New Roman"/>
          <w:i/>
          <w:sz w:val="24"/>
          <w:szCs w:val="24"/>
          <w:lang w:val="en-GB"/>
        </w:rPr>
      </w:pPr>
      <w:r w:rsidRPr="00613D1C">
        <w:rPr>
          <w:rFonts w:cs="Times New Roman"/>
          <w:i/>
          <w:sz w:val="24"/>
          <w:szCs w:val="24"/>
          <w:lang w:val="en-GB"/>
        </w:rPr>
        <w:t>Applying our results to other functions</w:t>
      </w:r>
    </w:p>
    <w:p w14:paraId="00000071" w14:textId="729A9ACF"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 xml:space="preserve">Here, we focus on the relationships between realised diversity and three closely related ecosystem functions: aboveground biomass, productivity, and overyielding. Aboveground biomass and productivity are good predictors for many functions, including several that are management and conservation relevant, such as root biomass, carbon storage/sequestration, harvestable volume for forests, and ecosystem stability </w:t>
      </w:r>
      <w:r w:rsidR="0068758F">
        <w:rPr>
          <w:rFonts w:cs="Times New Roman"/>
          <w:sz w:val="24"/>
          <w:szCs w:val="24"/>
          <w:lang w:val="en-GB"/>
        </w:rPr>
        <w:fldChar w:fldCharType="begin"/>
      </w:r>
      <w:r w:rsidR="00921D16">
        <w:rPr>
          <w:rFonts w:cs="Times New Roman"/>
          <w:sz w:val="24"/>
          <w:szCs w:val="24"/>
          <w:lang w:val="en-GB"/>
        </w:rPr>
        <w:instrText xml:space="preserve"> ADDIN ZOTERO_ITEM CSL_CITATION {"citationID":"KWxK8jeG","properties":{"formattedCitation":"(Allan {\\i{}et al.} 2013; Ratcliffe {\\i{}et al.} 2017)","plainCitation":"(Allan et al. 2013; Ratcliffe et al. 2017)","noteIndex":0},"citationItems":[{"id":1822,"uris":["http://zotero.org/users/961091/items/83SCPBDB"],"uri":["http://zotero.org/users/961091/items/83SCPBDB"],"itemData":{"id":1822,"type":"article-journal","container-title":"Oecologia","DOI":"10.1007/s00442-012-2589-0","ISSN":"0029-8549, 1432-1939","issue":"1","language":"en","page":"223-237","source":"CrossRef","title":"A comparison of the strength of biodiversity effects across multiple functions","volume":"173","author":[{"family":"Allan","given":"Eric"},{"family":"Weisser","given":"Wolfgang W."},{"family":"Fischer","given":"Markus"},{"family":"Schulze","given":"Ernst-Detlef"},{"family":"Weigelt","given":"Alexandra"},{"family":"Roscher","given":"Christiane"},{"family":"Baade","given":"Jussi"},{"family":"Barnard","given":"Romain L."},{"family":"Beßler","given":"Holger"},{"family":"Buchmann","given":"Nina"},{"family":"Ebeling","given":"Anne"},{"family":"Eisenhauer","given":"Nico"},{"family":"Engels","given":"Christof"},{"family":"Fergus","given":"Alexander J. F."},{"family":"Gleixner","given":"Gerd"},{"family":"Gubsch","given":"Marlén"},{"family":"Halle","given":"Stefan"},{"family":"Klein","given":"Alexandra M."},{"family":"Kertscher","given":"Ilona"},{"family":"Kuu","given":"Annely"},{"family":"Lange","given":"Markus"},{"family":"Le Roux","given":"Xavier"},{"family":"Meyer","given":"Sebastian T."},{"family":"Migunova","given":"Varvara D."},{"family":"Milcu","given":"Alexandru"},{"family":"Niklaus","given":"Pascal A."},{"family":"Oelmann","given":"Yvonne"},{"family":"Pašalić","given":"Esther"},{"family":"Petermann","given":"Jana S."},{"family":"Poly","given":"Franck"},{"family":"Rottstock","given":"Tanja"},{"family":"Sabais","given":"Alexander C. W."},{"family":"Scherber","given":"Christoph"},{"family":"Scherer-Lorenzen","given":"Michael"},{"family":"Scheu","given":"Stefan"},{"family":"Steinbeiss","given":"Sibylle"},{"family":"Schwichtenberg","given":"Guido"},{"family":"Temperton","given":"Vicky"},{"family":"Tscharntke","given":"Teja"},{"family":"Voigt","given":"Winfried"},{"family":"Wilcke","given":"Wolfgang"},{"family":"Wirth","given":"Christian"},{"family":"Schmid","given":"Bernhard"}],"issued":{"date-parts":[["2013",9]]}}},{"id":3420,"uris":["http://zotero.org/users/961091/items/GBWCUELC"],"uri":["http://zotero.org/users/961091/items/GBWCUELC"],"itemData":{"id":3420,"type":"article-journal","abstract":"The importance of biodiversity in supporting ecosystem functioning is generally well accepted. However, most evidence comes from small-scale studies, and scaling-up patterns of biodiversity–ecosystem functioning (B-EF) remains challenging, in part because the importance of environmental factors in shaping B-EF relations is poorly understood. Using a forest research platform in which 26 ecosystem functions were measured along gradients of tree species richness in six regions across Europe, we investigated the extent and the potential drivers of context dependency of B-EF relations. Despite considerable variation in species richness effects across the continent, we found a tendency for stronger B-EF relations in drier climates as well as in areas with longer growing seasons and more functionally diverse tree species. The importance of water availability in driving context dependency suggests that as water limitation increases under climate change, biodiversity may become even more important to support high levels of functioning in European forests.","container-title":"Ecology Letters","DOI":"10.1111/ele.12849","ISSN":"1461-0248","issue":"11","language":"en","page":"1414-1426","source":"Wiley Online Library","title":"Biodiversity and ecosystem functioning relations in European forests depend on environmental context","volume":"20","author":[{"family":"Ratcliffe","given":"Sophia"},{"family":"Wirth","given":"Christian"},{"family":"Jucker","given":"Tommaso"},{"family":"Plas","given":"Fons","dropping-particle":"van der"},{"family":"Scherer‐Lorenzen","given":"Michael"},{"family":"Verheyen","given":"Kris"},{"family":"Allan","given":"Eric"},{"family":"Benavides","given":"Raquel"},{"family":"Bruelheide","given":"Helge"},{"family":"Ohse","given":"Bettina"},{"family":"Paquette","given":"Alain"},{"family":"Ampoorter","given":"Evy"},{"family":"Bastias","given":"Cristina C."},{"family":"Bauhus","given":"Jürgen"},{"family":"Bonal","given":"Damien"},{"family":"Bouriaud","given":"Olivier"},{"family":"Bussotti","given":"Filippo"},{"family":"Carnol","given":"Monique"},{"family":"Castagneyrol","given":"Bastien"},{"family":"Chećko","given":"Ewa"},{"family":"Dawud","given":"Seid Muhie"},{"family":"Wandeler","given":"Hans De"},{"family":"Domisch","given":"Timo"},{"family":"Finér","given":"Leena"},{"family":"Fischer","given":"Markus"},{"family":"Fotelli","given":"Mariangela"},{"family":"Gessler","given":"Arthur"},{"family":"Granier","given":"André"},{"family":"Grossiord","given":"Charlotte"},{"family":"Guyot","given":"Virginie"},{"family":"Haase","given":"Josephine"},{"family":"Hättenschwiler","given":"Stephan"},{"family":"Jactel","given":"Hervé"},{"family":"Jaroszewicz","given":"Bogdan"},{"family":"Joly","given":"François-Xavier"},{"family":"Kambach","given":"Stephan"},{"family":"Kolb","given":"Simon"},{"family":"Koricheva","given":"Julia"},{"family":"Liebersgesell","given":"Mario"},{"family":"Milligan","given":"Harriet"},{"family":"Müller","given":"Sandra"},{"family":"Muys","given":"Bart"},{"family":"Nguyen","given":"Diem"},{"family":"Nock","given":"Charles"},{"family":"Pollastrini","given":"Martina"},{"family":"Purschke","given":"Oliver"},{"family":"Radoglou","given":"Kalliopi"},{"family":"Raulund‐Rasmussen","given":"Karsten"},{"family":"Roger","given":"Fabian"},{"family":"Ruiz‐Benito","given":"Paloma"},{"family":"Seidl","given":"Rupert"},{"family":"Selvi","given":"Federico"},{"family":"Seiferling","given":"Ian"},{"family":"Stenlid","given":"Jan"},{"family":"Valladares","given":"Fernando"},{"family":"Vesterdal","given":"Lars"},{"family":"Baeten","given":"Lander"}],"issued":{"date-parts":[["2017"]]}}}],"schema":"https://github.com/citation-style-language/schema/raw/master/csl-citation.json"} </w:instrText>
      </w:r>
      <w:r w:rsidR="0068758F">
        <w:rPr>
          <w:rFonts w:cs="Times New Roman"/>
          <w:sz w:val="24"/>
          <w:szCs w:val="24"/>
          <w:lang w:val="en-GB"/>
        </w:rPr>
        <w:fldChar w:fldCharType="separate"/>
      </w:r>
      <w:r w:rsidR="00921D16" w:rsidRPr="00921D16">
        <w:rPr>
          <w:rFonts w:cs="Times New Roman"/>
          <w:sz w:val="24"/>
        </w:rPr>
        <w:t xml:space="preserve">(Allan </w:t>
      </w:r>
      <w:r w:rsidR="00921D16" w:rsidRPr="00921D16">
        <w:rPr>
          <w:rFonts w:cs="Times New Roman"/>
          <w:i/>
          <w:iCs/>
          <w:sz w:val="24"/>
        </w:rPr>
        <w:t>et al.</w:t>
      </w:r>
      <w:r w:rsidR="00921D16" w:rsidRPr="00921D16">
        <w:rPr>
          <w:rFonts w:cs="Times New Roman"/>
          <w:sz w:val="24"/>
        </w:rPr>
        <w:t xml:space="preserve"> 2013; Ratcliffe </w:t>
      </w:r>
      <w:r w:rsidR="00921D16" w:rsidRPr="00921D16">
        <w:rPr>
          <w:rFonts w:cs="Times New Roman"/>
          <w:i/>
          <w:iCs/>
          <w:sz w:val="24"/>
        </w:rPr>
        <w:t>et al.</w:t>
      </w:r>
      <w:r w:rsidR="00921D16" w:rsidRPr="00921D16">
        <w:rPr>
          <w:rFonts w:cs="Times New Roman"/>
          <w:sz w:val="24"/>
        </w:rPr>
        <w:t xml:space="preserve"> 2017)</w:t>
      </w:r>
      <w:r w:rsidR="0068758F">
        <w:rPr>
          <w:rFonts w:cs="Times New Roman"/>
          <w:sz w:val="24"/>
          <w:szCs w:val="24"/>
          <w:lang w:val="en-GB"/>
        </w:rPr>
        <w:fldChar w:fldCharType="end"/>
      </w:r>
      <w:r w:rsidR="0068758F">
        <w:rPr>
          <w:rFonts w:cs="Times New Roman"/>
          <w:sz w:val="24"/>
          <w:szCs w:val="24"/>
          <w:lang w:val="en-GB"/>
        </w:rPr>
        <w:t>.</w:t>
      </w:r>
      <w:r w:rsidRPr="00613D1C">
        <w:rPr>
          <w:rFonts w:cs="Times New Roman"/>
          <w:sz w:val="24"/>
          <w:szCs w:val="24"/>
          <w:lang w:val="en-GB"/>
        </w:rPr>
        <w:t xml:space="preserve"> We expect that for this set of </w:t>
      </w:r>
      <w:proofErr w:type="gramStart"/>
      <w:r w:rsidRPr="00613D1C">
        <w:rPr>
          <w:rFonts w:cs="Times New Roman"/>
          <w:sz w:val="24"/>
          <w:szCs w:val="24"/>
          <w:lang w:val="en-GB"/>
        </w:rPr>
        <w:t>biomass</w:t>
      </w:r>
      <w:proofErr w:type="gramEnd"/>
      <w:r w:rsidRPr="00613D1C">
        <w:rPr>
          <w:rFonts w:cs="Times New Roman"/>
          <w:sz w:val="24"/>
          <w:szCs w:val="24"/>
          <w:lang w:val="en-GB"/>
        </w:rPr>
        <w:t xml:space="preserve">- or productivity-related functions, our results here in terms of biomass/productivity will similarly predict BEF relationships. However, many functions such as above- and belowground decomposition, nutrient cycling, microbial biomass, resistance to climate extremes, and many others are not easily predicted by biomass or productivity. For this subset of functions – while the function-dominance correlation in terms of biomass is unlikely to predict these BEF relationships – the function-dominance correlation in terms of these other functions is likely to prove a useful predictor. </w:t>
      </w:r>
    </w:p>
    <w:p w14:paraId="00000072" w14:textId="77777777" w:rsidR="007F1434" w:rsidRPr="00613D1C" w:rsidRDefault="007F1434" w:rsidP="00613D1C">
      <w:pPr>
        <w:spacing w:line="360" w:lineRule="auto"/>
        <w:rPr>
          <w:rFonts w:cs="Times New Roman"/>
          <w:sz w:val="24"/>
          <w:szCs w:val="24"/>
          <w:lang w:val="en-GB"/>
        </w:rPr>
      </w:pPr>
    </w:p>
    <w:p w14:paraId="00000073" w14:textId="77777777" w:rsidR="007F1434" w:rsidRPr="00613D1C" w:rsidRDefault="000236F3" w:rsidP="00613D1C">
      <w:pPr>
        <w:spacing w:line="360" w:lineRule="auto"/>
        <w:rPr>
          <w:rFonts w:cs="Times New Roman"/>
          <w:b/>
          <w:sz w:val="24"/>
          <w:szCs w:val="24"/>
          <w:lang w:val="en-GB"/>
        </w:rPr>
      </w:pPr>
      <w:r w:rsidRPr="00613D1C">
        <w:rPr>
          <w:rFonts w:cs="Times New Roman"/>
          <w:b/>
          <w:sz w:val="24"/>
          <w:szCs w:val="24"/>
          <w:lang w:val="en-GB"/>
        </w:rPr>
        <w:lastRenderedPageBreak/>
        <w:t>CONCLUSIONS</w:t>
      </w:r>
    </w:p>
    <w:p w14:paraId="00000074" w14:textId="77777777" w:rsidR="007F1434" w:rsidRPr="00613D1C" w:rsidRDefault="007F1434" w:rsidP="00613D1C">
      <w:pPr>
        <w:spacing w:line="360" w:lineRule="auto"/>
        <w:rPr>
          <w:rFonts w:cs="Times New Roman"/>
          <w:b/>
          <w:sz w:val="24"/>
          <w:szCs w:val="24"/>
          <w:lang w:val="en-GB"/>
        </w:rPr>
      </w:pPr>
    </w:p>
    <w:p w14:paraId="00000075" w14:textId="216C7B0E" w:rsidR="007F1434" w:rsidRPr="00613D1C" w:rsidRDefault="000236F3" w:rsidP="00613D1C">
      <w:pPr>
        <w:spacing w:line="360" w:lineRule="auto"/>
        <w:rPr>
          <w:rFonts w:cs="Times New Roman"/>
          <w:sz w:val="24"/>
          <w:szCs w:val="24"/>
          <w:lang w:val="en-GB"/>
        </w:rPr>
      </w:pPr>
      <w:r w:rsidRPr="00613D1C">
        <w:rPr>
          <w:rFonts w:cs="Times New Roman"/>
          <w:sz w:val="24"/>
          <w:szCs w:val="24"/>
          <w:lang w:val="en-GB"/>
        </w:rPr>
        <w:tab/>
        <w:t xml:space="preserve">Global biodiversity loss and local and regional biodiversity change are among humanity’s most pressing concerns. The current consensus is that this change is likely to have devastating consequences on ecosystem functioning. However, our results suggest that diversity change will have the strongest impact on ecosystem functioning when the dominant species provide the most function. If this is also found to be true in experiments and naturally assembled systems, it has important implications for predictions based on biodiversity-ecosystem functioning research. Loss of – or change in – biodiversity may have smaller or larger effects on ecosystem functioning than currently predicted, depending on the species affected. If the species that are lost are dominant and high functioning, we expect that their loss will cause declines in ecosystem functioning unless they are replaced by species that perform similarly well. Alternatively, if the species lost dominated the community while contributing little to functioning, the effect of biodiversity loss on ecosystem functioning may be positive even while the other effects of losing these species could be negative. For example, recent research indicates that tall, high-biomass tree species may be more prone to extinction under higher temperatures or more arid conditions than those that are smaller and low-biomass </w:t>
      </w:r>
      <w:r w:rsidR="0068758F">
        <w:rPr>
          <w:rFonts w:cs="Times New Roman"/>
          <w:sz w:val="24"/>
          <w:szCs w:val="24"/>
          <w:lang w:val="en-GB"/>
        </w:rPr>
        <w:fldChar w:fldCharType="begin"/>
      </w:r>
      <w:r w:rsidR="0068758F">
        <w:rPr>
          <w:rFonts w:cs="Times New Roman"/>
          <w:sz w:val="24"/>
          <w:szCs w:val="24"/>
          <w:lang w:val="en-GB"/>
        </w:rPr>
        <w:instrText xml:space="preserve"> ADDIN ZOTERO_ITEM CSL_CITATION {"citationID":"1yMRCy1Z","properties":{"formattedCitation":"(McDowell {\\i{}et al.} 2020)","plainCitation":"(McDowell et al. 2020)","noteIndex":0},"citationItems":[{"id":4144,"uris":["http://zotero.org/users/961091/items/MAHJPFJZ"],"uri":["http://zotero.org/users/961091/items/MAHJPFJZ"],"itemData":{"id":4144,"type":"article-journal","abstract":"Shifting forest dynamics\nForest dynamics are the processes of recruitment, growth, death, and turnover of the constituent tree species of the forest community. These processes are driven by disturbances both natural and anthropogenic. McDowell et al. review recent progress in understanding the drivers of forest dynamics and how these are interacting and changing in the context of global climate change. The authors show that shifts in forest dynamics are already occurring, and the emerging pattern is that global forests are tending toward younger stands with faster turnover as old-growth forest with stable dynamics are dwindling.\nScience, this issue p. eaaz9463\nStructured Abstract\nBACKGROUNDForest dynamics arise from the interplay of chronic drivers and transient disturbances with the demographic processes of recruitment, growth, and mortality. The resulting trajectories of vegetation development drive the biomass and species composition of terrestrial ecosystems. Forest dynamics are changing because of anthropogenic-driven exacerbation of chronic drivers, such as rising temperature and CO2, and increasing transient disturbances, including wildfire, drought, windthrow, biotic attack, and land-use change. There are widespread observations of increasing tree mortality due to changing climate and land use, as well as observations of growth stimulation of younger forests due to CO2 fertilization. These antagonistic processes are co-occurring globally, leaving the fate of future forests uncertain. We examine the implications of changing forest demography and its drivers for both future forest management and forecasting impacts of global climate forcing.\nADVANCESWe reviewed the literature of forest demographic responses to chronic drivers and transient disturbances to generate hypotheses on future trajectories of these factors and their subsequent impacts on vegetation dynamics, with a focus on forested ecosystems. We complemented this review with analyses of global land-use change and disturbance datasets to independently evaluate the implications of changing drivers and disturbances on global-scale tree demographics. Ongoing changes in environmental drivers and disturbance regimes are consistently increasing mortality and forcing forests toward shorter-statured and younger stands, reducing potential carbon storage. Acclimation, adaptation, and migration may partially mitigate these effects. These increased forest impacts are due to natural disturbances (e.g., wildfire, drought, windthrow, insect or pathogen outbreaks) and land-use change, both of which are predicted to increase in magnitude in the future. Atmospherically derived estimates of the terrestrial carbon sink and remote sensing data indicate that tree growth and potentially recruitment may have increased globally in the 20th century, but the growth of this carbon sink has slowed. Variability in growth stimulation due to CO2 fertilization is evident globally, with observations and experiments suggesting that forests benefit from CO2 primarily in early stages of secondary succession. Furthermore, increased tree growth typically requires sufficient water and nutrients to take advantage of rising CO2. Collectively, the evidence reveals that it is highly likely that tree mortality rates will continue to increase, whereas recruitment and growth will respond to changing drivers in a spatially and temporally variable manner. The net impact will be a reduction in forest canopy cover and biomass.\nOUTLOOKPervasive shifts in forest vegetation dynamics are already occurring and are likely to accelerate under future global changes, with consequences for biodiversity and climate forcing. This conclusion is robust with respect to the abundant literature evidence and our global assessment of historical demographic changes, but it also forms the basis for hypotheses regarding the patterns and processes underlying the shifts in forest dynamics. These hypotheses will be directly testable using emerging terrestrial and satellite-based observation networks. The existing evidence and newly made observations provide a critical test of Earth system models that continue to improve in their ability to simulate forest dynamics and resulting climate forcing. Ultimately, forest managers and natural resource policies must confront the consequences of changing climate and disturbance regimes to ensure sustainable forests and accrue their associated benefits. &lt;img class=\"fragment-image\" aria-describedby=\"F1-caption\" src=\"https://science.sciencemag.org/content/sci/368/6494/eaaz9463/F1.medium.gif\"/&gt; Download high-res image Open in new tab Download Powerpoint A conceptual diagram of the components of forest dynamics and the disturbances that drive them.In the far-left panel, a mature ecosystem is responsive primarily to localized mortality, and the primary drivers of demography are chronically changing variables such as CO2, temperature, and vapor pressure deficit (VPD). In the next panel, the system is disturbed by fire, insect outbreak, or another large-scale perturbation that removes most of the overstory trees, and species adapted to rapid postdisturbance recruitment become established. In the third panel, recruitment and growth dominate demographic processes, with mortality increasing over time as competition leads to self-thinning. In the last panel, a mature ecosystem is dominated by species that have replaced the original community in response to chronic environmental changes, leading to a novel ecosystem.\nForest dynamics arise from the interplay of environmental drivers and disturbances with the demographic processes of recruitment, growth, and mortality, subsequently driving biomass and species composition. However, forest disturbances and subsequent recovery are shifting with global changes in climate and land use, altering these dynamics. Changes in environmental drivers, land use, and disturbance regimes are forcing forests toward younger, shorter stands. Rising carbon dioxide, acclimation, adaptation, and migration can influence these impacts. Recent developments in Earth system models support increasingly realistic simulations of vegetation dynamics. In parallel, emerging remote sensing datasets promise qualitatively new and more abundant data on the underlying processes and consequences for vegetation structure. When combined, these advances hold promise for improving the scientific understanding of changes in vegetation demographics and disturbances.","container-title":"Science","DOI":"10.1126/science.aaz9463","ISSN":"0036-8075, 1095-9203","issue":"6494","language":"en","note":"publisher: American Association for the Advancement of Science\nsection: Review\nPMID: 32467364","source":"science.sciencemag.org","title":"Pervasive shifts in forest dynamics in a changing world","URL":"https://science.sciencemag.org/content/368/6494/eaaz9463","volume":"368","author":[{"family":"McDowell","given":"Nate G."},{"family":"Allen","given":"Craig D."},{"family":"Anderson-Teixeira","given":"Kristina"},{"family":"Aukema","given":"Brian H."},{"family":"Bond-Lamberty","given":"Ben"},{"family":"Chini","given":"Louise"},{"family":"Clark","given":"James S."},{"family":"Dietze","given":"Michael"},{"family":"Grossiord","given":"Charlotte"},{"family":"Hanbury-Brown","given":"Adam"},{"family":"Hurtt","given":"George C."},{"family":"Jackson","given":"Robert B."},{"family":"Johnson","given":"Daniel J."},{"family":"Kueppers","given":"Lara"},{"family":"Lichstein","given":"Jeremy W."},{"family":"Ogle","given":"Kiona"},{"family":"Poulter","given":"Benjamin"},{"family":"Pugh","given":"Thomas A. M."},{"family":"Seidl","given":"Rupert"},{"family":"Turner","given":"Monica G."},{"family":"Uriarte","given":"Maria"},{"family":"Walker","given":"Anthony P."},{"family":"Xu","given":"Chonggang"}],"accessed":{"date-parts":[["2020",11,20]]},"issued":{"date-parts":[["2020",5,29]]}}}],"schema":"https://github.com/citation-style-language/schema/raw/master/csl-citation.json"} </w:instrText>
      </w:r>
      <w:r w:rsidR="0068758F">
        <w:rPr>
          <w:rFonts w:cs="Times New Roman"/>
          <w:sz w:val="24"/>
          <w:szCs w:val="24"/>
          <w:lang w:val="en-GB"/>
        </w:rPr>
        <w:fldChar w:fldCharType="separate"/>
      </w:r>
      <w:r w:rsidR="0068758F" w:rsidRPr="0068758F">
        <w:rPr>
          <w:rFonts w:cs="Times New Roman"/>
          <w:sz w:val="24"/>
        </w:rPr>
        <w:t xml:space="preserve">(McDowell </w:t>
      </w:r>
      <w:r w:rsidR="0068758F" w:rsidRPr="0068758F">
        <w:rPr>
          <w:rFonts w:cs="Times New Roman"/>
          <w:i/>
          <w:iCs/>
          <w:sz w:val="24"/>
        </w:rPr>
        <w:t>et al.</w:t>
      </w:r>
      <w:r w:rsidR="0068758F" w:rsidRPr="0068758F">
        <w:rPr>
          <w:rFonts w:cs="Times New Roman"/>
          <w:sz w:val="24"/>
        </w:rPr>
        <w:t xml:space="preserve"> 2020)</w:t>
      </w:r>
      <w:r w:rsidR="0068758F">
        <w:rPr>
          <w:rFonts w:cs="Times New Roman"/>
          <w:sz w:val="24"/>
          <w:szCs w:val="24"/>
          <w:lang w:val="en-GB"/>
        </w:rPr>
        <w:fldChar w:fldCharType="end"/>
      </w:r>
      <w:r w:rsidRPr="00613D1C">
        <w:rPr>
          <w:rFonts w:cs="Times New Roman"/>
          <w:sz w:val="24"/>
          <w:szCs w:val="24"/>
          <w:lang w:val="en-GB"/>
        </w:rPr>
        <w:t xml:space="preserve"> with negative consequences for ecosystem functioning </w:t>
      </w:r>
      <w:r w:rsidR="0068758F">
        <w:rPr>
          <w:rFonts w:cs="Times New Roman"/>
          <w:sz w:val="24"/>
          <w:szCs w:val="24"/>
          <w:lang w:val="en-GB"/>
        </w:rPr>
        <w:fldChar w:fldCharType="begin"/>
      </w:r>
      <w:r w:rsidR="0068758F">
        <w:rPr>
          <w:rFonts w:cs="Times New Roman"/>
          <w:sz w:val="24"/>
          <w:szCs w:val="24"/>
          <w:lang w:val="en-GB"/>
        </w:rPr>
        <w:instrText xml:space="preserve"> ADDIN ZOTERO_ITEM CSL_CITATION {"citationID":"Vu1rEJBV","properties":{"formattedCitation":"(Aubry-Kientz {\\i{}et al.} 2019; R\\uc0\\u252{}ger {\\i{}et al.} 2020)","plainCitation":"(Aubry-Kientz et al. 2019; Rüger et al. 2020)","noteIndex":0},"citationItems":[{"id":4147,"uris":["http://zotero.org/users/961091/items/JI98AB4B"],"uri":["http://zotero.org/users/961091/items/JI98AB4B"],"itemData":{"id":4147,"type":"article-journal","abstract":"Increasing evidence shows that the functioning of the tropical forest biome is intimately related to the climate variability with some variables such as annual precipitation, temperature or seasonal water stress identified as key drivers of ecosystem dynamics. How tropical tree communities will respond to the future climate change is hard to predict primarily because several demographic processes act together to shape the forest ecosystem general behavior. To overcome this limitation, we used a joint individual-based model to simulate, over the next century, a tropical forest community experiencing the climate change expected in the Guiana Shield. The model is climate dependent: temperature, precipitation and water stress are used as predictors of the joint growth and mortality rates. We ran simulations for the next century using predictions of the IPCC 5AR, building three different climate scenarios (optimistic RCP2.6, intermediate, pessimistic RCP8.5) and a control (current climate). The basal area, above-ground fresh biomass, quadratic diameter, tree growth and mortality rates were then computed as summary statistics to characterize the resulting forest ecosystem. Whatever the scenario, all ecosystem process and structure variables exhibited decreasing values as compared to the control. A sensitivity analysis identified the temperature as the strongest climate driver of this behavior, highlighting a possible temperature-driven drop of 40% in average forest growth. This conclusion is alarming, as temperature rises have been consensually predicted by all climate scenarios of the IPCC 5AR. Our study highlights the potential slow-down danger that tropical forests will face in the Guiana Shield during the next century.","container-title":"Scientific Reports","DOI":"10.1038/s41598-019-46597-8","ISSN":"2045-2322","issue":"1","language":"en","note":"number: 1\npublisher: Nature Publishing Group","page":"10235","source":"www.nature.com","title":"Temperature rising would slow down tropical forest dynamic in the Guiana Shield","volume":"9","author":[{"family":"Aubry-Kientz","given":"Mélaine"},{"family":"Rossi","given":"Vivien"},{"family":"Cornu","given":"Guillaume"},{"family":"Wagner","given":"Fabien"},{"family":"Hérault","given":"Bruno"}],"issued":{"date-parts":[["2019",7,15]]}}},{"id":4061,"uris":["http://zotero.org/users/961091/items/QUE8GXPB"],"uri":["http://zotero.org/users/961091/items/QUE8GXPB"],"itemData":{"id":4061,"type":"article-journal","abstract":"Forest dynamics and demography\nTropical forest succession has been viewed mostly by considering trees in categories of early-, mid-, and late-successional species, corresponding to a fast–slow continuum of life history strategies. Rüger et al. now show that the fast–slow continuum does not capture the demographic strategy of the long-lived pioneer species, an important component of many tropical forests (see the Perspective by Bugmann). They developed a forest model that allows for objective predictions of tropical forest dynamics and validated the model's predictions against independent data. These findings should advance our understanding of tropical forest dynamics and facilitate sustainable tropical forest management.\nScience, this issue p. 165; see also p. 128\nUnderstanding tropical forest dynamics and planning for their sustainable management require efficient, yet accurate, predictions of the joint dynamics of hundreds of tree species. With increasing information on tropical tree life histories, our predictive understanding is no longer limited by species data but by the ability of existing models to make use of it. Using a demographic forest model, we show that the basal area and compositional changes during forest succession in a neotropical forest can be accurately predicted by representing tropical tree diversity (hundreds of species) with only five functional groups spanning two essential trade-offs—the growth-survival and stature-recruitment trade-offs. This data-driven modeling framework substantially improves our ability to predict consequences of anthropogenic impacts on tropical forests.\nA data-driven modeling framework improves our ability to predict the consequences of anthropogenic impacts on tropical forests.\nA data-driven modeling framework improves our ability to predict the consequences of anthropogenic impacts on tropical forests.","container-title":"Science","DOI":"10.1126/science.aaz4797","ISSN":"0036-8075, 1095-9203","issue":"6487","language":"en","note":"publisher: American Association for the Advancement of Science\nsection: Report\nPMID: 32273463","page":"165-168","source":"science.sciencemag.org","title":"Demographic trade-offs predict tropical forest dynamics","volume":"368","author":[{"family":"Rüger","given":"Nadja"},{"family":"Condit","given":"Richard"},{"family":"Dent","given":"Daisy H."},{"family":"DeWalt","given":"Saara J."},{"family":"Hubbell","given":"Stephen P."},{"family":"Lichstein","given":"Jeremy W."},{"family":"Lopez","given":"Omar R."},{"family":"Wirth","given":"Christian"},{"family":"Farrior","given":"Caroline E."}],"issued":{"date-parts":[["2020",4,10]]}}}],"schema":"https://github.com/citation-style-language/schema/raw/master/csl-citation.json"} </w:instrText>
      </w:r>
      <w:r w:rsidR="0068758F">
        <w:rPr>
          <w:rFonts w:cs="Times New Roman"/>
          <w:sz w:val="24"/>
          <w:szCs w:val="24"/>
          <w:lang w:val="en-GB"/>
        </w:rPr>
        <w:fldChar w:fldCharType="separate"/>
      </w:r>
      <w:r w:rsidR="0068758F" w:rsidRPr="0068758F">
        <w:rPr>
          <w:rFonts w:cs="Times New Roman"/>
          <w:sz w:val="24"/>
        </w:rPr>
        <w:t xml:space="preserve">(Aubry-Kientz </w:t>
      </w:r>
      <w:r w:rsidR="0068758F" w:rsidRPr="0068758F">
        <w:rPr>
          <w:rFonts w:cs="Times New Roman"/>
          <w:i/>
          <w:iCs/>
          <w:sz w:val="24"/>
        </w:rPr>
        <w:t>et al.</w:t>
      </w:r>
      <w:r w:rsidR="0068758F" w:rsidRPr="0068758F">
        <w:rPr>
          <w:rFonts w:cs="Times New Roman"/>
          <w:sz w:val="24"/>
        </w:rPr>
        <w:t xml:space="preserve"> 2019; Rüger </w:t>
      </w:r>
      <w:r w:rsidR="0068758F" w:rsidRPr="0068758F">
        <w:rPr>
          <w:rFonts w:cs="Times New Roman"/>
          <w:i/>
          <w:iCs/>
          <w:sz w:val="24"/>
        </w:rPr>
        <w:t>et al.</w:t>
      </w:r>
      <w:r w:rsidR="0068758F" w:rsidRPr="0068758F">
        <w:rPr>
          <w:rFonts w:cs="Times New Roman"/>
          <w:sz w:val="24"/>
        </w:rPr>
        <w:t xml:space="preserve"> 2020)</w:t>
      </w:r>
      <w:r w:rsidR="0068758F">
        <w:rPr>
          <w:rFonts w:cs="Times New Roman"/>
          <w:sz w:val="24"/>
          <w:szCs w:val="24"/>
          <w:lang w:val="en-GB"/>
        </w:rPr>
        <w:fldChar w:fldCharType="end"/>
      </w:r>
      <w:r w:rsidRPr="00613D1C">
        <w:rPr>
          <w:rFonts w:cs="Times New Roman"/>
          <w:sz w:val="24"/>
          <w:szCs w:val="24"/>
          <w:lang w:val="en-GB"/>
        </w:rPr>
        <w:t xml:space="preserve">. Our results suggest that within these systems, ecosystem functioning may be likely to decline even if it is not reliant on species richness </w:t>
      </w:r>
      <w:r w:rsidRPr="00613D1C">
        <w:rPr>
          <w:rFonts w:cs="Times New Roman"/>
          <w:i/>
          <w:sz w:val="24"/>
          <w:szCs w:val="24"/>
          <w:lang w:val="en-GB"/>
        </w:rPr>
        <w:t>per se</w:t>
      </w:r>
      <w:r w:rsidRPr="00613D1C">
        <w:rPr>
          <w:rFonts w:cs="Times New Roman"/>
          <w:sz w:val="24"/>
          <w:szCs w:val="24"/>
          <w:lang w:val="en-GB"/>
        </w:rPr>
        <w:t>. Our results also suggest that isolation from seed sources may amplify the importance of the identity of specific species. This is particularly relevant as land use change, and the habitat fragmentation that follows it, is currently regarded as the largest cause of biodiversity change globally</w:t>
      </w:r>
      <w:r w:rsidR="0068758F">
        <w:rPr>
          <w:rFonts w:cs="Times New Roman"/>
          <w:sz w:val="24"/>
          <w:szCs w:val="24"/>
          <w:lang w:val="en-GB"/>
        </w:rPr>
        <w:t xml:space="preserve"> </w:t>
      </w:r>
      <w:r w:rsidR="0068758F">
        <w:rPr>
          <w:rFonts w:cs="Times New Roman"/>
          <w:sz w:val="24"/>
          <w:szCs w:val="24"/>
          <w:lang w:val="en-GB"/>
        </w:rPr>
        <w:fldChar w:fldCharType="begin"/>
      </w:r>
      <w:r w:rsidR="0068758F">
        <w:rPr>
          <w:rFonts w:cs="Times New Roman"/>
          <w:sz w:val="24"/>
          <w:szCs w:val="24"/>
          <w:lang w:val="en-GB"/>
        </w:rPr>
        <w:instrText xml:space="preserve"> ADDIN ZOTERO_ITEM CSL_CITATION {"citationID":"vU6MF5LQ","properties":{"formattedCitation":"(Intergovernmental Science-Policy Platform on Biodiversity and Ecosystem Services 2019)","plainCitation":"(Intergovernmental Science-Policy Platform on Biodiversity and Ecosystem Services 2019)","noteIndex":0},"citationItems":[{"id":4151,"uris":["http://zotero.org/users/961091/items/RVGCJNX7"],"uri":["http://zotero.org/users/961091/items/RVGCJNX7"],"itemData":{"id":4151,"type":"article-journal","abstract":"IPBES is an independent intergovernmental body comprising over 130 member Governments. Established by Governments in 2012, IPBES provides policymakers with objective scientific assessments about the state of knowledge regarding the planet’s biodiversity, ecosystems and the contributions they make to people, as well as options and actions to protect and sustainably use these vital natural assets. The IPBES Global Assessment of Biodiversity and Ecosystem Services represents the landmark product of the first work programme of IPBES (2014-2018). The Global Assessment was initiated following a decision from the IPBES Plenary at its fourth session (IPBES 4, Kuala Lumpur, 2016), and considered by the IPBES Plenary at its seventh session (IPBES 7, Paris, 2019). It is composed of a summary for policymakers, which was approved at IPBES 7, and six chapters, which were accepted at IPBES 7.","DOI":"10.5281/zenodo.3553579","language":"en","source":"zenodo.org","title":"Summary for policymakers of the global assessment report on biodiversity and ecosystem services","URL":"https://zenodo.org/record/3553579","author":[{"family":"Intergovernmental Science-Policy Platform on Biodiversity and Ecosystem Services","given":"Ipbes"}],"accessed":{"date-parts":[["2020",11,20]]},"issued":{"date-parts":[["2019",11,25]]}}}],"schema":"https://github.com/citation-style-language/schema/raw/master/csl-citation.json"} </w:instrText>
      </w:r>
      <w:r w:rsidR="0068758F">
        <w:rPr>
          <w:rFonts w:cs="Times New Roman"/>
          <w:sz w:val="24"/>
          <w:szCs w:val="24"/>
          <w:lang w:val="en-GB"/>
        </w:rPr>
        <w:fldChar w:fldCharType="separate"/>
      </w:r>
      <w:r w:rsidR="0068758F">
        <w:rPr>
          <w:rFonts w:cs="Times New Roman"/>
          <w:noProof/>
          <w:sz w:val="24"/>
          <w:szCs w:val="24"/>
          <w:lang w:val="en-GB"/>
        </w:rPr>
        <w:t>(Intergovernmental Science-Policy Platform on Biodiversity and Ecosystem Services 2019)</w:t>
      </w:r>
      <w:r w:rsidR="0068758F">
        <w:rPr>
          <w:rFonts w:cs="Times New Roman"/>
          <w:sz w:val="24"/>
          <w:szCs w:val="24"/>
          <w:lang w:val="en-GB"/>
        </w:rPr>
        <w:fldChar w:fldCharType="end"/>
      </w:r>
      <w:r w:rsidRPr="00613D1C">
        <w:rPr>
          <w:rFonts w:cs="Times New Roman"/>
          <w:sz w:val="24"/>
          <w:szCs w:val="24"/>
          <w:lang w:val="en-GB"/>
        </w:rPr>
        <w:t xml:space="preserve">. By comparing the outputs from six well-understood models that incorporate different community assembly mechanisms, we were able to identify an emergent community metric – the function-dominance correlation – that drives variation in BEF relationships. This synthesis provides key information about how changes in community composition rather than biodiversity loss </w:t>
      </w:r>
      <w:r w:rsidRPr="003515EC">
        <w:rPr>
          <w:rFonts w:cs="Times New Roman"/>
          <w:i/>
          <w:iCs/>
          <w:sz w:val="24"/>
          <w:szCs w:val="24"/>
          <w:lang w:val="en-GB"/>
        </w:rPr>
        <w:t>per se</w:t>
      </w:r>
      <w:r w:rsidRPr="00613D1C">
        <w:rPr>
          <w:rFonts w:cs="Times New Roman"/>
          <w:sz w:val="24"/>
          <w:szCs w:val="24"/>
          <w:lang w:val="en-GB"/>
        </w:rPr>
        <w:t xml:space="preserve"> are likely to influence ecosystem functioning under global change. </w:t>
      </w:r>
    </w:p>
    <w:p w14:paraId="00000076" w14:textId="77777777" w:rsidR="007F1434" w:rsidRPr="00613D1C" w:rsidRDefault="007F1434" w:rsidP="00613D1C">
      <w:pPr>
        <w:spacing w:line="360" w:lineRule="auto"/>
        <w:rPr>
          <w:rFonts w:cs="Times New Roman"/>
          <w:sz w:val="24"/>
          <w:szCs w:val="24"/>
          <w:lang w:val="en-GB"/>
        </w:rPr>
      </w:pPr>
    </w:p>
    <w:p w14:paraId="00000077" w14:textId="77777777" w:rsidR="007F1434" w:rsidRPr="00613D1C" w:rsidRDefault="000236F3" w:rsidP="00613D1C">
      <w:pPr>
        <w:spacing w:line="360" w:lineRule="auto"/>
        <w:rPr>
          <w:rFonts w:cs="Times New Roman"/>
          <w:b/>
          <w:sz w:val="24"/>
          <w:szCs w:val="24"/>
          <w:lang w:val="en-GB"/>
        </w:rPr>
      </w:pPr>
      <w:r w:rsidRPr="00613D1C">
        <w:rPr>
          <w:rFonts w:cs="Times New Roman"/>
          <w:b/>
          <w:sz w:val="24"/>
          <w:szCs w:val="24"/>
          <w:lang w:val="en-GB"/>
        </w:rPr>
        <w:t>AUTHOR CONTRIBUTIONS</w:t>
      </w:r>
    </w:p>
    <w:p w14:paraId="00000078" w14:textId="77777777" w:rsidR="007F1434" w:rsidRPr="00613D1C" w:rsidRDefault="007F1434" w:rsidP="00613D1C">
      <w:pPr>
        <w:spacing w:line="360" w:lineRule="auto"/>
        <w:rPr>
          <w:rFonts w:cs="Times New Roman"/>
          <w:sz w:val="24"/>
          <w:szCs w:val="24"/>
          <w:lang w:val="en-GB"/>
        </w:rPr>
      </w:pPr>
    </w:p>
    <w:p w14:paraId="00000079" w14:textId="77777777"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 xml:space="preserve">This study was devised as a product of a collaborative workshop attended by all authors. MC, NR, ATC, IM, FM, BR, and LAT designed the initial model intercomparison </w:t>
      </w:r>
      <w:r w:rsidRPr="00613D1C">
        <w:rPr>
          <w:rFonts w:cs="Times New Roman"/>
          <w:sz w:val="24"/>
          <w:szCs w:val="24"/>
          <w:lang w:val="en-GB"/>
        </w:rPr>
        <w:lastRenderedPageBreak/>
        <w:t xml:space="preserve">project with feedback from other authors. MC, ATC, IM, CF, and BR performed modelling experiments on individual models and provided data and feedback to MC. MC conducted model intercomparison analyses with input from NR, KEB, and ATC. MC, KEB, NR, and ATC wrote and revised initial drafts of the manuscript. All authors contributed to the revision of the manuscript. </w:t>
      </w:r>
    </w:p>
    <w:p w14:paraId="0000007A" w14:textId="77777777" w:rsidR="007F1434" w:rsidRPr="00613D1C" w:rsidRDefault="007F1434" w:rsidP="00613D1C">
      <w:pPr>
        <w:spacing w:line="360" w:lineRule="auto"/>
        <w:rPr>
          <w:rFonts w:cs="Times New Roman"/>
          <w:sz w:val="24"/>
          <w:szCs w:val="24"/>
          <w:lang w:val="en-GB"/>
        </w:rPr>
      </w:pPr>
    </w:p>
    <w:p w14:paraId="0000007B" w14:textId="77777777" w:rsidR="007F1434" w:rsidRPr="00DA4999" w:rsidRDefault="000236F3" w:rsidP="00613D1C">
      <w:pPr>
        <w:spacing w:line="360" w:lineRule="auto"/>
        <w:rPr>
          <w:rFonts w:cs="Times New Roman"/>
          <w:b/>
          <w:sz w:val="24"/>
          <w:szCs w:val="24"/>
          <w:lang w:val="en-GB"/>
        </w:rPr>
      </w:pPr>
      <w:r w:rsidRPr="00DA4999">
        <w:rPr>
          <w:rFonts w:cs="Times New Roman"/>
          <w:b/>
          <w:sz w:val="24"/>
          <w:szCs w:val="24"/>
          <w:lang w:val="en-GB"/>
        </w:rPr>
        <w:t>ACKNOWLEDGEMENTS</w:t>
      </w:r>
    </w:p>
    <w:p w14:paraId="0000007C" w14:textId="77777777" w:rsidR="007F1434" w:rsidRPr="00613D1C" w:rsidRDefault="007F1434" w:rsidP="00613D1C">
      <w:pPr>
        <w:spacing w:line="360" w:lineRule="auto"/>
        <w:rPr>
          <w:rFonts w:cs="Times New Roman"/>
          <w:sz w:val="24"/>
          <w:szCs w:val="24"/>
          <w:lang w:val="en-GB"/>
        </w:rPr>
      </w:pPr>
    </w:p>
    <w:p w14:paraId="0000007D" w14:textId="77777777" w:rsidR="007F1434" w:rsidRPr="00613D1C" w:rsidRDefault="000236F3" w:rsidP="00613D1C">
      <w:pPr>
        <w:spacing w:line="360" w:lineRule="auto"/>
        <w:ind w:firstLine="720"/>
        <w:rPr>
          <w:rFonts w:cs="Times New Roman"/>
          <w:sz w:val="24"/>
          <w:szCs w:val="24"/>
          <w:lang w:val="en-GB"/>
        </w:rPr>
      </w:pPr>
      <w:r w:rsidRPr="00613D1C">
        <w:rPr>
          <w:rFonts w:cs="Times New Roman"/>
          <w:sz w:val="24"/>
          <w:szCs w:val="24"/>
          <w:lang w:val="en-GB"/>
        </w:rPr>
        <w:t xml:space="preserve">This paper is a product of the </w:t>
      </w:r>
      <w:proofErr w:type="spellStart"/>
      <w:r w:rsidRPr="00613D1C">
        <w:rPr>
          <w:rFonts w:cs="Times New Roman"/>
          <w:sz w:val="24"/>
          <w:szCs w:val="24"/>
          <w:lang w:val="en-GB"/>
        </w:rPr>
        <w:t>SimNet</w:t>
      </w:r>
      <w:proofErr w:type="spellEnd"/>
      <w:r w:rsidRPr="00613D1C">
        <w:rPr>
          <w:rFonts w:cs="Times New Roman"/>
          <w:sz w:val="24"/>
          <w:szCs w:val="24"/>
          <w:lang w:val="en-GB"/>
        </w:rPr>
        <w:t xml:space="preserve"> workshop funded by the </w:t>
      </w:r>
      <w:proofErr w:type="spellStart"/>
      <w:r w:rsidRPr="00613D1C">
        <w:rPr>
          <w:rFonts w:cs="Times New Roman"/>
          <w:sz w:val="24"/>
          <w:szCs w:val="24"/>
          <w:lang w:val="en-GB"/>
        </w:rPr>
        <w:t>FlexPool</w:t>
      </w:r>
      <w:proofErr w:type="spellEnd"/>
      <w:r w:rsidRPr="00613D1C">
        <w:rPr>
          <w:rFonts w:cs="Times New Roman"/>
          <w:sz w:val="24"/>
          <w:szCs w:val="24"/>
          <w:lang w:val="en-GB"/>
        </w:rPr>
        <w:t xml:space="preserve"> initiative (grant #34600966) – the internal funding mechanism of the German Centre for Integrative Biodiversity Research (</w:t>
      </w:r>
      <w:proofErr w:type="spellStart"/>
      <w:r w:rsidRPr="00613D1C">
        <w:rPr>
          <w:rFonts w:cs="Times New Roman"/>
          <w:sz w:val="24"/>
          <w:szCs w:val="24"/>
          <w:lang w:val="en-GB"/>
        </w:rPr>
        <w:t>iDiv</w:t>
      </w:r>
      <w:proofErr w:type="spellEnd"/>
      <w:r w:rsidRPr="00613D1C">
        <w:rPr>
          <w:rFonts w:cs="Times New Roman"/>
          <w:sz w:val="24"/>
          <w:szCs w:val="24"/>
          <w:lang w:val="en-GB"/>
        </w:rPr>
        <w:t xml:space="preserve">) Halle-Jena-Leipzig, a research centre of the German Research Foundation (DFG – FZT 118, 202548816). We are grateful to Volker Grimm and Jonathan Chase for their helpful comments throughout the planning and execution of this project. KEB was funded by the </w:t>
      </w:r>
      <w:proofErr w:type="spellStart"/>
      <w:r w:rsidRPr="00613D1C">
        <w:rPr>
          <w:rFonts w:cs="Times New Roman"/>
          <w:sz w:val="24"/>
          <w:szCs w:val="24"/>
          <w:lang w:val="en-GB"/>
        </w:rPr>
        <w:t>iDiv</w:t>
      </w:r>
      <w:proofErr w:type="spellEnd"/>
      <w:r w:rsidRPr="00613D1C">
        <w:rPr>
          <w:rFonts w:cs="Times New Roman"/>
          <w:sz w:val="24"/>
          <w:szCs w:val="24"/>
          <w:lang w:val="en-GB"/>
        </w:rPr>
        <w:t xml:space="preserve"> </w:t>
      </w:r>
      <w:proofErr w:type="spellStart"/>
      <w:r w:rsidRPr="00613D1C">
        <w:rPr>
          <w:rFonts w:cs="Times New Roman"/>
          <w:sz w:val="24"/>
          <w:szCs w:val="24"/>
          <w:lang w:val="en-GB"/>
        </w:rPr>
        <w:t>FlexPool</w:t>
      </w:r>
      <w:proofErr w:type="spellEnd"/>
      <w:r w:rsidRPr="00613D1C">
        <w:rPr>
          <w:rFonts w:cs="Times New Roman"/>
          <w:sz w:val="24"/>
          <w:szCs w:val="24"/>
          <w:lang w:val="en-GB"/>
        </w:rPr>
        <w:t xml:space="preserve"> initiative (grant #34600900). </w:t>
      </w:r>
      <w:r w:rsidRPr="00613D1C">
        <w:rPr>
          <w:rFonts w:cs="Times New Roman"/>
          <w:color w:val="212121"/>
          <w:sz w:val="24"/>
          <w:szCs w:val="24"/>
          <w:highlight w:val="white"/>
          <w:lang w:val="en-GB"/>
        </w:rPr>
        <w:t xml:space="preserve">JL acknowledges sabbatical fellowship support from </w:t>
      </w:r>
      <w:proofErr w:type="spellStart"/>
      <w:r w:rsidRPr="00613D1C">
        <w:rPr>
          <w:rFonts w:cs="Times New Roman"/>
          <w:color w:val="212121"/>
          <w:sz w:val="24"/>
          <w:szCs w:val="24"/>
          <w:highlight w:val="white"/>
          <w:lang w:val="en-GB"/>
        </w:rPr>
        <w:t>sDiv</w:t>
      </w:r>
      <w:proofErr w:type="spellEnd"/>
      <w:r w:rsidRPr="00613D1C">
        <w:rPr>
          <w:rFonts w:cs="Times New Roman"/>
          <w:color w:val="212121"/>
          <w:sz w:val="24"/>
          <w:szCs w:val="24"/>
          <w:highlight w:val="white"/>
          <w:lang w:val="en-GB"/>
        </w:rPr>
        <w:t xml:space="preserve">, the Synthesis Centre of </w:t>
      </w:r>
      <w:proofErr w:type="spellStart"/>
      <w:r w:rsidRPr="00613D1C">
        <w:rPr>
          <w:rFonts w:cs="Times New Roman"/>
          <w:color w:val="212121"/>
          <w:sz w:val="24"/>
          <w:szCs w:val="24"/>
          <w:highlight w:val="white"/>
          <w:lang w:val="en-GB"/>
        </w:rPr>
        <w:t>iDiv</w:t>
      </w:r>
      <w:proofErr w:type="spellEnd"/>
      <w:r w:rsidRPr="00613D1C">
        <w:rPr>
          <w:rFonts w:cs="Times New Roman"/>
          <w:color w:val="212121"/>
          <w:sz w:val="24"/>
          <w:szCs w:val="24"/>
          <w:highlight w:val="white"/>
          <w:lang w:val="en-GB"/>
        </w:rPr>
        <w:t xml:space="preserve"> (</w:t>
      </w:r>
      <w:r w:rsidRPr="00613D1C">
        <w:rPr>
          <w:rFonts w:cs="Times New Roman"/>
          <w:sz w:val="24"/>
          <w:szCs w:val="24"/>
          <w:lang w:val="en-GB"/>
        </w:rPr>
        <w:t>DFG – FZT 118, 202548816</w:t>
      </w:r>
      <w:r w:rsidRPr="00613D1C">
        <w:rPr>
          <w:rFonts w:cs="Times New Roman"/>
          <w:color w:val="212121"/>
          <w:sz w:val="24"/>
          <w:szCs w:val="24"/>
          <w:highlight w:val="white"/>
          <w:lang w:val="en-GB"/>
        </w:rPr>
        <w:t>).</w:t>
      </w:r>
      <w:r w:rsidRPr="00613D1C">
        <w:rPr>
          <w:rFonts w:cs="Times New Roman"/>
          <w:sz w:val="24"/>
          <w:szCs w:val="24"/>
          <w:lang w:val="en-GB"/>
        </w:rPr>
        <w:t xml:space="preserve"> IM acknowledges funding from ‘</w:t>
      </w:r>
      <w:proofErr w:type="spellStart"/>
      <w:r w:rsidRPr="00613D1C">
        <w:rPr>
          <w:rFonts w:cs="Times New Roman"/>
          <w:sz w:val="24"/>
          <w:szCs w:val="24"/>
          <w:lang w:val="en-GB"/>
        </w:rPr>
        <w:t>Investissement</w:t>
      </w:r>
      <w:proofErr w:type="spellEnd"/>
      <w:r w:rsidRPr="00613D1C">
        <w:rPr>
          <w:rFonts w:cs="Times New Roman"/>
          <w:sz w:val="24"/>
          <w:szCs w:val="24"/>
          <w:lang w:val="en-GB"/>
        </w:rPr>
        <w:t xml:space="preserve"> </w:t>
      </w:r>
      <w:proofErr w:type="spellStart"/>
      <w:r w:rsidRPr="00613D1C">
        <w:rPr>
          <w:rFonts w:cs="Times New Roman"/>
          <w:sz w:val="24"/>
          <w:szCs w:val="24"/>
          <w:lang w:val="en-GB"/>
        </w:rPr>
        <w:t>d’Avenir</w:t>
      </w:r>
      <w:proofErr w:type="spellEnd"/>
      <w:r w:rsidRPr="00613D1C">
        <w:rPr>
          <w:rFonts w:cs="Times New Roman"/>
          <w:sz w:val="24"/>
          <w:szCs w:val="24"/>
          <w:lang w:val="en-GB"/>
        </w:rPr>
        <w:t xml:space="preserve">’ managed by </w:t>
      </w:r>
      <w:proofErr w:type="spellStart"/>
      <w:r w:rsidRPr="00613D1C">
        <w:rPr>
          <w:rFonts w:cs="Times New Roman"/>
          <w:sz w:val="24"/>
          <w:szCs w:val="24"/>
          <w:lang w:val="en-GB"/>
        </w:rPr>
        <w:t>Agence</w:t>
      </w:r>
      <w:proofErr w:type="spellEnd"/>
      <w:r w:rsidRPr="00613D1C">
        <w:rPr>
          <w:rFonts w:cs="Times New Roman"/>
          <w:sz w:val="24"/>
          <w:szCs w:val="24"/>
          <w:lang w:val="en-GB"/>
        </w:rPr>
        <w:t xml:space="preserve"> National de la Recherche (CEBA, ref. ANR-10-LABX-25-01; TULIP, ref. ANR-10-LABX-0041). NR acknowledges support by a research grant from Deutsche </w:t>
      </w:r>
      <w:proofErr w:type="spellStart"/>
      <w:r w:rsidRPr="00613D1C">
        <w:rPr>
          <w:rFonts w:cs="Times New Roman"/>
          <w:sz w:val="24"/>
          <w:szCs w:val="24"/>
          <w:lang w:val="en-GB"/>
        </w:rPr>
        <w:t>Forschungsgemeinschaft</w:t>
      </w:r>
      <w:proofErr w:type="spellEnd"/>
      <w:r w:rsidRPr="00613D1C">
        <w:rPr>
          <w:rFonts w:cs="Times New Roman"/>
          <w:sz w:val="24"/>
          <w:szCs w:val="24"/>
          <w:lang w:val="en-GB"/>
        </w:rPr>
        <w:t xml:space="preserve"> DFG (RU 1536/3-1). MC and NR were supported by the </w:t>
      </w:r>
      <w:proofErr w:type="spellStart"/>
      <w:r w:rsidRPr="00613D1C">
        <w:rPr>
          <w:rFonts w:cs="Times New Roman"/>
          <w:sz w:val="24"/>
          <w:szCs w:val="24"/>
          <w:lang w:val="en-GB"/>
        </w:rPr>
        <w:t>iDiv</w:t>
      </w:r>
      <w:proofErr w:type="spellEnd"/>
      <w:r w:rsidRPr="00613D1C">
        <w:rPr>
          <w:rFonts w:cs="Times New Roman"/>
          <w:sz w:val="24"/>
          <w:szCs w:val="24"/>
          <w:lang w:val="en-GB"/>
        </w:rPr>
        <w:t xml:space="preserve"> </w:t>
      </w:r>
      <w:proofErr w:type="spellStart"/>
      <w:r w:rsidRPr="00613D1C">
        <w:rPr>
          <w:rFonts w:cs="Times New Roman"/>
          <w:sz w:val="24"/>
          <w:szCs w:val="24"/>
          <w:lang w:val="en-GB"/>
        </w:rPr>
        <w:t>flexpool</w:t>
      </w:r>
      <w:proofErr w:type="spellEnd"/>
      <w:r w:rsidRPr="00613D1C">
        <w:rPr>
          <w:rFonts w:cs="Times New Roman"/>
          <w:sz w:val="24"/>
          <w:szCs w:val="24"/>
          <w:lang w:val="en-GB"/>
        </w:rPr>
        <w:t xml:space="preserve"> initiative (grant #34600967 and #34600970). </w:t>
      </w:r>
    </w:p>
    <w:p w14:paraId="0000007E" w14:textId="77777777" w:rsidR="007F1434" w:rsidRPr="00613D1C" w:rsidRDefault="007F1434" w:rsidP="00613D1C">
      <w:pPr>
        <w:spacing w:line="360" w:lineRule="auto"/>
        <w:rPr>
          <w:rFonts w:cs="Times New Roman"/>
          <w:sz w:val="24"/>
          <w:szCs w:val="24"/>
          <w:lang w:val="en-GB"/>
        </w:rPr>
      </w:pPr>
    </w:p>
    <w:p w14:paraId="0000007F" w14:textId="00E3DFF9" w:rsidR="007F1434" w:rsidRDefault="000236F3" w:rsidP="00613D1C">
      <w:pPr>
        <w:spacing w:line="360" w:lineRule="auto"/>
        <w:rPr>
          <w:rFonts w:cs="Times New Roman"/>
          <w:b/>
          <w:sz w:val="24"/>
          <w:szCs w:val="24"/>
          <w:lang w:val="en-GB"/>
        </w:rPr>
      </w:pPr>
      <w:r w:rsidRPr="00613D1C">
        <w:rPr>
          <w:rFonts w:cs="Times New Roman"/>
          <w:b/>
          <w:sz w:val="24"/>
          <w:szCs w:val="24"/>
          <w:lang w:val="en-GB"/>
        </w:rPr>
        <w:t>REFERENCES</w:t>
      </w:r>
    </w:p>
    <w:p w14:paraId="4114062F" w14:textId="77777777" w:rsidR="005006D3" w:rsidRPr="00613D1C" w:rsidRDefault="005006D3" w:rsidP="00613D1C">
      <w:pPr>
        <w:spacing w:line="360" w:lineRule="auto"/>
        <w:rPr>
          <w:rFonts w:cs="Times New Roman"/>
          <w:b/>
          <w:sz w:val="24"/>
          <w:szCs w:val="24"/>
          <w:lang w:val="en-GB"/>
        </w:rPr>
      </w:pPr>
    </w:p>
    <w:p w14:paraId="6627F354" w14:textId="77777777" w:rsidR="00921D16" w:rsidRPr="00921D16" w:rsidRDefault="0068758F" w:rsidP="00921D16">
      <w:pPr>
        <w:pStyle w:val="Bibliography"/>
        <w:spacing w:line="360" w:lineRule="auto"/>
        <w:rPr>
          <w:rFonts w:cs="Times New Roman"/>
          <w:sz w:val="24"/>
        </w:rPr>
      </w:pPr>
      <w:r>
        <w:rPr>
          <w:sz w:val="24"/>
          <w:szCs w:val="24"/>
          <w:lang w:val="en-GB"/>
        </w:rPr>
        <w:fldChar w:fldCharType="begin"/>
      </w:r>
      <w:r w:rsidR="00921D16">
        <w:rPr>
          <w:sz w:val="24"/>
          <w:szCs w:val="24"/>
          <w:lang w:val="en-GB"/>
        </w:rPr>
        <w:instrText xml:space="preserve"> ADDIN ZOTERO_BIBL {"uncited":[],"omitted":[],"custom":[]} CSL_BIBLIOGRAPHY </w:instrText>
      </w:r>
      <w:r>
        <w:rPr>
          <w:sz w:val="24"/>
          <w:szCs w:val="24"/>
          <w:lang w:val="en-GB"/>
        </w:rPr>
        <w:fldChar w:fldCharType="separate"/>
      </w:r>
      <w:r w:rsidR="00921D16" w:rsidRPr="00921D16">
        <w:rPr>
          <w:rFonts w:cs="Times New Roman"/>
          <w:sz w:val="24"/>
        </w:rPr>
        <w:t xml:space="preserve">Allan, E., Weisser, W.W., Fischer, M., Schulze, E.-D., Weigelt, A., Roscher, C., </w:t>
      </w:r>
      <w:r w:rsidR="00921D16" w:rsidRPr="00921D16">
        <w:rPr>
          <w:rFonts w:cs="Times New Roman"/>
          <w:i/>
          <w:iCs/>
          <w:sz w:val="24"/>
        </w:rPr>
        <w:t>et al.</w:t>
      </w:r>
      <w:r w:rsidR="00921D16" w:rsidRPr="00921D16">
        <w:rPr>
          <w:rFonts w:cs="Times New Roman"/>
          <w:sz w:val="24"/>
        </w:rPr>
        <w:t xml:space="preserve"> (2013). A comparison of the strength of biodiversity effects across multiple functions. </w:t>
      </w:r>
      <w:r w:rsidR="00921D16" w:rsidRPr="00921D16">
        <w:rPr>
          <w:rFonts w:cs="Times New Roman"/>
          <w:i/>
          <w:iCs/>
          <w:sz w:val="24"/>
        </w:rPr>
        <w:t>Oecologia</w:t>
      </w:r>
      <w:r w:rsidR="00921D16" w:rsidRPr="00921D16">
        <w:rPr>
          <w:rFonts w:cs="Times New Roman"/>
          <w:sz w:val="24"/>
        </w:rPr>
        <w:t>, 173, 223–237.</w:t>
      </w:r>
    </w:p>
    <w:p w14:paraId="25AEB8C8"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Aubry-Kientz, M., Rossi, V., Cornu, G., Wagner, F. &amp; Hérault, B. (2019). Temperature rising would slow down tropical forest dynamic in the Guiana Shield. </w:t>
      </w:r>
      <w:r w:rsidRPr="00921D16">
        <w:rPr>
          <w:rFonts w:cs="Times New Roman"/>
          <w:i/>
          <w:iCs/>
          <w:sz w:val="24"/>
        </w:rPr>
        <w:t>Scientific Reports</w:t>
      </w:r>
      <w:r w:rsidRPr="00921D16">
        <w:rPr>
          <w:rFonts w:cs="Times New Roman"/>
          <w:sz w:val="24"/>
        </w:rPr>
        <w:t>, 9, 10235.</w:t>
      </w:r>
    </w:p>
    <w:p w14:paraId="3AF38D46"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Barry, K.E., de Kroon, H., Dietrich, P., Stanley Harpole, W., Roeder, A., Schmid, B., </w:t>
      </w:r>
      <w:r w:rsidRPr="00921D16">
        <w:rPr>
          <w:rFonts w:cs="Times New Roman"/>
          <w:i/>
          <w:iCs/>
          <w:sz w:val="24"/>
        </w:rPr>
        <w:t>et al.</w:t>
      </w:r>
      <w:r w:rsidRPr="00921D16">
        <w:rPr>
          <w:rFonts w:cs="Times New Roman"/>
          <w:sz w:val="24"/>
        </w:rPr>
        <w:t xml:space="preserve"> (2019a). Linking local species coexistence to ecosystem functioning: a conceptual framework from ecological first principles in grassland ecosystems. In: </w:t>
      </w:r>
      <w:r w:rsidRPr="00921D16">
        <w:rPr>
          <w:rFonts w:cs="Times New Roman"/>
          <w:i/>
          <w:iCs/>
          <w:sz w:val="24"/>
        </w:rPr>
        <w:t>Advances in Ecological Research</w:t>
      </w:r>
      <w:r w:rsidRPr="00921D16">
        <w:rPr>
          <w:rFonts w:cs="Times New Roman"/>
          <w:sz w:val="24"/>
        </w:rPr>
        <w:t>. Elsevier, pp. 265–296.</w:t>
      </w:r>
    </w:p>
    <w:p w14:paraId="2C7F8E3F" w14:textId="77777777" w:rsidR="00921D16" w:rsidRPr="00921D16" w:rsidRDefault="00921D16" w:rsidP="00921D16">
      <w:pPr>
        <w:pStyle w:val="Bibliography"/>
        <w:spacing w:line="360" w:lineRule="auto"/>
        <w:rPr>
          <w:rFonts w:cs="Times New Roman"/>
          <w:sz w:val="24"/>
        </w:rPr>
      </w:pPr>
      <w:r w:rsidRPr="00921D16">
        <w:rPr>
          <w:rFonts w:cs="Times New Roman"/>
          <w:sz w:val="24"/>
        </w:rPr>
        <w:lastRenderedPageBreak/>
        <w:t xml:space="preserve">Barry, K.E., Mommer, L., van Ruijven, J., Wirth, C., Wright, A.J., Bai, Y., </w:t>
      </w:r>
      <w:r w:rsidRPr="00921D16">
        <w:rPr>
          <w:rFonts w:cs="Times New Roman"/>
          <w:i/>
          <w:iCs/>
          <w:sz w:val="24"/>
        </w:rPr>
        <w:t>et al.</w:t>
      </w:r>
      <w:r w:rsidRPr="00921D16">
        <w:rPr>
          <w:rFonts w:cs="Times New Roman"/>
          <w:sz w:val="24"/>
        </w:rPr>
        <w:t xml:space="preserve"> (2019b). The Future of Complementarity: Disentangling Causes from Consequences. </w:t>
      </w:r>
      <w:r w:rsidRPr="00921D16">
        <w:rPr>
          <w:rFonts w:cs="Times New Roman"/>
          <w:i/>
          <w:iCs/>
          <w:sz w:val="24"/>
        </w:rPr>
        <w:t>Trends in Ecology &amp; Evolution</w:t>
      </w:r>
      <w:r w:rsidRPr="00921D16">
        <w:rPr>
          <w:rFonts w:cs="Times New Roman"/>
          <w:sz w:val="24"/>
        </w:rPr>
        <w:t>, 34, 167–180.</w:t>
      </w:r>
    </w:p>
    <w:p w14:paraId="3480DC3B"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Barry, K.E., Ruijven, J. van, Mommer, L., Bai, Y., Beierkuhnlein, C., Buchmann, N., </w:t>
      </w:r>
      <w:r w:rsidRPr="00921D16">
        <w:rPr>
          <w:rFonts w:cs="Times New Roman"/>
          <w:i/>
          <w:iCs/>
          <w:sz w:val="24"/>
        </w:rPr>
        <w:t>et al.</w:t>
      </w:r>
      <w:r w:rsidRPr="00921D16">
        <w:rPr>
          <w:rFonts w:cs="Times New Roman"/>
          <w:sz w:val="24"/>
        </w:rPr>
        <w:t xml:space="preserve"> (2020). Limited evidence for spatial resource partitioning across temperate grassland biodiversity experiments. </w:t>
      </w:r>
      <w:r w:rsidRPr="00921D16">
        <w:rPr>
          <w:rFonts w:cs="Times New Roman"/>
          <w:i/>
          <w:iCs/>
          <w:sz w:val="24"/>
        </w:rPr>
        <w:t>Ecology</w:t>
      </w:r>
      <w:r w:rsidRPr="00921D16">
        <w:rPr>
          <w:rFonts w:cs="Times New Roman"/>
          <w:sz w:val="24"/>
        </w:rPr>
        <w:t>, 101, e02905.</w:t>
      </w:r>
    </w:p>
    <w:p w14:paraId="4E8D9900"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Blowes, S.A., Supp, S.R., Antão, L.H., Bates, A., Bruelheide, H., Chase, J.M., </w:t>
      </w:r>
      <w:r w:rsidRPr="00921D16">
        <w:rPr>
          <w:rFonts w:cs="Times New Roman"/>
          <w:i/>
          <w:iCs/>
          <w:sz w:val="24"/>
        </w:rPr>
        <w:t>et al.</w:t>
      </w:r>
      <w:r w:rsidRPr="00921D16">
        <w:rPr>
          <w:rFonts w:cs="Times New Roman"/>
          <w:sz w:val="24"/>
        </w:rPr>
        <w:t xml:space="preserve"> (2019). The geography of biodiversity change in marine and terrestrial assemblages. </w:t>
      </w:r>
      <w:r w:rsidRPr="00921D16">
        <w:rPr>
          <w:rFonts w:cs="Times New Roman"/>
          <w:i/>
          <w:iCs/>
          <w:sz w:val="24"/>
        </w:rPr>
        <w:t>Science</w:t>
      </w:r>
      <w:r w:rsidRPr="00921D16">
        <w:rPr>
          <w:rFonts w:cs="Times New Roman"/>
          <w:sz w:val="24"/>
        </w:rPr>
        <w:t>, 366, 339–345.</w:t>
      </w:r>
    </w:p>
    <w:p w14:paraId="29337F7A"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Bürkner, P.-C. (2017). brms: An R Package for Bayesian Multilevel Models Using Stan. </w:t>
      </w:r>
      <w:r w:rsidRPr="00921D16">
        <w:rPr>
          <w:rFonts w:cs="Times New Roman"/>
          <w:i/>
          <w:iCs/>
          <w:sz w:val="24"/>
        </w:rPr>
        <w:t>Journal of Statistical Software</w:t>
      </w:r>
      <w:r w:rsidRPr="00921D16">
        <w:rPr>
          <w:rFonts w:cs="Times New Roman"/>
          <w:sz w:val="24"/>
        </w:rPr>
        <w:t>, 80, 1–28.</w:t>
      </w:r>
    </w:p>
    <w:p w14:paraId="37AE2311"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Carpenter, B., Gelman, A., Hoffman, M.D., Lee, D., Goodrich, B., Betancourt, M., </w:t>
      </w:r>
      <w:r w:rsidRPr="00921D16">
        <w:rPr>
          <w:rFonts w:cs="Times New Roman"/>
          <w:i/>
          <w:iCs/>
          <w:sz w:val="24"/>
        </w:rPr>
        <w:t>et al.</w:t>
      </w:r>
      <w:r w:rsidRPr="00921D16">
        <w:rPr>
          <w:rFonts w:cs="Times New Roman"/>
          <w:sz w:val="24"/>
        </w:rPr>
        <w:t xml:space="preserve"> (2017). Stan : A Probabilistic Programming Language. </w:t>
      </w:r>
      <w:r w:rsidRPr="00921D16">
        <w:rPr>
          <w:rFonts w:cs="Times New Roman"/>
          <w:i/>
          <w:iCs/>
          <w:sz w:val="24"/>
        </w:rPr>
        <w:t>Journal of Statistical Software</w:t>
      </w:r>
      <w:r w:rsidRPr="00921D16">
        <w:rPr>
          <w:rFonts w:cs="Times New Roman"/>
          <w:sz w:val="24"/>
        </w:rPr>
        <w:t>, 76.</w:t>
      </w:r>
    </w:p>
    <w:p w14:paraId="2E842269"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Clark, A.T., Barry, K.E., Roscher, C., Buchmann, T., Loreau, M. &amp; Harpole, W.S. (2019). How to estimate complementarity and selection effects from an incomplete sample of species. </w:t>
      </w:r>
      <w:r w:rsidRPr="00921D16">
        <w:rPr>
          <w:rFonts w:cs="Times New Roman"/>
          <w:i/>
          <w:iCs/>
          <w:sz w:val="24"/>
        </w:rPr>
        <w:t>Methods in Ecology and Evolution</w:t>
      </w:r>
      <w:r w:rsidRPr="00921D16">
        <w:rPr>
          <w:rFonts w:cs="Times New Roman"/>
          <w:sz w:val="24"/>
        </w:rPr>
        <w:t>, 10, 2141–2152.</w:t>
      </w:r>
    </w:p>
    <w:p w14:paraId="1E28EAD1"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Clark, A.T., Lehman, C. &amp; Tilman, D. (2018). Identifying mechanisms that structure ecological communities by snapping model parameters to empirically observed tradeoffs. </w:t>
      </w:r>
      <w:r w:rsidRPr="00921D16">
        <w:rPr>
          <w:rFonts w:cs="Times New Roman"/>
          <w:i/>
          <w:iCs/>
          <w:sz w:val="24"/>
        </w:rPr>
        <w:t>Ecology Letters</w:t>
      </w:r>
      <w:r w:rsidRPr="00921D16">
        <w:rPr>
          <w:rFonts w:cs="Times New Roman"/>
          <w:sz w:val="24"/>
        </w:rPr>
        <w:t>, 21, 494–505.</w:t>
      </w:r>
    </w:p>
    <w:p w14:paraId="22C51125"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Dornelas, M., Gotelli, N.J., McGill, B., Shimadzu, H., Moyes, F., Sievers, C., </w:t>
      </w:r>
      <w:r w:rsidRPr="00921D16">
        <w:rPr>
          <w:rFonts w:cs="Times New Roman"/>
          <w:i/>
          <w:iCs/>
          <w:sz w:val="24"/>
        </w:rPr>
        <w:t>et al.</w:t>
      </w:r>
      <w:r w:rsidRPr="00921D16">
        <w:rPr>
          <w:rFonts w:cs="Times New Roman"/>
          <w:sz w:val="24"/>
        </w:rPr>
        <w:t xml:space="preserve"> (2014). Assemblage Time Series Reveal Biodiversity Change but Not Systematic Loss. </w:t>
      </w:r>
      <w:r w:rsidRPr="00921D16">
        <w:rPr>
          <w:rFonts w:cs="Times New Roman"/>
          <w:i/>
          <w:iCs/>
          <w:sz w:val="24"/>
        </w:rPr>
        <w:t>Science</w:t>
      </w:r>
      <w:r w:rsidRPr="00921D16">
        <w:rPr>
          <w:rFonts w:cs="Times New Roman"/>
          <w:sz w:val="24"/>
        </w:rPr>
        <w:t>, 344, 296–299.</w:t>
      </w:r>
    </w:p>
    <w:p w14:paraId="7D2F7B46"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Duffy, J.E., Godwin, C.M. &amp; Cardinale, B.J. (2017). Biodiversity effects in the wild are common and as strong as key drivers of productivity. </w:t>
      </w:r>
      <w:r w:rsidRPr="00921D16">
        <w:rPr>
          <w:rFonts w:cs="Times New Roman"/>
          <w:i/>
          <w:iCs/>
          <w:sz w:val="24"/>
        </w:rPr>
        <w:t>Nature</w:t>
      </w:r>
      <w:r w:rsidRPr="00921D16">
        <w:rPr>
          <w:rFonts w:cs="Times New Roman"/>
          <w:sz w:val="24"/>
        </w:rPr>
        <w:t>, 549, 261–264.</w:t>
      </w:r>
    </w:p>
    <w:p w14:paraId="21992D89"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Guerrero-Ramírez, N.R., Craven, D., Reich, P.B., Ewel, J.J., Isbell, F., Koricheva, J., </w:t>
      </w:r>
      <w:r w:rsidRPr="00921D16">
        <w:rPr>
          <w:rFonts w:cs="Times New Roman"/>
          <w:i/>
          <w:iCs/>
          <w:sz w:val="24"/>
        </w:rPr>
        <w:t>et al.</w:t>
      </w:r>
      <w:r w:rsidRPr="00921D16">
        <w:rPr>
          <w:rFonts w:cs="Times New Roman"/>
          <w:sz w:val="24"/>
        </w:rPr>
        <w:t xml:space="preserve"> (2017). Diversity-dependent temporal divergence of ecosystem functioning in experimental ecosystems. </w:t>
      </w:r>
      <w:r w:rsidRPr="00921D16">
        <w:rPr>
          <w:rFonts w:cs="Times New Roman"/>
          <w:i/>
          <w:iCs/>
          <w:sz w:val="24"/>
        </w:rPr>
        <w:t>Nature Ecology &amp; Evolution</w:t>
      </w:r>
      <w:r w:rsidRPr="00921D16">
        <w:rPr>
          <w:rFonts w:cs="Times New Roman"/>
          <w:sz w:val="24"/>
        </w:rPr>
        <w:t>, 1, 1639–1642.</w:t>
      </w:r>
    </w:p>
    <w:p w14:paraId="0C74930D"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Holt, R.D. (2013). Species Coexistence. In: </w:t>
      </w:r>
      <w:r w:rsidRPr="00921D16">
        <w:rPr>
          <w:rFonts w:cs="Times New Roman"/>
          <w:i/>
          <w:iCs/>
          <w:sz w:val="24"/>
        </w:rPr>
        <w:t>Encyclopedia of Biodiversity (Second Edition)</w:t>
      </w:r>
      <w:r w:rsidRPr="00921D16">
        <w:rPr>
          <w:rFonts w:cs="Times New Roman"/>
          <w:sz w:val="24"/>
        </w:rPr>
        <w:t xml:space="preserve"> (ed. Levin, S.A.). Academic Press, Waltham, pp. 667–678.</w:t>
      </w:r>
    </w:p>
    <w:p w14:paraId="6F3A08A0"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Hooper, D.U., Chapin, F.S., Ewel, J.J., Hector, A., Inchausti, P., Lavorel, S., </w:t>
      </w:r>
      <w:r w:rsidRPr="00921D16">
        <w:rPr>
          <w:rFonts w:cs="Times New Roman"/>
          <w:i/>
          <w:iCs/>
          <w:sz w:val="24"/>
        </w:rPr>
        <w:t>et al.</w:t>
      </w:r>
      <w:r w:rsidRPr="00921D16">
        <w:rPr>
          <w:rFonts w:cs="Times New Roman"/>
          <w:sz w:val="24"/>
        </w:rPr>
        <w:t xml:space="preserve"> (2005). Effects of Biodiversity on Ecosystem Functioning: A Consensus of Current Knowledge. </w:t>
      </w:r>
      <w:r w:rsidRPr="00921D16">
        <w:rPr>
          <w:rFonts w:cs="Times New Roman"/>
          <w:i/>
          <w:iCs/>
          <w:sz w:val="24"/>
        </w:rPr>
        <w:t>Ecological Monographs</w:t>
      </w:r>
      <w:r w:rsidRPr="00921D16">
        <w:rPr>
          <w:rFonts w:cs="Times New Roman"/>
          <w:sz w:val="24"/>
        </w:rPr>
        <w:t>, 75, 3–35.</w:t>
      </w:r>
    </w:p>
    <w:p w14:paraId="2069D717" w14:textId="77777777" w:rsidR="00921D16" w:rsidRPr="00921D16" w:rsidRDefault="00921D16" w:rsidP="00921D16">
      <w:pPr>
        <w:pStyle w:val="Bibliography"/>
        <w:spacing w:line="360" w:lineRule="auto"/>
        <w:rPr>
          <w:rFonts w:cs="Times New Roman"/>
          <w:sz w:val="24"/>
        </w:rPr>
      </w:pPr>
      <w:r w:rsidRPr="00921D16">
        <w:rPr>
          <w:rFonts w:cs="Times New Roman"/>
          <w:sz w:val="24"/>
        </w:rPr>
        <w:lastRenderedPageBreak/>
        <w:t xml:space="preserve">Huston, M.A. (1997). Hidden treatments in ecological experiments: re-evaluating the ecosystem function of biodiversity. </w:t>
      </w:r>
      <w:r w:rsidRPr="00921D16">
        <w:rPr>
          <w:rFonts w:cs="Times New Roman"/>
          <w:i/>
          <w:iCs/>
          <w:sz w:val="24"/>
        </w:rPr>
        <w:t>Oecologia</w:t>
      </w:r>
      <w:r w:rsidRPr="00921D16">
        <w:rPr>
          <w:rFonts w:cs="Times New Roman"/>
          <w:sz w:val="24"/>
        </w:rPr>
        <w:t>, 110, 449–460.</w:t>
      </w:r>
    </w:p>
    <w:p w14:paraId="176D55AA" w14:textId="77777777" w:rsidR="00921D16" w:rsidRPr="00921D16" w:rsidRDefault="00921D16" w:rsidP="00921D16">
      <w:pPr>
        <w:pStyle w:val="Bibliography"/>
        <w:spacing w:line="360" w:lineRule="auto"/>
        <w:rPr>
          <w:rFonts w:cs="Times New Roman"/>
          <w:sz w:val="24"/>
        </w:rPr>
      </w:pPr>
      <w:r w:rsidRPr="00921D16">
        <w:rPr>
          <w:rFonts w:cs="Times New Roman"/>
          <w:sz w:val="24"/>
        </w:rPr>
        <w:t>Intergovernmental Science-Policy Platform on Biodiversity and Ecosystem Services, I. (2019). Summary for policymakers of the global assessment report on biodiversity and ecosystem services.</w:t>
      </w:r>
    </w:p>
    <w:p w14:paraId="587C1919"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Ladouceur, E., Harpole, W.S., Blowes, S.A., Roscher, C., Auge, H., Seabloom, E.W., </w:t>
      </w:r>
      <w:r w:rsidRPr="00921D16">
        <w:rPr>
          <w:rFonts w:cs="Times New Roman"/>
          <w:i/>
          <w:iCs/>
          <w:sz w:val="24"/>
        </w:rPr>
        <w:t>et al.</w:t>
      </w:r>
      <w:r w:rsidRPr="00921D16">
        <w:rPr>
          <w:rFonts w:cs="Times New Roman"/>
          <w:sz w:val="24"/>
        </w:rPr>
        <w:t xml:space="preserve"> (2020). Reducing dispersal limitation via seed addition increases species richness but not above-ground biomass. </w:t>
      </w:r>
      <w:r w:rsidRPr="00921D16">
        <w:rPr>
          <w:rFonts w:cs="Times New Roman"/>
          <w:i/>
          <w:iCs/>
          <w:sz w:val="24"/>
        </w:rPr>
        <w:t>Ecology Letters</w:t>
      </w:r>
      <w:r w:rsidRPr="00921D16">
        <w:rPr>
          <w:rFonts w:cs="Times New Roman"/>
          <w:sz w:val="24"/>
        </w:rPr>
        <w:t>, 23, 1442–1450.</w:t>
      </w:r>
    </w:p>
    <w:p w14:paraId="2BDBB2B8"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Legendre, P. (2018). </w:t>
      </w:r>
      <w:r w:rsidRPr="00921D16">
        <w:rPr>
          <w:rFonts w:cs="Times New Roman"/>
          <w:i/>
          <w:iCs/>
          <w:sz w:val="24"/>
        </w:rPr>
        <w:t>lmodel2: Model II Regression</w:t>
      </w:r>
      <w:r w:rsidRPr="00921D16">
        <w:rPr>
          <w:rFonts w:cs="Times New Roman"/>
          <w:sz w:val="24"/>
        </w:rPr>
        <w:t>.</w:t>
      </w:r>
    </w:p>
    <w:p w14:paraId="26640022"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Leibold, M.A. &amp; Chase, J.M. (2018). </w:t>
      </w:r>
      <w:r w:rsidRPr="00921D16">
        <w:rPr>
          <w:rFonts w:cs="Times New Roman"/>
          <w:i/>
          <w:iCs/>
          <w:sz w:val="24"/>
        </w:rPr>
        <w:t>Metacommunity Ecology, Volume 59</w:t>
      </w:r>
      <w:r w:rsidRPr="00921D16">
        <w:rPr>
          <w:rFonts w:cs="Times New Roman"/>
          <w:sz w:val="24"/>
        </w:rPr>
        <w:t>. Princeton University Press.</w:t>
      </w:r>
    </w:p>
    <w:p w14:paraId="6565D02C"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Leibold, M.A., Chase, J.M. &amp; Ernest, S.K.M. (2017). Community assembly and the functioning of ecosystems: how metacommunity processes alter ecosystems attributes. </w:t>
      </w:r>
      <w:r w:rsidRPr="00921D16">
        <w:rPr>
          <w:rFonts w:cs="Times New Roman"/>
          <w:i/>
          <w:iCs/>
          <w:sz w:val="24"/>
        </w:rPr>
        <w:t>Ecology</w:t>
      </w:r>
      <w:r w:rsidRPr="00921D16">
        <w:rPr>
          <w:rFonts w:cs="Times New Roman"/>
          <w:sz w:val="24"/>
        </w:rPr>
        <w:t>, 98, 909–919.</w:t>
      </w:r>
    </w:p>
    <w:p w14:paraId="0DF00E31"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Lichstein, J.W. &amp; Pacala, S.W. (2011). Local diversity in heterogeneous landscapes: quantitative assessment with a height-structured forest metacommunity model. </w:t>
      </w:r>
      <w:r w:rsidRPr="00921D16">
        <w:rPr>
          <w:rFonts w:cs="Times New Roman"/>
          <w:i/>
          <w:iCs/>
          <w:sz w:val="24"/>
        </w:rPr>
        <w:t>Theor Ecol</w:t>
      </w:r>
      <w:r w:rsidRPr="00921D16">
        <w:rPr>
          <w:rFonts w:cs="Times New Roman"/>
          <w:sz w:val="24"/>
        </w:rPr>
        <w:t>, 4, 269–281.</w:t>
      </w:r>
    </w:p>
    <w:p w14:paraId="4D5D17FC"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Loreau, M. &amp; Hector, A. (2001). Partitioning selection and complementarity in biodiversity experiments. </w:t>
      </w:r>
      <w:r w:rsidRPr="00921D16">
        <w:rPr>
          <w:rFonts w:cs="Times New Roman"/>
          <w:i/>
          <w:iCs/>
          <w:sz w:val="24"/>
        </w:rPr>
        <w:t>Nature</w:t>
      </w:r>
      <w:r w:rsidRPr="00921D16">
        <w:rPr>
          <w:rFonts w:cs="Times New Roman"/>
          <w:sz w:val="24"/>
        </w:rPr>
        <w:t>, 412, 72–76.</w:t>
      </w:r>
    </w:p>
    <w:p w14:paraId="076E0281"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Maréchaux, I. &amp; Chave, J. (2017). An individual-based forest model to jointly simulate carbon and tree diversity in Amazonia: description and applications. </w:t>
      </w:r>
      <w:r w:rsidRPr="00921D16">
        <w:rPr>
          <w:rFonts w:cs="Times New Roman"/>
          <w:i/>
          <w:iCs/>
          <w:sz w:val="24"/>
        </w:rPr>
        <w:t>Ecological Monographs</w:t>
      </w:r>
      <w:r w:rsidRPr="00921D16">
        <w:rPr>
          <w:rFonts w:cs="Times New Roman"/>
          <w:sz w:val="24"/>
        </w:rPr>
        <w:t>, 87, 632–664.</w:t>
      </w:r>
    </w:p>
    <w:p w14:paraId="2262CE2E"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May, F., Grimm, V. &amp; Jeltsch, F. (2009). Reversed effects of grazing on plant diversity: the role of below-ground competition and size symmetry. </w:t>
      </w:r>
      <w:r w:rsidRPr="00921D16">
        <w:rPr>
          <w:rFonts w:cs="Times New Roman"/>
          <w:i/>
          <w:iCs/>
          <w:sz w:val="24"/>
        </w:rPr>
        <w:t>Oikos</w:t>
      </w:r>
      <w:r w:rsidRPr="00921D16">
        <w:rPr>
          <w:rFonts w:cs="Times New Roman"/>
          <w:sz w:val="24"/>
        </w:rPr>
        <w:t>, 118, 1830–1843.</w:t>
      </w:r>
    </w:p>
    <w:p w14:paraId="438C80D8"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McDowell, N.G., Allen, C.D., Anderson-Teixeira, K., Aukema, B.H., Bond-Lamberty, B., Chini, L., </w:t>
      </w:r>
      <w:r w:rsidRPr="00921D16">
        <w:rPr>
          <w:rFonts w:cs="Times New Roman"/>
          <w:i/>
          <w:iCs/>
          <w:sz w:val="24"/>
        </w:rPr>
        <w:t>et al.</w:t>
      </w:r>
      <w:r w:rsidRPr="00921D16">
        <w:rPr>
          <w:rFonts w:cs="Times New Roman"/>
          <w:sz w:val="24"/>
        </w:rPr>
        <w:t xml:space="preserve"> (2020). Pervasive shifts in forest dynamics in a changing world. </w:t>
      </w:r>
      <w:r w:rsidRPr="00921D16">
        <w:rPr>
          <w:rFonts w:cs="Times New Roman"/>
          <w:i/>
          <w:iCs/>
          <w:sz w:val="24"/>
        </w:rPr>
        <w:t>Science</w:t>
      </w:r>
      <w:r w:rsidRPr="00921D16">
        <w:rPr>
          <w:rFonts w:cs="Times New Roman"/>
          <w:sz w:val="24"/>
        </w:rPr>
        <w:t>, 368.</w:t>
      </w:r>
    </w:p>
    <w:p w14:paraId="0037B8E9"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McGill, B.J., Dornelas, M., Gotelli, N.J. &amp; Magurran, A.E. (2015). Fifteen forms of biodiversity trend in the Anthropocene. </w:t>
      </w:r>
      <w:r w:rsidRPr="00921D16">
        <w:rPr>
          <w:rFonts w:cs="Times New Roman"/>
          <w:i/>
          <w:iCs/>
          <w:sz w:val="24"/>
        </w:rPr>
        <w:t>Trends in Ecology &amp; Evolution</w:t>
      </w:r>
      <w:r w:rsidRPr="00921D16">
        <w:rPr>
          <w:rFonts w:cs="Times New Roman"/>
          <w:sz w:val="24"/>
        </w:rPr>
        <w:t>, 30, 104–113.</w:t>
      </w:r>
    </w:p>
    <w:p w14:paraId="74BD7F55"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Meyer, S.T., Ptacnik, R., Hillebrand, H., Bessler, H., Buchmann, N., Ebeling, A., </w:t>
      </w:r>
      <w:r w:rsidRPr="00921D16">
        <w:rPr>
          <w:rFonts w:cs="Times New Roman"/>
          <w:i/>
          <w:iCs/>
          <w:sz w:val="24"/>
        </w:rPr>
        <w:t>et al.</w:t>
      </w:r>
      <w:r w:rsidRPr="00921D16">
        <w:rPr>
          <w:rFonts w:cs="Times New Roman"/>
          <w:sz w:val="24"/>
        </w:rPr>
        <w:t xml:space="preserve"> (2018). Biodiversity–multifunctionality relationships depend on identity and number of measured functions. </w:t>
      </w:r>
      <w:r w:rsidRPr="00921D16">
        <w:rPr>
          <w:rFonts w:cs="Times New Roman"/>
          <w:i/>
          <w:iCs/>
          <w:sz w:val="24"/>
        </w:rPr>
        <w:t>Nature Ecology &amp; Evolution</w:t>
      </w:r>
      <w:r w:rsidRPr="00921D16">
        <w:rPr>
          <w:rFonts w:cs="Times New Roman"/>
          <w:sz w:val="24"/>
        </w:rPr>
        <w:t>, 2, 44–49.</w:t>
      </w:r>
    </w:p>
    <w:p w14:paraId="24CAE508" w14:textId="77777777" w:rsidR="00921D16" w:rsidRPr="00921D16" w:rsidRDefault="00921D16" w:rsidP="00921D16">
      <w:pPr>
        <w:pStyle w:val="Bibliography"/>
        <w:spacing w:line="360" w:lineRule="auto"/>
        <w:rPr>
          <w:rFonts w:cs="Times New Roman"/>
          <w:sz w:val="24"/>
        </w:rPr>
      </w:pPr>
      <w:r w:rsidRPr="00921D16">
        <w:rPr>
          <w:rFonts w:cs="Times New Roman"/>
          <w:i/>
          <w:iCs/>
          <w:sz w:val="24"/>
        </w:rPr>
        <w:t>Millenium Ecosystem Assessment Ecosystem and human well-being: synthesis</w:t>
      </w:r>
      <w:r w:rsidRPr="00921D16">
        <w:rPr>
          <w:rFonts w:cs="Times New Roman"/>
          <w:sz w:val="24"/>
        </w:rPr>
        <w:t>. (2005). . Island Press, Washington, DC.</w:t>
      </w:r>
    </w:p>
    <w:p w14:paraId="16C11D3B" w14:textId="77777777" w:rsidR="00921D16" w:rsidRPr="00921D16" w:rsidRDefault="00921D16" w:rsidP="00921D16">
      <w:pPr>
        <w:pStyle w:val="Bibliography"/>
        <w:spacing w:line="360" w:lineRule="auto"/>
        <w:rPr>
          <w:rFonts w:cs="Times New Roman"/>
          <w:sz w:val="24"/>
        </w:rPr>
      </w:pPr>
      <w:r w:rsidRPr="00921D16">
        <w:rPr>
          <w:rFonts w:cs="Times New Roman"/>
          <w:sz w:val="24"/>
        </w:rPr>
        <w:lastRenderedPageBreak/>
        <w:t xml:space="preserve">Myers, J.A. &amp; Harms, K.E. (2009). Seed arrival, ecological filters, and plant species richness: a meta-analysis. </w:t>
      </w:r>
      <w:r w:rsidRPr="00921D16">
        <w:rPr>
          <w:rFonts w:cs="Times New Roman"/>
          <w:i/>
          <w:iCs/>
          <w:sz w:val="24"/>
        </w:rPr>
        <w:t>Ecology Letters</w:t>
      </w:r>
      <w:r w:rsidRPr="00921D16">
        <w:rPr>
          <w:rFonts w:cs="Times New Roman"/>
          <w:sz w:val="24"/>
        </w:rPr>
        <w:t>, 12, 1250–1260.</w:t>
      </w:r>
    </w:p>
    <w:p w14:paraId="098B1231"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Newbold, T., Hudson, L.N., Hill, S.L.L., Contu, S., Lysenko, I., Senior, R.A., </w:t>
      </w:r>
      <w:r w:rsidRPr="00921D16">
        <w:rPr>
          <w:rFonts w:cs="Times New Roman"/>
          <w:i/>
          <w:iCs/>
          <w:sz w:val="24"/>
        </w:rPr>
        <w:t>et al.</w:t>
      </w:r>
      <w:r w:rsidRPr="00921D16">
        <w:rPr>
          <w:rFonts w:cs="Times New Roman"/>
          <w:sz w:val="24"/>
        </w:rPr>
        <w:t xml:space="preserve"> (2015). Global effects of land use on local terrestrial biodiversity. </w:t>
      </w:r>
      <w:r w:rsidRPr="00921D16">
        <w:rPr>
          <w:rFonts w:cs="Times New Roman"/>
          <w:i/>
          <w:iCs/>
          <w:sz w:val="24"/>
        </w:rPr>
        <w:t>Nature</w:t>
      </w:r>
      <w:r w:rsidRPr="00921D16">
        <w:rPr>
          <w:rFonts w:cs="Times New Roman"/>
          <w:sz w:val="24"/>
        </w:rPr>
        <w:t>, 520, 45–50.</w:t>
      </w:r>
    </w:p>
    <w:p w14:paraId="3745864B"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Pereira, H.M., Leadley, P.W., Proença, V., Alkemade, R., Scharlemann, J.P.W., Fernandez-Manjarrés, J.F., </w:t>
      </w:r>
      <w:r w:rsidRPr="00921D16">
        <w:rPr>
          <w:rFonts w:cs="Times New Roman"/>
          <w:i/>
          <w:iCs/>
          <w:sz w:val="24"/>
        </w:rPr>
        <w:t>et al.</w:t>
      </w:r>
      <w:r w:rsidRPr="00921D16">
        <w:rPr>
          <w:rFonts w:cs="Times New Roman"/>
          <w:sz w:val="24"/>
        </w:rPr>
        <w:t xml:space="preserve"> (2010). Scenarios for Global Biodiversity in the 21st Century. </w:t>
      </w:r>
      <w:r w:rsidRPr="00921D16">
        <w:rPr>
          <w:rFonts w:cs="Times New Roman"/>
          <w:i/>
          <w:iCs/>
          <w:sz w:val="24"/>
        </w:rPr>
        <w:t>Science</w:t>
      </w:r>
      <w:r w:rsidRPr="00921D16">
        <w:rPr>
          <w:rFonts w:cs="Times New Roman"/>
          <w:sz w:val="24"/>
        </w:rPr>
        <w:t>, 330, 1496–1501.</w:t>
      </w:r>
    </w:p>
    <w:p w14:paraId="013DB056"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Pimm, S.L., Jenkins, C.N., Abell, R., Brooks, T.M., Gittleman, J.L., Joppa, L.N., </w:t>
      </w:r>
      <w:r w:rsidRPr="00921D16">
        <w:rPr>
          <w:rFonts w:cs="Times New Roman"/>
          <w:i/>
          <w:iCs/>
          <w:sz w:val="24"/>
        </w:rPr>
        <w:t>et al.</w:t>
      </w:r>
      <w:r w:rsidRPr="00921D16">
        <w:rPr>
          <w:rFonts w:cs="Times New Roman"/>
          <w:sz w:val="24"/>
        </w:rPr>
        <w:t xml:space="preserve"> (2014). The biodiversity of species and their rates of extinction, distribution, and protection. </w:t>
      </w:r>
      <w:r w:rsidRPr="00921D16">
        <w:rPr>
          <w:rFonts w:cs="Times New Roman"/>
          <w:i/>
          <w:iCs/>
          <w:sz w:val="24"/>
        </w:rPr>
        <w:t>Science</w:t>
      </w:r>
      <w:r w:rsidRPr="00921D16">
        <w:rPr>
          <w:rFonts w:cs="Times New Roman"/>
          <w:sz w:val="24"/>
        </w:rPr>
        <w:t>, 344, 1246752.</w:t>
      </w:r>
    </w:p>
    <w:p w14:paraId="110EF570"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R Core Team. (2019). </w:t>
      </w:r>
      <w:r w:rsidRPr="00921D16">
        <w:rPr>
          <w:rFonts w:cs="Times New Roman"/>
          <w:i/>
          <w:iCs/>
          <w:sz w:val="24"/>
        </w:rPr>
        <w:t>R: A language and environment for statistical computer.</w:t>
      </w:r>
      <w:r w:rsidRPr="00921D16">
        <w:rPr>
          <w:rFonts w:cs="Times New Roman"/>
          <w:sz w:val="24"/>
        </w:rPr>
        <w:t xml:space="preserve"> R Foundation for Statistical Computing, Vienna, Austria.</w:t>
      </w:r>
    </w:p>
    <w:p w14:paraId="05EA8855"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Ratcliffe, S., Wirth, C., Jucker, T., Plas, F. van der, Scherer‐Lorenzen, M., Verheyen, K., </w:t>
      </w:r>
      <w:r w:rsidRPr="00921D16">
        <w:rPr>
          <w:rFonts w:cs="Times New Roman"/>
          <w:i/>
          <w:iCs/>
          <w:sz w:val="24"/>
        </w:rPr>
        <w:t>et al.</w:t>
      </w:r>
      <w:r w:rsidRPr="00921D16">
        <w:rPr>
          <w:rFonts w:cs="Times New Roman"/>
          <w:sz w:val="24"/>
        </w:rPr>
        <w:t xml:space="preserve"> (2017). Biodiversity and ecosystem functioning relations in European forests depend on environmental context. </w:t>
      </w:r>
      <w:r w:rsidRPr="00921D16">
        <w:rPr>
          <w:rFonts w:cs="Times New Roman"/>
          <w:i/>
          <w:iCs/>
          <w:sz w:val="24"/>
        </w:rPr>
        <w:t>Ecology Letters</w:t>
      </w:r>
      <w:r w:rsidRPr="00921D16">
        <w:rPr>
          <w:rFonts w:cs="Times New Roman"/>
          <w:sz w:val="24"/>
        </w:rPr>
        <w:t>, 20, 1414–1426.</w:t>
      </w:r>
    </w:p>
    <w:p w14:paraId="117CD2AA"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Reineking, B. &amp; der, B.S. (2006). Constrain to perform: Regularization of habitat models. </w:t>
      </w:r>
      <w:r w:rsidRPr="00921D16">
        <w:rPr>
          <w:rFonts w:cs="Times New Roman"/>
          <w:i/>
          <w:iCs/>
          <w:sz w:val="24"/>
        </w:rPr>
        <w:t>Ecological Modelling</w:t>
      </w:r>
      <w:r w:rsidRPr="00921D16">
        <w:rPr>
          <w:rFonts w:cs="Times New Roman"/>
          <w:sz w:val="24"/>
        </w:rPr>
        <w:t>, 193, 675–690.</w:t>
      </w:r>
    </w:p>
    <w:p w14:paraId="7CAA768E"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Roscher, C., Schumacher, J., Baade, J., Wilcke, W., Gleixner, G., Weisser, W.W., </w:t>
      </w:r>
      <w:r w:rsidRPr="00921D16">
        <w:rPr>
          <w:rFonts w:cs="Times New Roman"/>
          <w:i/>
          <w:iCs/>
          <w:sz w:val="24"/>
        </w:rPr>
        <w:t>et al.</w:t>
      </w:r>
      <w:r w:rsidRPr="00921D16">
        <w:rPr>
          <w:rFonts w:cs="Times New Roman"/>
          <w:sz w:val="24"/>
        </w:rPr>
        <w:t xml:space="preserve"> (2004). The role of biodiversity for element cycling and trophic interactions: an experimental approach in a grassland community. </w:t>
      </w:r>
      <w:r w:rsidRPr="00921D16">
        <w:rPr>
          <w:rFonts w:cs="Times New Roman"/>
          <w:i/>
          <w:iCs/>
          <w:sz w:val="24"/>
        </w:rPr>
        <w:t>Basic and Applied Ecology</w:t>
      </w:r>
      <w:r w:rsidRPr="00921D16">
        <w:rPr>
          <w:rFonts w:cs="Times New Roman"/>
          <w:sz w:val="24"/>
        </w:rPr>
        <w:t>, 5, 107–121.</w:t>
      </w:r>
    </w:p>
    <w:p w14:paraId="32932BA2"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Rüger, N., Condit, R., Dent, D.H., DeWalt, S.J., Hubbell, S.P., Lichstein, J.W., </w:t>
      </w:r>
      <w:r w:rsidRPr="00921D16">
        <w:rPr>
          <w:rFonts w:cs="Times New Roman"/>
          <w:i/>
          <w:iCs/>
          <w:sz w:val="24"/>
        </w:rPr>
        <w:t>et al.</w:t>
      </w:r>
      <w:r w:rsidRPr="00921D16">
        <w:rPr>
          <w:rFonts w:cs="Times New Roman"/>
          <w:sz w:val="24"/>
        </w:rPr>
        <w:t xml:space="preserve"> (2020). Demographic trade-offs predict tropical forest dynamics. </w:t>
      </w:r>
      <w:r w:rsidRPr="00921D16">
        <w:rPr>
          <w:rFonts w:cs="Times New Roman"/>
          <w:i/>
          <w:iCs/>
          <w:sz w:val="24"/>
        </w:rPr>
        <w:t>Science</w:t>
      </w:r>
      <w:r w:rsidRPr="00921D16">
        <w:rPr>
          <w:rFonts w:cs="Times New Roman"/>
          <w:sz w:val="24"/>
        </w:rPr>
        <w:t>, 368, 165–168.</w:t>
      </w:r>
    </w:p>
    <w:p w14:paraId="52FDBE0B"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Rychtecká, T., Lanta, V., Weiterová, I. &amp; Lepš, J. (2014). Sown species richness and realized diversity can influence functioning of plant communities differently. </w:t>
      </w:r>
      <w:r w:rsidRPr="00921D16">
        <w:rPr>
          <w:rFonts w:cs="Times New Roman"/>
          <w:i/>
          <w:iCs/>
          <w:sz w:val="24"/>
        </w:rPr>
        <w:t>Naturwissenschaften</w:t>
      </w:r>
      <w:r w:rsidRPr="00921D16">
        <w:rPr>
          <w:rFonts w:cs="Times New Roman"/>
          <w:sz w:val="24"/>
        </w:rPr>
        <w:t>, 101, 637–644.</w:t>
      </w:r>
    </w:p>
    <w:p w14:paraId="6B707DD1"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Simpson, E.H. (1951). The Interpretation of Interaction in Contingency Tables. </w:t>
      </w:r>
      <w:r w:rsidRPr="00921D16">
        <w:rPr>
          <w:rFonts w:cs="Times New Roman"/>
          <w:i/>
          <w:iCs/>
          <w:sz w:val="24"/>
        </w:rPr>
        <w:t>Journal of the Royal Statistical Society: Series B (Methodological)</w:t>
      </w:r>
      <w:r w:rsidRPr="00921D16">
        <w:rPr>
          <w:rFonts w:cs="Times New Roman"/>
          <w:sz w:val="24"/>
        </w:rPr>
        <w:t>, 13, 238–241.</w:t>
      </w:r>
    </w:p>
    <w:p w14:paraId="5597A240"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Tilman, D., Isbell, F. &amp; Cowles, J.M. (2014). Biodiversity and ecosystem functioning. </w:t>
      </w:r>
      <w:r w:rsidRPr="00921D16">
        <w:rPr>
          <w:rFonts w:cs="Times New Roman"/>
          <w:i/>
          <w:iCs/>
          <w:sz w:val="24"/>
        </w:rPr>
        <w:t>Annual Review of Ecology, Evolution, and Systematics</w:t>
      </w:r>
      <w:r w:rsidRPr="00921D16">
        <w:rPr>
          <w:rFonts w:cs="Times New Roman"/>
          <w:sz w:val="24"/>
        </w:rPr>
        <w:t>, 45, 471–493.</w:t>
      </w:r>
    </w:p>
    <w:p w14:paraId="35385DAC"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Tilman, D., Wedin, D. &amp; Knops, J. (1996). Productivity and sustainability influenced by biodiversity in grassland ecosystems. </w:t>
      </w:r>
      <w:r w:rsidRPr="00921D16">
        <w:rPr>
          <w:rFonts w:cs="Times New Roman"/>
          <w:i/>
          <w:iCs/>
          <w:sz w:val="24"/>
        </w:rPr>
        <w:t>Nature</w:t>
      </w:r>
      <w:r w:rsidRPr="00921D16">
        <w:rPr>
          <w:rFonts w:cs="Times New Roman"/>
          <w:sz w:val="24"/>
        </w:rPr>
        <w:t>, 379, 718–720.</w:t>
      </w:r>
    </w:p>
    <w:p w14:paraId="4E6E62F4" w14:textId="77777777" w:rsidR="00921D16" w:rsidRPr="00921D16" w:rsidRDefault="00921D16" w:rsidP="00921D16">
      <w:pPr>
        <w:pStyle w:val="Bibliography"/>
        <w:spacing w:line="360" w:lineRule="auto"/>
        <w:rPr>
          <w:rFonts w:cs="Times New Roman"/>
          <w:sz w:val="24"/>
        </w:rPr>
      </w:pPr>
      <w:r w:rsidRPr="00921D16">
        <w:rPr>
          <w:rFonts w:cs="Times New Roman"/>
          <w:sz w:val="24"/>
        </w:rPr>
        <w:lastRenderedPageBreak/>
        <w:t xml:space="preserve">Tittensor, D.P., Walpole, M., Hill, S.L.L., Boyce, D.G., Britten, G.L., Burgess, N.D., </w:t>
      </w:r>
      <w:r w:rsidRPr="00921D16">
        <w:rPr>
          <w:rFonts w:cs="Times New Roman"/>
          <w:i/>
          <w:iCs/>
          <w:sz w:val="24"/>
        </w:rPr>
        <w:t>et al.</w:t>
      </w:r>
      <w:r w:rsidRPr="00921D16">
        <w:rPr>
          <w:rFonts w:cs="Times New Roman"/>
          <w:sz w:val="24"/>
        </w:rPr>
        <w:t xml:space="preserve"> (2014). A mid-term analysis of progress toward international biodiversity targets. </w:t>
      </w:r>
      <w:r w:rsidRPr="00921D16">
        <w:rPr>
          <w:rFonts w:cs="Times New Roman"/>
          <w:i/>
          <w:iCs/>
          <w:sz w:val="24"/>
        </w:rPr>
        <w:t>Science</w:t>
      </w:r>
      <w:r w:rsidRPr="00921D16">
        <w:rPr>
          <w:rFonts w:cs="Times New Roman"/>
          <w:sz w:val="24"/>
        </w:rPr>
        <w:t>, 346, 241–244.</w:t>
      </w:r>
    </w:p>
    <w:p w14:paraId="7BD711D0" w14:textId="4BCCE663" w:rsidR="00921D16" w:rsidRDefault="00921D16" w:rsidP="00921D16">
      <w:pPr>
        <w:pStyle w:val="Bibliography"/>
        <w:spacing w:line="360" w:lineRule="auto"/>
        <w:rPr>
          <w:rFonts w:cs="Times New Roman"/>
          <w:sz w:val="24"/>
        </w:rPr>
      </w:pPr>
      <w:r w:rsidRPr="00921D16">
        <w:rPr>
          <w:rFonts w:cs="Times New Roman"/>
          <w:sz w:val="24"/>
        </w:rPr>
        <w:t xml:space="preserve">Turnbull, L.A., Levine, J.M., Loreau, M. &amp; Hector, A. (2013). Coexistence, niches and biodiversity effects on ecosystem functioning. </w:t>
      </w:r>
      <w:r w:rsidRPr="00921D16">
        <w:rPr>
          <w:rFonts w:cs="Times New Roman"/>
          <w:i/>
          <w:iCs/>
          <w:sz w:val="24"/>
        </w:rPr>
        <w:t>Ecology Letters</w:t>
      </w:r>
      <w:r w:rsidRPr="00921D16">
        <w:rPr>
          <w:rFonts w:cs="Times New Roman"/>
          <w:sz w:val="24"/>
        </w:rPr>
        <w:t>, 16, 116–127.</w:t>
      </w:r>
    </w:p>
    <w:p w14:paraId="0EAF4F7E" w14:textId="4B7F53D5" w:rsidR="00921D16" w:rsidRPr="00921D16" w:rsidRDefault="00921D16" w:rsidP="00921D16">
      <w:pPr>
        <w:pStyle w:val="Bibliography"/>
        <w:spacing w:line="360" w:lineRule="auto"/>
        <w:rPr>
          <w:rFonts w:cs="Times New Roman"/>
          <w:sz w:val="24"/>
        </w:rPr>
      </w:pPr>
      <w:r>
        <w:rPr>
          <w:rFonts w:cs="Times New Roman"/>
          <w:sz w:val="24"/>
        </w:rPr>
        <w:t xml:space="preserve">van der </w:t>
      </w:r>
      <w:r w:rsidRPr="00921D16">
        <w:rPr>
          <w:rFonts w:cs="Times New Roman"/>
          <w:sz w:val="24"/>
        </w:rPr>
        <w:t xml:space="preserve">Plas, F. (2019). Biodiversity and ecosystem functioning in naturally assembled communities. </w:t>
      </w:r>
      <w:r w:rsidRPr="00921D16">
        <w:rPr>
          <w:rFonts w:cs="Times New Roman"/>
          <w:i/>
          <w:iCs/>
          <w:sz w:val="24"/>
        </w:rPr>
        <w:t>Biological Reviews</w:t>
      </w:r>
      <w:r w:rsidRPr="00921D16">
        <w:rPr>
          <w:rFonts w:cs="Times New Roman"/>
          <w:sz w:val="24"/>
        </w:rPr>
        <w:t>, 94, 1220–1245.</w:t>
      </w:r>
    </w:p>
    <w:p w14:paraId="04D35D57"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Weiss, L., Pfestorf, H., May, F., Körner, K., Boch, S., Fischer, M., </w:t>
      </w:r>
      <w:r w:rsidRPr="00921D16">
        <w:rPr>
          <w:rFonts w:cs="Times New Roman"/>
          <w:i/>
          <w:iCs/>
          <w:sz w:val="24"/>
        </w:rPr>
        <w:t>et al.</w:t>
      </w:r>
      <w:r w:rsidRPr="00921D16">
        <w:rPr>
          <w:rFonts w:cs="Times New Roman"/>
          <w:sz w:val="24"/>
        </w:rPr>
        <w:t xml:space="preserve"> (2014). Grazing response patterns indicate isolation of semi-natural European grasslands. </w:t>
      </w:r>
      <w:r w:rsidRPr="00921D16">
        <w:rPr>
          <w:rFonts w:cs="Times New Roman"/>
          <w:i/>
          <w:iCs/>
          <w:sz w:val="24"/>
        </w:rPr>
        <w:t>Oikos</w:t>
      </w:r>
      <w:r w:rsidRPr="00921D16">
        <w:rPr>
          <w:rFonts w:cs="Times New Roman"/>
          <w:sz w:val="24"/>
        </w:rPr>
        <w:t>, 123, 599–612.</w:t>
      </w:r>
    </w:p>
    <w:p w14:paraId="3BB080FD" w14:textId="77777777" w:rsidR="00921D16" w:rsidRPr="00921D16" w:rsidRDefault="00921D16" w:rsidP="00921D16">
      <w:pPr>
        <w:pStyle w:val="Bibliography"/>
        <w:spacing w:line="360" w:lineRule="auto"/>
        <w:rPr>
          <w:rFonts w:cs="Times New Roman"/>
          <w:sz w:val="24"/>
        </w:rPr>
      </w:pPr>
      <w:r w:rsidRPr="00921D16">
        <w:rPr>
          <w:rFonts w:cs="Times New Roman"/>
          <w:sz w:val="24"/>
        </w:rPr>
        <w:t xml:space="preserve">Wright, J.S. (2002). Plant diversity in tropical forests: a review of mechanisms of species coexistence. </w:t>
      </w:r>
      <w:r w:rsidRPr="00921D16">
        <w:rPr>
          <w:rFonts w:cs="Times New Roman"/>
          <w:i/>
          <w:iCs/>
          <w:sz w:val="24"/>
        </w:rPr>
        <w:t>Oecologia</w:t>
      </w:r>
      <w:r w:rsidRPr="00921D16">
        <w:rPr>
          <w:rFonts w:cs="Times New Roman"/>
          <w:sz w:val="24"/>
        </w:rPr>
        <w:t>, 130, 1–14.</w:t>
      </w:r>
    </w:p>
    <w:p w14:paraId="00000081" w14:textId="5F0040CF" w:rsidR="007F1434" w:rsidRPr="00613D1C" w:rsidRDefault="0068758F" w:rsidP="00921D16">
      <w:pPr>
        <w:spacing w:line="360" w:lineRule="auto"/>
        <w:ind w:firstLine="720"/>
        <w:rPr>
          <w:rFonts w:cs="Times New Roman"/>
          <w:sz w:val="24"/>
          <w:szCs w:val="24"/>
          <w:lang w:val="en-GB"/>
        </w:rPr>
      </w:pPr>
      <w:r>
        <w:rPr>
          <w:rFonts w:cs="Times New Roman"/>
          <w:sz w:val="24"/>
          <w:szCs w:val="24"/>
          <w:lang w:val="en-GB"/>
        </w:rPr>
        <w:fldChar w:fldCharType="end"/>
      </w:r>
      <w:r w:rsidR="000236F3" w:rsidRPr="00613D1C">
        <w:rPr>
          <w:rFonts w:cs="Times New Roman"/>
          <w:sz w:val="24"/>
          <w:szCs w:val="24"/>
          <w:lang w:val="en-GB"/>
        </w:rPr>
        <w:br w:type="page"/>
      </w:r>
    </w:p>
    <w:p w14:paraId="00000082" w14:textId="77777777" w:rsidR="007F1434" w:rsidRPr="00613D1C" w:rsidRDefault="000236F3" w:rsidP="00613D1C">
      <w:pPr>
        <w:spacing w:line="360" w:lineRule="auto"/>
        <w:rPr>
          <w:rFonts w:cs="Times New Roman"/>
          <w:b/>
          <w:sz w:val="24"/>
          <w:szCs w:val="24"/>
          <w:lang w:val="en-GB"/>
        </w:rPr>
      </w:pPr>
      <w:r w:rsidRPr="00613D1C">
        <w:rPr>
          <w:rFonts w:cs="Times New Roman"/>
          <w:b/>
          <w:sz w:val="24"/>
          <w:szCs w:val="24"/>
          <w:lang w:val="en-GB"/>
        </w:rPr>
        <w:lastRenderedPageBreak/>
        <w:t>FIGURE LEGENDS</w:t>
      </w:r>
    </w:p>
    <w:p w14:paraId="00000083" w14:textId="77777777" w:rsidR="007F1434" w:rsidRPr="00613D1C" w:rsidRDefault="007F1434" w:rsidP="00613D1C">
      <w:pPr>
        <w:spacing w:line="360" w:lineRule="auto"/>
        <w:rPr>
          <w:rFonts w:cs="Times New Roman"/>
          <w:sz w:val="24"/>
          <w:szCs w:val="24"/>
          <w:lang w:val="en-GB"/>
        </w:rPr>
      </w:pPr>
    </w:p>
    <w:p w14:paraId="00000084" w14:textId="77777777" w:rsidR="007F1434" w:rsidRPr="00613D1C" w:rsidRDefault="000236F3" w:rsidP="00613D1C">
      <w:pPr>
        <w:spacing w:line="360" w:lineRule="auto"/>
        <w:rPr>
          <w:rFonts w:cs="Times New Roman"/>
          <w:sz w:val="24"/>
          <w:szCs w:val="24"/>
          <w:lang w:val="en-GB"/>
        </w:rPr>
      </w:pPr>
      <w:r w:rsidRPr="00613D1C">
        <w:rPr>
          <w:rFonts w:cs="Times New Roman"/>
          <w:i/>
          <w:sz w:val="24"/>
          <w:szCs w:val="24"/>
          <w:lang w:val="en-GB"/>
        </w:rPr>
        <w:t>Figure 1.</w:t>
      </w:r>
      <w:r w:rsidRPr="00613D1C">
        <w:rPr>
          <w:rFonts w:cs="Times New Roman"/>
          <w:sz w:val="24"/>
          <w:szCs w:val="24"/>
          <w:lang w:val="en-GB"/>
        </w:rPr>
        <w:t xml:space="preserve"> We hypothesise that the strength and direction of the relationship between the diversity of a community and its total biomass will depend on the function-dominance correlation of its species (C). Communities with a positive function-dominance correlation (A) will tend to be dominated by species that also generate significant functioning. When included in a mixture, these species will decrease biodiversity as they increase total biomass. Across species richness treatments the likelihood of these species being incorporated into a community will increase, leading to a positive relationship between diversity and biomass. However, within species richness treatments, communities incorporating these dominant species will tend to have lower biodiversity – though more biomass – than communities in which they are absent. A negative function-dominance correlation (B) will lead to alternative diversity-biomass relationships, as they will tend to be dominated by species that provide little functioning. Across species richness treatments, this will lead to a negative relationship between diversity and biomass, as competitive – though low biomass – species are more likely to be incorporated into diverse mixtures. However, within species richness treatments, there will be a positive relationship between biomass and functioning as communities that lack these competitive species will subsequently contain higher diversity and biomass. </w:t>
      </w:r>
    </w:p>
    <w:p w14:paraId="00000085" w14:textId="77777777" w:rsidR="007F1434" w:rsidRPr="00613D1C" w:rsidRDefault="007F1434" w:rsidP="00613D1C">
      <w:pPr>
        <w:spacing w:line="360" w:lineRule="auto"/>
        <w:rPr>
          <w:rFonts w:cs="Times New Roman"/>
          <w:sz w:val="24"/>
          <w:szCs w:val="24"/>
          <w:lang w:val="en-GB"/>
        </w:rPr>
      </w:pPr>
    </w:p>
    <w:p w14:paraId="00000086" w14:textId="77777777" w:rsidR="007F1434" w:rsidRPr="00613D1C" w:rsidRDefault="000236F3" w:rsidP="00613D1C">
      <w:pPr>
        <w:spacing w:line="360" w:lineRule="auto"/>
        <w:rPr>
          <w:rFonts w:cs="Times New Roman"/>
          <w:sz w:val="24"/>
          <w:szCs w:val="24"/>
          <w:lang w:val="en-GB"/>
        </w:rPr>
      </w:pPr>
      <w:r w:rsidRPr="00613D1C">
        <w:rPr>
          <w:rFonts w:cs="Times New Roman"/>
          <w:i/>
          <w:sz w:val="24"/>
          <w:szCs w:val="24"/>
          <w:lang w:val="en-GB"/>
        </w:rPr>
        <w:t>Figure 2.</w:t>
      </w:r>
      <w:r w:rsidRPr="00613D1C">
        <w:rPr>
          <w:rFonts w:cs="Times New Roman"/>
          <w:sz w:val="24"/>
          <w:szCs w:val="24"/>
          <w:lang w:val="en-GB"/>
        </w:rPr>
        <w:t xml:space="preserve"> The relationship between realised Shannon diversity and total community biomass for six plant community models. Points represent individual plant communities. Coloured lines refer to the relationships within species richness treatments, while the black lines refer to the relationship across species richness treatments. Ribbons represent the 95% credibility intervals of the model fits. Significant relationships (95% CI does not include 0) are shown with solid lines. Insignificant relationships are shown with dashed lines.</w:t>
      </w:r>
    </w:p>
    <w:p w14:paraId="00000087" w14:textId="77777777" w:rsidR="007F1434" w:rsidRPr="00613D1C" w:rsidRDefault="007F1434" w:rsidP="00613D1C">
      <w:pPr>
        <w:spacing w:line="360" w:lineRule="auto"/>
        <w:rPr>
          <w:rFonts w:cs="Times New Roman"/>
          <w:sz w:val="24"/>
          <w:szCs w:val="24"/>
          <w:lang w:val="en-GB"/>
        </w:rPr>
      </w:pPr>
    </w:p>
    <w:p w14:paraId="00000088" w14:textId="3B742076" w:rsidR="007F1434" w:rsidRPr="00613D1C" w:rsidRDefault="000236F3" w:rsidP="00613D1C">
      <w:pPr>
        <w:spacing w:line="360" w:lineRule="auto"/>
        <w:rPr>
          <w:rFonts w:cs="Times New Roman"/>
          <w:i/>
          <w:sz w:val="24"/>
          <w:szCs w:val="24"/>
          <w:lang w:val="en-GB"/>
        </w:rPr>
      </w:pPr>
      <w:r w:rsidRPr="00613D1C">
        <w:rPr>
          <w:rFonts w:cs="Times New Roman"/>
          <w:i/>
          <w:sz w:val="24"/>
          <w:szCs w:val="24"/>
          <w:lang w:val="en-GB"/>
        </w:rPr>
        <w:t xml:space="preserve">Figure 3. </w:t>
      </w:r>
      <w:r w:rsidRPr="00613D1C">
        <w:rPr>
          <w:rFonts w:cs="Times New Roman"/>
          <w:sz w:val="24"/>
          <w:szCs w:val="24"/>
          <w:lang w:val="en-GB"/>
        </w:rPr>
        <w:t xml:space="preserve">The relationship between the function-dominance correlation and the slope of the BEF relationship across species richness treatments for six plant community models. Standard major axis regressions were run on each bootstrapped dataset (n = 2500), which each contained one function-dominance correlation paired with one posterior sample of the BEF slope per model. 95% confidence </w:t>
      </w:r>
      <w:r w:rsidR="003515EC">
        <w:rPr>
          <w:rFonts w:cs="Times New Roman"/>
          <w:sz w:val="24"/>
          <w:szCs w:val="24"/>
          <w:lang w:val="en-GB"/>
        </w:rPr>
        <w:t>interval for</w:t>
      </w:r>
      <w:r w:rsidRPr="00613D1C">
        <w:rPr>
          <w:rFonts w:cs="Times New Roman"/>
          <w:sz w:val="24"/>
          <w:szCs w:val="24"/>
          <w:lang w:val="en-GB"/>
        </w:rPr>
        <w:t xml:space="preserve"> the mean</w:t>
      </w:r>
      <w:r w:rsidR="00C80944">
        <w:rPr>
          <w:rFonts w:cs="Times New Roman"/>
          <w:sz w:val="24"/>
          <w:szCs w:val="24"/>
          <w:lang w:val="en-GB"/>
        </w:rPr>
        <w:t xml:space="preserve"> where</w:t>
      </w:r>
      <w:r w:rsidRPr="00613D1C">
        <w:rPr>
          <w:rFonts w:cs="Times New Roman"/>
          <w:sz w:val="24"/>
          <w:szCs w:val="24"/>
          <w:lang w:val="en-GB"/>
        </w:rPr>
        <w:t xml:space="preserve"> derived through nonparametric bootstrapping of the slope parameter (n = 1000).</w:t>
      </w:r>
    </w:p>
    <w:p w14:paraId="00000089" w14:textId="77777777" w:rsidR="007F1434" w:rsidRPr="00613D1C" w:rsidRDefault="007F1434" w:rsidP="00613D1C">
      <w:pPr>
        <w:spacing w:line="360" w:lineRule="auto"/>
        <w:rPr>
          <w:rFonts w:cs="Times New Roman"/>
          <w:i/>
          <w:sz w:val="24"/>
          <w:szCs w:val="24"/>
          <w:lang w:val="en-GB"/>
        </w:rPr>
      </w:pPr>
    </w:p>
    <w:p w14:paraId="5C423A5D" w14:textId="7959E7FB" w:rsidR="00FD1144" w:rsidRDefault="000236F3" w:rsidP="00FD1144">
      <w:pPr>
        <w:spacing w:line="360" w:lineRule="auto"/>
        <w:rPr>
          <w:rFonts w:cs="Times New Roman"/>
          <w:sz w:val="24"/>
          <w:szCs w:val="24"/>
          <w:lang w:val="en-GB"/>
        </w:rPr>
      </w:pPr>
      <w:r w:rsidRPr="00613D1C">
        <w:rPr>
          <w:rFonts w:cs="Times New Roman"/>
          <w:i/>
          <w:sz w:val="24"/>
          <w:szCs w:val="24"/>
          <w:lang w:val="en-GB"/>
        </w:rPr>
        <w:lastRenderedPageBreak/>
        <w:t>Figure 4.</w:t>
      </w:r>
      <w:r w:rsidRPr="00613D1C">
        <w:rPr>
          <w:rFonts w:cs="Times New Roman"/>
          <w:sz w:val="24"/>
          <w:szCs w:val="24"/>
          <w:lang w:val="en-GB"/>
        </w:rPr>
        <w:t xml:space="preserve"> The relationship between the function-dominance correlation and the slope of the BEF relationships within species richness treatments for six plant community models. Standard major axis regressions were run on each bootstrapped dataset (n = 2500), which each contained one function-dominance correlation paired with one posterior sample of the BEF slope per model and species richness treatment. Intervals indicate 95% confidence of the mean, derived through nonparametric bootstrapping of the slope parameter (n = 1000).</w:t>
      </w:r>
    </w:p>
    <w:p w14:paraId="30813343" w14:textId="77777777" w:rsidR="00A06A61" w:rsidRDefault="00A06A61" w:rsidP="00FD1144">
      <w:pPr>
        <w:spacing w:line="360" w:lineRule="auto"/>
        <w:rPr>
          <w:rFonts w:cs="Times New Roman"/>
          <w:sz w:val="24"/>
          <w:szCs w:val="24"/>
          <w:lang w:val="en-GB"/>
        </w:rPr>
      </w:pPr>
    </w:p>
    <w:p w14:paraId="7357F44F" w14:textId="43D72A5E" w:rsidR="00A06A61" w:rsidRDefault="00A06A61" w:rsidP="00FD1144">
      <w:pPr>
        <w:spacing w:line="360" w:lineRule="auto"/>
        <w:rPr>
          <w:rFonts w:cs="Times New Roman"/>
          <w:sz w:val="24"/>
          <w:szCs w:val="24"/>
          <w:lang w:val="en-GB"/>
        </w:rPr>
        <w:sectPr w:rsidR="00A06A61" w:rsidSect="00AA7B3C">
          <w:headerReference w:type="default" r:id="rId7"/>
          <w:footerReference w:type="default" r:id="rId8"/>
          <w:footerReference w:type="first" r:id="rId9"/>
          <w:pgSz w:w="11900" w:h="16840" w:code="9"/>
          <w:pgMar w:top="1440" w:right="1440" w:bottom="1440" w:left="1440" w:header="720" w:footer="720" w:gutter="0"/>
          <w:lnNumType w:countBy="1" w:restart="continuous"/>
          <w:cols w:space="720"/>
          <w:titlePg/>
          <w:docGrid w:linePitch="299"/>
        </w:sectPr>
      </w:pPr>
    </w:p>
    <w:p w14:paraId="5F7875A3" w14:textId="77777777" w:rsidR="00A06A61" w:rsidRPr="00825D48" w:rsidRDefault="00A06A61" w:rsidP="00A06A61">
      <w:pPr>
        <w:spacing w:line="360" w:lineRule="auto"/>
        <w:rPr>
          <w:rFonts w:cs="Times New Roman"/>
          <w:b/>
          <w:lang w:val="en-GB"/>
        </w:rPr>
      </w:pPr>
      <w:r w:rsidRPr="00825D48">
        <w:rPr>
          <w:rFonts w:cs="Times New Roman"/>
          <w:b/>
          <w:lang w:val="en-GB"/>
        </w:rPr>
        <w:lastRenderedPageBreak/>
        <w:t>TABLES</w:t>
      </w:r>
    </w:p>
    <w:p w14:paraId="2B45E2E1" w14:textId="77777777" w:rsidR="00A06A61" w:rsidRPr="00825D48" w:rsidRDefault="00A06A61" w:rsidP="00A06A61">
      <w:pPr>
        <w:rPr>
          <w:rFonts w:cs="Times New Roman"/>
        </w:rPr>
      </w:pPr>
    </w:p>
    <w:p w14:paraId="331DA476" w14:textId="77777777" w:rsidR="00A06A61" w:rsidRPr="00825D48" w:rsidRDefault="00A06A61" w:rsidP="00A06A61">
      <w:pPr>
        <w:rPr>
          <w:rFonts w:cs="Times New Roman"/>
        </w:rPr>
      </w:pPr>
      <w:r w:rsidRPr="00825D48">
        <w:rPr>
          <w:rFonts w:cs="Times New Roman"/>
        </w:rPr>
        <w:t>Table 1. Model descriptions.</w:t>
      </w:r>
    </w:p>
    <w:tbl>
      <w:tblPr>
        <w:tblStyle w:val="TableGrid"/>
        <w:tblW w:w="0" w:type="auto"/>
        <w:tblLook w:val="04A0" w:firstRow="1" w:lastRow="0" w:firstColumn="1" w:lastColumn="0" w:noHBand="0" w:noVBand="1"/>
      </w:tblPr>
      <w:tblGrid>
        <w:gridCol w:w="911"/>
        <w:gridCol w:w="1640"/>
        <w:gridCol w:w="1897"/>
        <w:gridCol w:w="970"/>
        <w:gridCol w:w="2505"/>
        <w:gridCol w:w="4456"/>
        <w:gridCol w:w="1571"/>
      </w:tblGrid>
      <w:tr w:rsidR="00A06A61" w:rsidRPr="00825D48" w14:paraId="12B9AF9A" w14:textId="77777777" w:rsidTr="00235185">
        <w:trPr>
          <w:trHeight w:val="420"/>
        </w:trPr>
        <w:tc>
          <w:tcPr>
            <w:tcW w:w="0" w:type="auto"/>
            <w:hideMark/>
          </w:tcPr>
          <w:p w14:paraId="133B0ABA" w14:textId="77777777" w:rsidR="00A06A61" w:rsidRPr="00754A49" w:rsidRDefault="00A06A61" w:rsidP="00235185">
            <w:pPr>
              <w:rPr>
                <w:rFonts w:eastAsia="Times New Roman" w:cs="Times New Roman"/>
                <w:b/>
                <w:bCs/>
                <w:color w:val="000000"/>
                <w:sz w:val="20"/>
                <w:szCs w:val="20"/>
                <w:lang w:val="en-US"/>
              </w:rPr>
            </w:pPr>
            <w:r w:rsidRPr="00754A49">
              <w:rPr>
                <w:rFonts w:eastAsia="Times New Roman" w:cs="Times New Roman"/>
                <w:b/>
                <w:bCs/>
                <w:color w:val="000000"/>
                <w:sz w:val="20"/>
                <w:szCs w:val="20"/>
                <w:lang w:val="en-US"/>
              </w:rPr>
              <w:t>Model ID</w:t>
            </w:r>
          </w:p>
        </w:tc>
        <w:tc>
          <w:tcPr>
            <w:tcW w:w="0" w:type="auto"/>
            <w:hideMark/>
          </w:tcPr>
          <w:p w14:paraId="5B173C76" w14:textId="77777777" w:rsidR="00A06A61" w:rsidRPr="00754A49" w:rsidRDefault="00A06A61" w:rsidP="00235185">
            <w:pPr>
              <w:rPr>
                <w:rFonts w:eastAsia="Times New Roman" w:cs="Times New Roman"/>
                <w:b/>
                <w:bCs/>
                <w:color w:val="000000"/>
                <w:sz w:val="20"/>
                <w:szCs w:val="20"/>
                <w:lang w:val="en-US"/>
              </w:rPr>
            </w:pPr>
            <w:r w:rsidRPr="00754A49">
              <w:rPr>
                <w:rFonts w:eastAsia="Times New Roman" w:cs="Times New Roman"/>
                <w:b/>
                <w:bCs/>
                <w:color w:val="000000"/>
                <w:sz w:val="20"/>
                <w:szCs w:val="20"/>
                <w:lang w:val="en-US"/>
              </w:rPr>
              <w:t>Study Area</w:t>
            </w:r>
          </w:p>
        </w:tc>
        <w:tc>
          <w:tcPr>
            <w:tcW w:w="0" w:type="auto"/>
            <w:hideMark/>
          </w:tcPr>
          <w:p w14:paraId="2577723B" w14:textId="77777777" w:rsidR="00A06A61" w:rsidRPr="00754A49" w:rsidRDefault="00A06A61" w:rsidP="00235185">
            <w:pPr>
              <w:rPr>
                <w:rFonts w:eastAsia="Times New Roman" w:cs="Times New Roman"/>
                <w:b/>
                <w:bCs/>
                <w:color w:val="000000"/>
                <w:sz w:val="20"/>
                <w:szCs w:val="20"/>
                <w:lang w:val="en-US"/>
              </w:rPr>
            </w:pPr>
            <w:r w:rsidRPr="00754A49">
              <w:rPr>
                <w:rFonts w:eastAsia="Times New Roman" w:cs="Times New Roman"/>
                <w:b/>
                <w:bCs/>
                <w:color w:val="000000"/>
                <w:sz w:val="20"/>
                <w:szCs w:val="20"/>
                <w:lang w:val="en-US"/>
              </w:rPr>
              <w:t>Model Type</w:t>
            </w:r>
          </w:p>
        </w:tc>
        <w:tc>
          <w:tcPr>
            <w:tcW w:w="0" w:type="auto"/>
            <w:hideMark/>
          </w:tcPr>
          <w:p w14:paraId="72660278" w14:textId="77777777" w:rsidR="00A06A61" w:rsidRPr="00754A49" w:rsidRDefault="00A06A61" w:rsidP="00235185">
            <w:pPr>
              <w:rPr>
                <w:rFonts w:eastAsia="Times New Roman" w:cs="Times New Roman"/>
                <w:b/>
                <w:bCs/>
                <w:color w:val="000000"/>
                <w:sz w:val="20"/>
                <w:szCs w:val="20"/>
                <w:lang w:val="en-US"/>
              </w:rPr>
            </w:pPr>
            <w:r w:rsidRPr="00754A49">
              <w:rPr>
                <w:rFonts w:eastAsia="Times New Roman" w:cs="Times New Roman"/>
                <w:b/>
                <w:bCs/>
                <w:color w:val="000000"/>
                <w:sz w:val="20"/>
                <w:szCs w:val="20"/>
                <w:lang w:val="en-US"/>
              </w:rPr>
              <w:t>Spatial Extent</w:t>
            </w:r>
          </w:p>
        </w:tc>
        <w:tc>
          <w:tcPr>
            <w:tcW w:w="0" w:type="auto"/>
            <w:hideMark/>
          </w:tcPr>
          <w:p w14:paraId="4E79A8E8" w14:textId="77777777" w:rsidR="00A06A61" w:rsidRPr="00754A49" w:rsidRDefault="00A06A61" w:rsidP="00235185">
            <w:pPr>
              <w:rPr>
                <w:rFonts w:eastAsia="Times New Roman" w:cs="Times New Roman"/>
                <w:b/>
                <w:bCs/>
                <w:color w:val="000000"/>
                <w:sz w:val="20"/>
                <w:szCs w:val="20"/>
                <w:lang w:val="en-US"/>
              </w:rPr>
            </w:pPr>
            <w:r w:rsidRPr="00754A49">
              <w:rPr>
                <w:rFonts w:eastAsia="Times New Roman" w:cs="Times New Roman"/>
                <w:b/>
                <w:bCs/>
                <w:color w:val="000000"/>
                <w:sz w:val="20"/>
                <w:szCs w:val="20"/>
                <w:lang w:val="en-US"/>
              </w:rPr>
              <w:t>Parameterization</w:t>
            </w:r>
          </w:p>
        </w:tc>
        <w:tc>
          <w:tcPr>
            <w:tcW w:w="0" w:type="auto"/>
            <w:hideMark/>
          </w:tcPr>
          <w:p w14:paraId="2C51BB1A" w14:textId="77777777" w:rsidR="00A06A61" w:rsidRPr="00754A49" w:rsidRDefault="00A06A61" w:rsidP="00235185">
            <w:pPr>
              <w:rPr>
                <w:rFonts w:eastAsia="Times New Roman" w:cs="Times New Roman"/>
                <w:b/>
                <w:bCs/>
                <w:color w:val="000000"/>
                <w:sz w:val="20"/>
                <w:szCs w:val="20"/>
                <w:lang w:val="en-US"/>
              </w:rPr>
            </w:pPr>
            <w:r w:rsidRPr="00754A49">
              <w:rPr>
                <w:rFonts w:eastAsia="Times New Roman" w:cs="Times New Roman"/>
                <w:b/>
                <w:bCs/>
                <w:color w:val="000000"/>
                <w:sz w:val="20"/>
                <w:szCs w:val="20"/>
                <w:lang w:val="en-US"/>
              </w:rPr>
              <w:t>Coexistence Mechanisms</w:t>
            </w:r>
          </w:p>
        </w:tc>
        <w:tc>
          <w:tcPr>
            <w:tcW w:w="0" w:type="auto"/>
            <w:hideMark/>
          </w:tcPr>
          <w:p w14:paraId="5683A0B9" w14:textId="77777777" w:rsidR="00A06A61" w:rsidRPr="00754A49" w:rsidRDefault="00A06A61" w:rsidP="00235185">
            <w:pPr>
              <w:rPr>
                <w:rFonts w:eastAsia="Times New Roman" w:cs="Times New Roman"/>
                <w:b/>
                <w:bCs/>
                <w:color w:val="000000"/>
                <w:sz w:val="20"/>
                <w:szCs w:val="20"/>
                <w:lang w:val="en-US"/>
              </w:rPr>
            </w:pPr>
            <w:r w:rsidRPr="00754A49">
              <w:rPr>
                <w:rFonts w:eastAsia="Times New Roman" w:cs="Times New Roman"/>
                <w:b/>
                <w:bCs/>
                <w:color w:val="000000"/>
                <w:sz w:val="20"/>
                <w:szCs w:val="20"/>
                <w:lang w:val="en-US"/>
              </w:rPr>
              <w:t>Literature</w:t>
            </w:r>
          </w:p>
        </w:tc>
      </w:tr>
      <w:tr w:rsidR="00A06A61" w:rsidRPr="00825D48" w14:paraId="6D0DE111" w14:textId="77777777" w:rsidTr="00235185">
        <w:trPr>
          <w:trHeight w:val="420"/>
        </w:trPr>
        <w:tc>
          <w:tcPr>
            <w:tcW w:w="0" w:type="auto"/>
            <w:hideMark/>
          </w:tcPr>
          <w:p w14:paraId="78926AFA"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Grass1</w:t>
            </w:r>
          </w:p>
        </w:tc>
        <w:tc>
          <w:tcPr>
            <w:tcW w:w="0" w:type="auto"/>
            <w:hideMark/>
          </w:tcPr>
          <w:p w14:paraId="241EF654"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Cedar Creek, Minnesota, USA</w:t>
            </w:r>
          </w:p>
        </w:tc>
        <w:tc>
          <w:tcPr>
            <w:tcW w:w="0" w:type="auto"/>
            <w:hideMark/>
          </w:tcPr>
          <w:p w14:paraId="52DCB195"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Ordinary differential equations</w:t>
            </w:r>
          </w:p>
        </w:tc>
        <w:tc>
          <w:tcPr>
            <w:tcW w:w="0" w:type="auto"/>
            <w:hideMark/>
          </w:tcPr>
          <w:p w14:paraId="77957C63"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1 m</w:t>
            </w:r>
            <w:r w:rsidRPr="00754A49">
              <w:rPr>
                <w:rFonts w:eastAsia="Times New Roman" w:cs="Times New Roman"/>
                <w:color w:val="000000"/>
                <w:sz w:val="20"/>
                <w:szCs w:val="20"/>
                <w:vertAlign w:val="superscript"/>
                <w:lang w:val="en-US"/>
              </w:rPr>
              <w:t>2</w:t>
            </w:r>
          </w:p>
        </w:tc>
        <w:tc>
          <w:tcPr>
            <w:tcW w:w="0" w:type="auto"/>
            <w:hideMark/>
          </w:tcPr>
          <w:p w14:paraId="3CD1EB4F"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Field data</w:t>
            </w:r>
          </w:p>
        </w:tc>
        <w:tc>
          <w:tcPr>
            <w:tcW w:w="0" w:type="auto"/>
            <w:hideMark/>
          </w:tcPr>
          <w:p w14:paraId="5C3D0D97"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Trade-off between competitive ability for soil nitrate and nitrogen-use efficiency</w:t>
            </w:r>
          </w:p>
        </w:tc>
        <w:tc>
          <w:tcPr>
            <w:tcW w:w="0" w:type="auto"/>
            <w:hideMark/>
          </w:tcPr>
          <w:p w14:paraId="2D3F362B"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Clark et al. 2018</w:t>
            </w:r>
          </w:p>
        </w:tc>
      </w:tr>
      <w:tr w:rsidR="00A06A61" w:rsidRPr="00825D48" w14:paraId="0F92CD55" w14:textId="77777777" w:rsidTr="00235185">
        <w:trPr>
          <w:trHeight w:val="420"/>
        </w:trPr>
        <w:tc>
          <w:tcPr>
            <w:tcW w:w="0" w:type="auto"/>
            <w:hideMark/>
          </w:tcPr>
          <w:p w14:paraId="48803406"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Grass2</w:t>
            </w:r>
          </w:p>
        </w:tc>
        <w:tc>
          <w:tcPr>
            <w:tcW w:w="0" w:type="auto"/>
            <w:hideMark/>
          </w:tcPr>
          <w:p w14:paraId="7958A4EA"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Temperate grasslands</w:t>
            </w:r>
          </w:p>
        </w:tc>
        <w:tc>
          <w:tcPr>
            <w:tcW w:w="0" w:type="auto"/>
            <w:hideMark/>
          </w:tcPr>
          <w:p w14:paraId="58BBA3EF"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Ordinary differential equations</w:t>
            </w:r>
          </w:p>
        </w:tc>
        <w:tc>
          <w:tcPr>
            <w:tcW w:w="0" w:type="auto"/>
            <w:hideMark/>
          </w:tcPr>
          <w:p w14:paraId="318CFCA3"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1 m</w:t>
            </w:r>
            <w:r w:rsidRPr="00754A49">
              <w:rPr>
                <w:rFonts w:eastAsia="Times New Roman" w:cs="Times New Roman"/>
                <w:color w:val="000000"/>
                <w:sz w:val="20"/>
                <w:szCs w:val="20"/>
                <w:vertAlign w:val="superscript"/>
                <w:lang w:val="en-US"/>
              </w:rPr>
              <w:t>2</w:t>
            </w:r>
          </w:p>
        </w:tc>
        <w:tc>
          <w:tcPr>
            <w:tcW w:w="0" w:type="auto"/>
            <w:hideMark/>
          </w:tcPr>
          <w:p w14:paraId="08C4D9E0"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Theoretical</w:t>
            </w:r>
          </w:p>
        </w:tc>
        <w:tc>
          <w:tcPr>
            <w:tcW w:w="0" w:type="auto"/>
            <w:hideMark/>
          </w:tcPr>
          <w:p w14:paraId="02E725FE"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Trade-off between rooting depth and resource uptake rate</w:t>
            </w:r>
          </w:p>
        </w:tc>
        <w:tc>
          <w:tcPr>
            <w:tcW w:w="0" w:type="auto"/>
            <w:hideMark/>
          </w:tcPr>
          <w:p w14:paraId="78A93CEA"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Turnbull et al. 2013</w:t>
            </w:r>
          </w:p>
        </w:tc>
      </w:tr>
      <w:tr w:rsidR="00A06A61" w:rsidRPr="00825D48" w14:paraId="6CB185A3" w14:textId="77777777" w:rsidTr="00235185">
        <w:trPr>
          <w:trHeight w:val="700"/>
        </w:trPr>
        <w:tc>
          <w:tcPr>
            <w:tcW w:w="0" w:type="auto"/>
            <w:hideMark/>
          </w:tcPr>
          <w:p w14:paraId="0DDBE4B6"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Grass3</w:t>
            </w:r>
          </w:p>
        </w:tc>
        <w:tc>
          <w:tcPr>
            <w:tcW w:w="0" w:type="auto"/>
            <w:hideMark/>
          </w:tcPr>
          <w:p w14:paraId="47E1E1C0"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Central European grasslands</w:t>
            </w:r>
          </w:p>
        </w:tc>
        <w:tc>
          <w:tcPr>
            <w:tcW w:w="0" w:type="auto"/>
            <w:hideMark/>
          </w:tcPr>
          <w:p w14:paraId="3F9E4F1A"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Individual-based, spatially-explicit model</w:t>
            </w:r>
          </w:p>
        </w:tc>
        <w:tc>
          <w:tcPr>
            <w:tcW w:w="0" w:type="auto"/>
            <w:hideMark/>
          </w:tcPr>
          <w:p w14:paraId="374D75CF"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9 m</w:t>
            </w:r>
            <w:r w:rsidRPr="00754A49">
              <w:rPr>
                <w:rFonts w:eastAsia="Times New Roman" w:cs="Times New Roman"/>
                <w:color w:val="000000"/>
                <w:sz w:val="20"/>
                <w:szCs w:val="20"/>
                <w:vertAlign w:val="superscript"/>
                <w:lang w:val="en-US"/>
              </w:rPr>
              <w:t>2</w:t>
            </w:r>
          </w:p>
        </w:tc>
        <w:tc>
          <w:tcPr>
            <w:tcW w:w="0" w:type="auto"/>
            <w:hideMark/>
          </w:tcPr>
          <w:p w14:paraId="31AD461D"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Field data (see Weiss et al. 2014)</w:t>
            </w:r>
          </w:p>
        </w:tc>
        <w:tc>
          <w:tcPr>
            <w:tcW w:w="0" w:type="auto"/>
            <w:hideMark/>
          </w:tcPr>
          <w:p w14:paraId="5F679E0D"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Trait-driven niche and fitness differences defining compet</w:t>
            </w:r>
            <w:r w:rsidRPr="00825D48">
              <w:rPr>
                <w:rFonts w:eastAsia="Times New Roman" w:cs="Times New Roman"/>
                <w:color w:val="000000"/>
                <w:sz w:val="20"/>
                <w:szCs w:val="20"/>
                <w:lang w:val="en-US"/>
              </w:rPr>
              <w:t>it</w:t>
            </w:r>
            <w:r w:rsidRPr="00754A49">
              <w:rPr>
                <w:rFonts w:eastAsia="Times New Roman" w:cs="Times New Roman"/>
                <w:color w:val="000000"/>
                <w:sz w:val="20"/>
                <w:szCs w:val="20"/>
                <w:lang w:val="en-US"/>
              </w:rPr>
              <w:t>ion above- and belowground; CNDD</w:t>
            </w:r>
          </w:p>
        </w:tc>
        <w:tc>
          <w:tcPr>
            <w:tcW w:w="0" w:type="auto"/>
            <w:hideMark/>
          </w:tcPr>
          <w:p w14:paraId="2527388F"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May et al. 2009, Weiss et al. 2014</w:t>
            </w:r>
          </w:p>
        </w:tc>
      </w:tr>
      <w:tr w:rsidR="00A06A61" w:rsidRPr="00825D48" w14:paraId="38A26E15" w14:textId="77777777" w:rsidTr="00235185">
        <w:trPr>
          <w:trHeight w:val="700"/>
        </w:trPr>
        <w:tc>
          <w:tcPr>
            <w:tcW w:w="0" w:type="auto"/>
            <w:hideMark/>
          </w:tcPr>
          <w:p w14:paraId="7160A730"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Forest1</w:t>
            </w:r>
          </w:p>
        </w:tc>
        <w:tc>
          <w:tcPr>
            <w:tcW w:w="0" w:type="auto"/>
            <w:hideMark/>
          </w:tcPr>
          <w:p w14:paraId="23FAC8B6"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Barro Colorado Island, Panama</w:t>
            </w:r>
          </w:p>
        </w:tc>
        <w:tc>
          <w:tcPr>
            <w:tcW w:w="0" w:type="auto"/>
            <w:hideMark/>
          </w:tcPr>
          <w:p w14:paraId="66F2B3B9"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Spatially-implicit demographic cohort model</w:t>
            </w:r>
          </w:p>
        </w:tc>
        <w:tc>
          <w:tcPr>
            <w:tcW w:w="0" w:type="auto"/>
            <w:hideMark/>
          </w:tcPr>
          <w:p w14:paraId="07E5B699"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1 ha</w:t>
            </w:r>
          </w:p>
        </w:tc>
        <w:tc>
          <w:tcPr>
            <w:tcW w:w="0" w:type="auto"/>
            <w:hideMark/>
          </w:tcPr>
          <w:p w14:paraId="129ABEC3"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Demographic trade-offs derived from forest inventory data</w:t>
            </w:r>
          </w:p>
        </w:tc>
        <w:tc>
          <w:tcPr>
            <w:tcW w:w="0" w:type="auto"/>
            <w:hideMark/>
          </w:tcPr>
          <w:p w14:paraId="5594F4A3"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Demographic trade-offs; demography-driven niche differences within a vertical canopy gradient; external seed input</w:t>
            </w:r>
          </w:p>
        </w:tc>
        <w:tc>
          <w:tcPr>
            <w:tcW w:w="0" w:type="auto"/>
            <w:hideMark/>
          </w:tcPr>
          <w:p w14:paraId="4E79FB17" w14:textId="77777777" w:rsidR="00A06A61" w:rsidRPr="00754A49" w:rsidRDefault="00A06A61" w:rsidP="00235185">
            <w:pPr>
              <w:rPr>
                <w:rFonts w:eastAsia="Times New Roman" w:cs="Times New Roman"/>
                <w:color w:val="000000"/>
                <w:sz w:val="20"/>
                <w:szCs w:val="20"/>
                <w:lang w:val="en-US"/>
              </w:rPr>
            </w:pPr>
            <w:proofErr w:type="spellStart"/>
            <w:r w:rsidRPr="00754A49">
              <w:rPr>
                <w:rFonts w:eastAsia="Times New Roman" w:cs="Times New Roman"/>
                <w:color w:val="000000"/>
                <w:sz w:val="20"/>
                <w:szCs w:val="20"/>
                <w:lang w:val="en-US"/>
              </w:rPr>
              <w:t>Rüger</w:t>
            </w:r>
            <w:proofErr w:type="spellEnd"/>
            <w:r w:rsidRPr="00754A49">
              <w:rPr>
                <w:rFonts w:eastAsia="Times New Roman" w:cs="Times New Roman"/>
                <w:color w:val="000000"/>
                <w:sz w:val="20"/>
                <w:szCs w:val="20"/>
                <w:lang w:val="en-US"/>
              </w:rPr>
              <w:t xml:space="preserve"> et al. 2020</w:t>
            </w:r>
          </w:p>
        </w:tc>
      </w:tr>
      <w:tr w:rsidR="00A06A61" w:rsidRPr="00825D48" w14:paraId="1D7E54B0" w14:textId="77777777" w:rsidTr="00235185">
        <w:trPr>
          <w:trHeight w:val="700"/>
        </w:trPr>
        <w:tc>
          <w:tcPr>
            <w:tcW w:w="0" w:type="auto"/>
            <w:hideMark/>
          </w:tcPr>
          <w:p w14:paraId="4A65F578"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Forest2</w:t>
            </w:r>
          </w:p>
        </w:tc>
        <w:tc>
          <w:tcPr>
            <w:tcW w:w="0" w:type="auto"/>
            <w:hideMark/>
          </w:tcPr>
          <w:p w14:paraId="4486CE44"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French Guiana</w:t>
            </w:r>
          </w:p>
        </w:tc>
        <w:tc>
          <w:tcPr>
            <w:tcW w:w="0" w:type="auto"/>
            <w:hideMark/>
          </w:tcPr>
          <w:p w14:paraId="02A3E019"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Individual-based, spatially-explicit model</w:t>
            </w:r>
          </w:p>
        </w:tc>
        <w:tc>
          <w:tcPr>
            <w:tcW w:w="0" w:type="auto"/>
            <w:hideMark/>
          </w:tcPr>
          <w:p w14:paraId="63D8C6F1"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1 ha</w:t>
            </w:r>
          </w:p>
        </w:tc>
        <w:tc>
          <w:tcPr>
            <w:tcW w:w="0" w:type="auto"/>
            <w:hideMark/>
          </w:tcPr>
          <w:p w14:paraId="0E54FDAC"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Field data (functional traits)</w:t>
            </w:r>
          </w:p>
        </w:tc>
        <w:tc>
          <w:tcPr>
            <w:tcW w:w="0" w:type="auto"/>
            <w:hideMark/>
          </w:tcPr>
          <w:p w14:paraId="6D946C19"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Trait-driven among-species niche differences within a heterogeneous environment, both vertically (canopy gradient) and horizontally (gap dynamics); external seed input</w:t>
            </w:r>
          </w:p>
        </w:tc>
        <w:tc>
          <w:tcPr>
            <w:tcW w:w="0" w:type="auto"/>
            <w:hideMark/>
          </w:tcPr>
          <w:p w14:paraId="7203F942" w14:textId="77777777" w:rsidR="00A06A61" w:rsidRPr="00754A49" w:rsidRDefault="00A06A61" w:rsidP="00235185">
            <w:pPr>
              <w:rPr>
                <w:rFonts w:eastAsia="Times New Roman" w:cs="Times New Roman"/>
                <w:color w:val="000000"/>
                <w:sz w:val="20"/>
                <w:szCs w:val="20"/>
                <w:lang w:val="en-US"/>
              </w:rPr>
            </w:pPr>
            <w:proofErr w:type="spellStart"/>
            <w:r w:rsidRPr="00754A49">
              <w:rPr>
                <w:rFonts w:eastAsia="Times New Roman" w:cs="Times New Roman"/>
                <w:color w:val="000000"/>
                <w:sz w:val="20"/>
                <w:szCs w:val="20"/>
                <w:lang w:val="en-US"/>
              </w:rPr>
              <w:t>Maréchaux</w:t>
            </w:r>
            <w:proofErr w:type="spellEnd"/>
            <w:r w:rsidRPr="00754A49">
              <w:rPr>
                <w:rFonts w:eastAsia="Times New Roman" w:cs="Times New Roman"/>
                <w:color w:val="000000"/>
                <w:sz w:val="20"/>
                <w:szCs w:val="20"/>
                <w:lang w:val="en-US"/>
              </w:rPr>
              <w:t xml:space="preserve"> &amp; </w:t>
            </w:r>
            <w:proofErr w:type="spellStart"/>
            <w:r w:rsidRPr="00754A49">
              <w:rPr>
                <w:rFonts w:eastAsia="Times New Roman" w:cs="Times New Roman"/>
                <w:color w:val="000000"/>
                <w:sz w:val="20"/>
                <w:szCs w:val="20"/>
                <w:lang w:val="en-US"/>
              </w:rPr>
              <w:t>Chave</w:t>
            </w:r>
            <w:proofErr w:type="spellEnd"/>
            <w:r w:rsidRPr="00754A49">
              <w:rPr>
                <w:rFonts w:eastAsia="Times New Roman" w:cs="Times New Roman"/>
                <w:color w:val="000000"/>
                <w:sz w:val="20"/>
                <w:szCs w:val="20"/>
                <w:lang w:val="en-US"/>
              </w:rPr>
              <w:t xml:space="preserve"> 2017</w:t>
            </w:r>
          </w:p>
        </w:tc>
      </w:tr>
      <w:tr w:rsidR="00A06A61" w:rsidRPr="00825D48" w14:paraId="3E077B68" w14:textId="77777777" w:rsidTr="00235185">
        <w:trPr>
          <w:trHeight w:val="700"/>
        </w:trPr>
        <w:tc>
          <w:tcPr>
            <w:tcW w:w="0" w:type="auto"/>
            <w:hideMark/>
          </w:tcPr>
          <w:p w14:paraId="12839338"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Dryland</w:t>
            </w:r>
          </w:p>
        </w:tc>
        <w:tc>
          <w:tcPr>
            <w:tcW w:w="0" w:type="auto"/>
            <w:hideMark/>
          </w:tcPr>
          <w:p w14:paraId="5CB3966C" w14:textId="77777777" w:rsidR="00A06A61" w:rsidRPr="00754A49" w:rsidRDefault="00A06A61" w:rsidP="00235185">
            <w:pPr>
              <w:rPr>
                <w:rFonts w:eastAsia="Times New Roman" w:cs="Times New Roman"/>
                <w:color w:val="000000"/>
                <w:sz w:val="20"/>
                <w:szCs w:val="20"/>
                <w:lang w:val="en-US"/>
              </w:rPr>
            </w:pPr>
            <w:proofErr w:type="spellStart"/>
            <w:r w:rsidRPr="00754A49">
              <w:rPr>
                <w:rFonts w:eastAsia="Times New Roman" w:cs="Times New Roman"/>
                <w:color w:val="000000"/>
                <w:sz w:val="20"/>
                <w:szCs w:val="20"/>
                <w:lang w:val="en-US"/>
              </w:rPr>
              <w:t>Richtersveld</w:t>
            </w:r>
            <w:proofErr w:type="spellEnd"/>
            <w:r w:rsidRPr="00754A49">
              <w:rPr>
                <w:rFonts w:eastAsia="Times New Roman" w:cs="Times New Roman"/>
                <w:color w:val="000000"/>
                <w:sz w:val="20"/>
                <w:szCs w:val="20"/>
                <w:lang w:val="en-US"/>
              </w:rPr>
              <w:t>, South Africa</w:t>
            </w:r>
          </w:p>
        </w:tc>
        <w:tc>
          <w:tcPr>
            <w:tcW w:w="0" w:type="auto"/>
            <w:hideMark/>
          </w:tcPr>
          <w:p w14:paraId="709E8738"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Individual-based, spatially-explicit model</w:t>
            </w:r>
          </w:p>
        </w:tc>
        <w:tc>
          <w:tcPr>
            <w:tcW w:w="0" w:type="auto"/>
            <w:hideMark/>
          </w:tcPr>
          <w:p w14:paraId="0CB67552"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25 m</w:t>
            </w:r>
            <w:r w:rsidRPr="00754A49">
              <w:rPr>
                <w:rFonts w:eastAsia="Times New Roman" w:cs="Times New Roman"/>
                <w:color w:val="000000"/>
                <w:sz w:val="20"/>
                <w:szCs w:val="20"/>
                <w:vertAlign w:val="superscript"/>
                <w:lang w:val="en-US"/>
              </w:rPr>
              <w:t>2</w:t>
            </w:r>
          </w:p>
        </w:tc>
        <w:tc>
          <w:tcPr>
            <w:tcW w:w="0" w:type="auto"/>
            <w:hideMark/>
          </w:tcPr>
          <w:p w14:paraId="4EBF7593"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Literature</w:t>
            </w:r>
          </w:p>
        </w:tc>
        <w:tc>
          <w:tcPr>
            <w:tcW w:w="0" w:type="auto"/>
            <w:hideMark/>
          </w:tcPr>
          <w:p w14:paraId="220E5761" w14:textId="77777777" w:rsidR="00A06A61" w:rsidRPr="00754A49" w:rsidRDefault="00A06A61" w:rsidP="00235185">
            <w:pPr>
              <w:rPr>
                <w:rFonts w:eastAsia="Times New Roman" w:cs="Times New Roman"/>
                <w:color w:val="000000"/>
                <w:sz w:val="20"/>
                <w:szCs w:val="20"/>
                <w:lang w:val="en-US"/>
              </w:rPr>
            </w:pPr>
            <w:r w:rsidRPr="00754A49">
              <w:rPr>
                <w:rFonts w:eastAsia="Times New Roman" w:cs="Times New Roman"/>
                <w:color w:val="000000"/>
                <w:sz w:val="20"/>
                <w:szCs w:val="20"/>
                <w:lang w:val="en-US"/>
              </w:rPr>
              <w:t>Trade-offs between competition and storage ability for water, mediated through stochastic variation in water supply rate</w:t>
            </w:r>
          </w:p>
        </w:tc>
        <w:tc>
          <w:tcPr>
            <w:tcW w:w="0" w:type="auto"/>
            <w:hideMark/>
          </w:tcPr>
          <w:p w14:paraId="1B3AE8F3" w14:textId="77777777" w:rsidR="00A06A61" w:rsidRPr="00754A49" w:rsidRDefault="00A06A61" w:rsidP="00235185">
            <w:pPr>
              <w:rPr>
                <w:rFonts w:eastAsia="Times New Roman" w:cs="Times New Roman"/>
                <w:color w:val="000000"/>
                <w:sz w:val="20"/>
                <w:szCs w:val="20"/>
                <w:lang w:val="en-US"/>
              </w:rPr>
            </w:pPr>
            <w:proofErr w:type="spellStart"/>
            <w:r w:rsidRPr="00754A49">
              <w:rPr>
                <w:rFonts w:eastAsia="Times New Roman" w:cs="Times New Roman"/>
                <w:color w:val="000000"/>
                <w:sz w:val="20"/>
                <w:szCs w:val="20"/>
                <w:lang w:val="en-US"/>
              </w:rPr>
              <w:t>Reineking</w:t>
            </w:r>
            <w:proofErr w:type="spellEnd"/>
            <w:r w:rsidRPr="00754A49">
              <w:rPr>
                <w:rFonts w:eastAsia="Times New Roman" w:cs="Times New Roman"/>
                <w:color w:val="000000"/>
                <w:sz w:val="20"/>
                <w:szCs w:val="20"/>
                <w:lang w:val="en-US"/>
              </w:rPr>
              <w:t xml:space="preserve"> et al. 2006</w:t>
            </w:r>
          </w:p>
        </w:tc>
      </w:tr>
    </w:tbl>
    <w:p w14:paraId="40162969" w14:textId="77777777" w:rsidR="00A06A61" w:rsidRPr="00825D48" w:rsidRDefault="00A06A61" w:rsidP="00A06A61">
      <w:pPr>
        <w:rPr>
          <w:rFonts w:cs="Times New Roman"/>
          <w:lang w:val="en-GB"/>
        </w:rPr>
      </w:pPr>
      <w:r w:rsidRPr="00825D48">
        <w:rPr>
          <w:rFonts w:cs="Times New Roman"/>
          <w:lang w:val="en-GB"/>
        </w:rPr>
        <w:br w:type="page"/>
      </w:r>
    </w:p>
    <w:p w14:paraId="2D3F78D0" w14:textId="77777777" w:rsidR="00A06A61" w:rsidRPr="00825D48" w:rsidRDefault="00A06A61" w:rsidP="00A06A61">
      <w:pPr>
        <w:spacing w:line="360" w:lineRule="auto"/>
        <w:rPr>
          <w:rFonts w:cs="Times New Roman"/>
          <w:b/>
          <w:lang w:val="en-GB"/>
        </w:rPr>
      </w:pPr>
      <w:r w:rsidRPr="00825D48">
        <w:rPr>
          <w:rFonts w:cs="Times New Roman"/>
          <w:b/>
          <w:lang w:val="en-GB"/>
        </w:rPr>
        <w:lastRenderedPageBreak/>
        <w:t>FIGURES</w:t>
      </w:r>
    </w:p>
    <w:p w14:paraId="770A8AF7" w14:textId="77777777" w:rsidR="00A06A61" w:rsidRPr="00825D48" w:rsidRDefault="00A06A61" w:rsidP="00A06A61">
      <w:pPr>
        <w:rPr>
          <w:rFonts w:cs="Times New Roman"/>
        </w:rPr>
      </w:pPr>
    </w:p>
    <w:p w14:paraId="6A8229E7" w14:textId="77777777" w:rsidR="00A06A61" w:rsidRPr="00825D48" w:rsidRDefault="00A06A61" w:rsidP="00A06A61">
      <w:pPr>
        <w:rPr>
          <w:rFonts w:cs="Times New Roman"/>
        </w:rPr>
      </w:pPr>
      <w:r w:rsidRPr="00825D48">
        <w:rPr>
          <w:rFonts w:cs="Times New Roman"/>
        </w:rPr>
        <w:t>Figure 1.</w:t>
      </w:r>
    </w:p>
    <w:p w14:paraId="1E8E6CA5" w14:textId="77777777" w:rsidR="00A06A61" w:rsidRPr="00825D48" w:rsidRDefault="00A06A61" w:rsidP="00A06A61">
      <w:pPr>
        <w:rPr>
          <w:rFonts w:cs="Times New Roman"/>
        </w:rPr>
        <w:sectPr w:rsidR="00A06A61" w:rsidRPr="00825D48" w:rsidSect="003F2D12">
          <w:pgSz w:w="16840" w:h="11900" w:orient="landscape"/>
          <w:pgMar w:top="1440" w:right="1440" w:bottom="1440" w:left="1440" w:header="720" w:footer="720" w:gutter="0"/>
          <w:cols w:space="720"/>
          <w:docGrid w:linePitch="360"/>
        </w:sectPr>
      </w:pPr>
      <w:r w:rsidRPr="00825D48">
        <w:rPr>
          <w:rFonts w:cs="Times New Roman"/>
          <w:noProof/>
        </w:rPr>
        <w:drawing>
          <wp:inline distT="0" distB="0" distL="0" distR="0" wp14:anchorId="4E006691" wp14:editId="006B9B8D">
            <wp:extent cx="8864600" cy="4888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Net_ConceptualGraph.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64600" cy="4888865"/>
                    </a:xfrm>
                    <a:prstGeom prst="rect">
                      <a:avLst/>
                    </a:prstGeom>
                  </pic:spPr>
                </pic:pic>
              </a:graphicData>
            </a:graphic>
          </wp:inline>
        </w:drawing>
      </w:r>
    </w:p>
    <w:p w14:paraId="58EAB4BB" w14:textId="77777777" w:rsidR="00A06A61" w:rsidRPr="00825D48" w:rsidRDefault="00A06A61" w:rsidP="00A06A61">
      <w:pPr>
        <w:rPr>
          <w:rFonts w:cs="Times New Roman"/>
        </w:rPr>
      </w:pPr>
      <w:r w:rsidRPr="00825D48">
        <w:rPr>
          <w:rFonts w:cs="Times New Roman"/>
        </w:rPr>
        <w:lastRenderedPageBreak/>
        <w:t>Figure 2.</w:t>
      </w:r>
    </w:p>
    <w:p w14:paraId="3F244C04" w14:textId="77777777" w:rsidR="00A06A61" w:rsidRPr="00825D48" w:rsidRDefault="00A06A61" w:rsidP="00A06A61">
      <w:pPr>
        <w:rPr>
          <w:rFonts w:cs="Times New Roman"/>
        </w:rPr>
        <w:sectPr w:rsidR="00A06A61" w:rsidRPr="00825D48" w:rsidSect="00722F71">
          <w:pgSz w:w="11900" w:h="16840"/>
          <w:pgMar w:top="1440" w:right="1440" w:bottom="1440" w:left="1440" w:header="720" w:footer="720" w:gutter="0"/>
          <w:cols w:space="720"/>
          <w:docGrid w:linePitch="360"/>
        </w:sectPr>
      </w:pPr>
      <w:r w:rsidRPr="00825D48">
        <w:rPr>
          <w:rFonts w:cs="Times New Roman"/>
          <w:noProof/>
        </w:rPr>
        <w:drawing>
          <wp:inline distT="0" distB="0" distL="0" distR="0" wp14:anchorId="3B3B1FA7" wp14:editId="663A22AF">
            <wp:extent cx="5727700" cy="8590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omass_fitted_Shann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8590280"/>
                    </a:xfrm>
                    <a:prstGeom prst="rect">
                      <a:avLst/>
                    </a:prstGeom>
                  </pic:spPr>
                </pic:pic>
              </a:graphicData>
            </a:graphic>
          </wp:inline>
        </w:drawing>
      </w:r>
    </w:p>
    <w:p w14:paraId="6E850660" w14:textId="77777777" w:rsidR="00A06A61" w:rsidRPr="00825D48" w:rsidRDefault="00A06A61" w:rsidP="00A06A61">
      <w:pPr>
        <w:rPr>
          <w:rFonts w:cs="Times New Roman"/>
        </w:rPr>
      </w:pPr>
      <w:r w:rsidRPr="00825D48">
        <w:rPr>
          <w:rFonts w:cs="Times New Roman"/>
        </w:rPr>
        <w:lastRenderedPageBreak/>
        <w:t>Figure 3.</w:t>
      </w:r>
    </w:p>
    <w:p w14:paraId="00527150" w14:textId="77777777" w:rsidR="00A06A61" w:rsidRDefault="00A06A61" w:rsidP="00A06A61">
      <w:pPr>
        <w:rPr>
          <w:rFonts w:cs="Times New Roman"/>
        </w:rPr>
      </w:pPr>
      <w:r w:rsidRPr="00825D48">
        <w:rPr>
          <w:rFonts w:cs="Times New Roman"/>
          <w:noProof/>
        </w:rPr>
        <w:drawing>
          <wp:inline distT="0" distB="0" distL="0" distR="0" wp14:anchorId="5F5170C9" wp14:editId="5260A75C">
            <wp:extent cx="8841166" cy="30056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omass_acrossTreatmentEffects_Shannon.png"/>
                    <pic:cNvPicPr/>
                  </pic:nvPicPr>
                  <pic:blipFill rotWithShape="1">
                    <a:blip r:embed="rId12" cstate="print">
                      <a:extLst>
                        <a:ext uri="{28A0092B-C50C-407E-A947-70E740481C1C}">
                          <a14:useLocalDpi xmlns:a14="http://schemas.microsoft.com/office/drawing/2010/main" val="0"/>
                        </a:ext>
                      </a:extLst>
                    </a:blip>
                    <a:srcRect l="7927" r="8020"/>
                    <a:stretch/>
                  </pic:blipFill>
                  <pic:spPr bwMode="auto">
                    <a:xfrm>
                      <a:off x="0" y="0"/>
                      <a:ext cx="8859613" cy="3011938"/>
                    </a:xfrm>
                    <a:prstGeom prst="rect">
                      <a:avLst/>
                    </a:prstGeom>
                    <a:ln>
                      <a:noFill/>
                    </a:ln>
                    <a:extLst>
                      <a:ext uri="{53640926-AAD7-44D8-BBD7-CCE9431645EC}">
                        <a14:shadowObscured xmlns:a14="http://schemas.microsoft.com/office/drawing/2010/main"/>
                      </a:ext>
                    </a:extLst>
                  </pic:spPr>
                </pic:pic>
              </a:graphicData>
            </a:graphic>
          </wp:inline>
        </w:drawing>
      </w:r>
    </w:p>
    <w:p w14:paraId="75D1B4D8" w14:textId="77777777" w:rsidR="00A06A61" w:rsidRDefault="00A06A61" w:rsidP="00A06A61">
      <w:pPr>
        <w:rPr>
          <w:rFonts w:cs="Times New Roman"/>
        </w:rPr>
      </w:pPr>
    </w:p>
    <w:p w14:paraId="0913B7D0" w14:textId="77777777" w:rsidR="00A06A61" w:rsidRPr="00825D48" w:rsidRDefault="00A06A61" w:rsidP="00A06A61">
      <w:pPr>
        <w:rPr>
          <w:rFonts w:cs="Times New Roman"/>
        </w:rPr>
        <w:sectPr w:rsidR="00A06A61" w:rsidRPr="00825D48" w:rsidSect="00722F71">
          <w:pgSz w:w="16840" w:h="11900" w:orient="landscape"/>
          <w:pgMar w:top="1440" w:right="1440" w:bottom="1440" w:left="1440" w:header="720" w:footer="720" w:gutter="0"/>
          <w:cols w:space="720"/>
          <w:docGrid w:linePitch="360"/>
        </w:sectPr>
      </w:pPr>
    </w:p>
    <w:p w14:paraId="547F534B" w14:textId="77777777" w:rsidR="00A06A61" w:rsidRPr="00825D48" w:rsidRDefault="00A06A61" w:rsidP="00A06A61">
      <w:pPr>
        <w:rPr>
          <w:rFonts w:cs="Times New Roman"/>
        </w:rPr>
      </w:pPr>
      <w:r w:rsidRPr="00825D48">
        <w:rPr>
          <w:rFonts w:cs="Times New Roman"/>
        </w:rPr>
        <w:lastRenderedPageBreak/>
        <w:t>Figure 4.</w:t>
      </w:r>
    </w:p>
    <w:p w14:paraId="33AB4EF2" w14:textId="77777777" w:rsidR="00A06A61" w:rsidRPr="00825D48" w:rsidRDefault="00A06A61" w:rsidP="00A06A61">
      <w:pPr>
        <w:rPr>
          <w:rFonts w:cs="Times New Roman"/>
        </w:rPr>
      </w:pPr>
      <w:r w:rsidRPr="00825D48">
        <w:rPr>
          <w:rFonts w:cs="Times New Roman"/>
          <w:noProof/>
        </w:rPr>
        <w:drawing>
          <wp:inline distT="0" distB="0" distL="0" distR="0" wp14:anchorId="6101542E" wp14:editId="0B0747CC">
            <wp:extent cx="5727700" cy="8183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omass_withinTreatmentEffects_Shann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8183245"/>
                    </a:xfrm>
                    <a:prstGeom prst="rect">
                      <a:avLst/>
                    </a:prstGeom>
                  </pic:spPr>
                </pic:pic>
              </a:graphicData>
            </a:graphic>
          </wp:inline>
        </w:drawing>
      </w:r>
    </w:p>
    <w:p w14:paraId="09257475" w14:textId="5F1CEA5E" w:rsidR="00A06A61" w:rsidRPr="00613D1C" w:rsidRDefault="00A06A61" w:rsidP="00FD1144">
      <w:pPr>
        <w:spacing w:line="360" w:lineRule="auto"/>
        <w:rPr>
          <w:rFonts w:cs="Times New Roman"/>
          <w:sz w:val="24"/>
          <w:szCs w:val="24"/>
          <w:lang w:val="en-GB"/>
        </w:rPr>
      </w:pPr>
    </w:p>
    <w:sectPr w:rsidR="00A06A61" w:rsidRPr="00613D1C" w:rsidSect="00696D4E">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83215" w14:textId="77777777" w:rsidR="009A3FA3" w:rsidRDefault="009A3FA3">
      <w:pPr>
        <w:spacing w:line="240" w:lineRule="auto"/>
      </w:pPr>
      <w:r>
        <w:separator/>
      </w:r>
    </w:p>
  </w:endnote>
  <w:endnote w:type="continuationSeparator" w:id="0">
    <w:p w14:paraId="4DE1B684" w14:textId="77777777" w:rsidR="009A3FA3" w:rsidRDefault="009A3F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8E" w14:textId="0FF72BBA" w:rsidR="007F1434" w:rsidRDefault="000236F3">
    <w:pPr>
      <w:jc w:val="right"/>
    </w:pPr>
    <w:r>
      <w:fldChar w:fldCharType="begin"/>
    </w:r>
    <w:r>
      <w:instrText>PAGE</w:instrText>
    </w:r>
    <w:r>
      <w:fldChar w:fldCharType="separate"/>
    </w:r>
    <w:r w:rsidR="00613D1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8D" w14:textId="04640AE6" w:rsidR="007F1434" w:rsidRDefault="000236F3">
    <w:pPr>
      <w:jc w:val="right"/>
    </w:pPr>
    <w:r>
      <w:fldChar w:fldCharType="begin"/>
    </w:r>
    <w:r>
      <w:instrText>PAGE</w:instrText>
    </w:r>
    <w:r>
      <w:fldChar w:fldCharType="separate"/>
    </w:r>
    <w:r w:rsidR="00613D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E38DC" w14:textId="77777777" w:rsidR="009A3FA3" w:rsidRDefault="009A3FA3">
      <w:pPr>
        <w:spacing w:line="240" w:lineRule="auto"/>
      </w:pPr>
      <w:r>
        <w:separator/>
      </w:r>
    </w:p>
  </w:footnote>
  <w:footnote w:type="continuationSeparator" w:id="0">
    <w:p w14:paraId="6397E404" w14:textId="77777777" w:rsidR="009A3FA3" w:rsidRDefault="009A3F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8F" w14:textId="77777777" w:rsidR="007F1434" w:rsidRDefault="007F1434">
    <w:pPr>
      <w:rPr>
        <w:b/>
      </w:rPr>
    </w:pPr>
  </w:p>
  <w:p w14:paraId="00000090" w14:textId="77777777" w:rsidR="007F1434" w:rsidRDefault="007F143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434"/>
    <w:rsid w:val="000236F3"/>
    <w:rsid w:val="00024FC2"/>
    <w:rsid w:val="0003616D"/>
    <w:rsid w:val="000452C2"/>
    <w:rsid w:val="0005049C"/>
    <w:rsid w:val="0005610E"/>
    <w:rsid w:val="000A7FE2"/>
    <w:rsid w:val="000E32F5"/>
    <w:rsid w:val="0019763D"/>
    <w:rsid w:val="00226C81"/>
    <w:rsid w:val="00233CB9"/>
    <w:rsid w:val="00236298"/>
    <w:rsid w:val="002478BD"/>
    <w:rsid w:val="00253251"/>
    <w:rsid w:val="002803A0"/>
    <w:rsid w:val="002D181E"/>
    <w:rsid w:val="003515EC"/>
    <w:rsid w:val="003609A3"/>
    <w:rsid w:val="00365016"/>
    <w:rsid w:val="00386AA9"/>
    <w:rsid w:val="003F3AB6"/>
    <w:rsid w:val="004A12E1"/>
    <w:rsid w:val="004E4147"/>
    <w:rsid w:val="005006D3"/>
    <w:rsid w:val="00541CB4"/>
    <w:rsid w:val="00604C2D"/>
    <w:rsid w:val="00613D1C"/>
    <w:rsid w:val="00640BF6"/>
    <w:rsid w:val="00641846"/>
    <w:rsid w:val="0065799A"/>
    <w:rsid w:val="00683B21"/>
    <w:rsid w:val="0068758F"/>
    <w:rsid w:val="006957A7"/>
    <w:rsid w:val="006A3CF1"/>
    <w:rsid w:val="006D460C"/>
    <w:rsid w:val="00754A49"/>
    <w:rsid w:val="007C242D"/>
    <w:rsid w:val="007C6E02"/>
    <w:rsid w:val="007F1434"/>
    <w:rsid w:val="008437E4"/>
    <w:rsid w:val="00860F32"/>
    <w:rsid w:val="008834EE"/>
    <w:rsid w:val="008D0B32"/>
    <w:rsid w:val="00915199"/>
    <w:rsid w:val="00921D16"/>
    <w:rsid w:val="0093638E"/>
    <w:rsid w:val="009A3FA3"/>
    <w:rsid w:val="009D1340"/>
    <w:rsid w:val="00A06A61"/>
    <w:rsid w:val="00A469ED"/>
    <w:rsid w:val="00A570CD"/>
    <w:rsid w:val="00A720BA"/>
    <w:rsid w:val="00A728E4"/>
    <w:rsid w:val="00A82CDC"/>
    <w:rsid w:val="00A94AD7"/>
    <w:rsid w:val="00AA7B3C"/>
    <w:rsid w:val="00BC3EA3"/>
    <w:rsid w:val="00BE1196"/>
    <w:rsid w:val="00BF5189"/>
    <w:rsid w:val="00C21288"/>
    <w:rsid w:val="00C3563D"/>
    <w:rsid w:val="00C619EB"/>
    <w:rsid w:val="00C70C77"/>
    <w:rsid w:val="00C80944"/>
    <w:rsid w:val="00CB35F1"/>
    <w:rsid w:val="00D11378"/>
    <w:rsid w:val="00D43EC6"/>
    <w:rsid w:val="00DA0E1E"/>
    <w:rsid w:val="00DA4999"/>
    <w:rsid w:val="00E16129"/>
    <w:rsid w:val="00E347D9"/>
    <w:rsid w:val="00E70643"/>
    <w:rsid w:val="00E90B13"/>
    <w:rsid w:val="00EE4D37"/>
    <w:rsid w:val="00EF5A1C"/>
    <w:rsid w:val="00F15990"/>
    <w:rsid w:val="00F4614C"/>
    <w:rsid w:val="00F72916"/>
    <w:rsid w:val="00F84F20"/>
    <w:rsid w:val="00F927AF"/>
    <w:rsid w:val="00FD1144"/>
    <w:rsid w:val="00FD1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BB985"/>
  <w15:docId w15:val="{B48D8E11-8895-FF4A-A945-3C91FE453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999"/>
    <w:rPr>
      <w:rFonts w:ascii="Times New Roman" w:hAnsi="Times New Roma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13D1C"/>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613D1C"/>
    <w:rPr>
      <w:rFonts w:ascii="Times New Roman" w:hAnsi="Times New Roman" w:cs="Times New Roman"/>
      <w:sz w:val="18"/>
      <w:szCs w:val="18"/>
    </w:rPr>
  </w:style>
  <w:style w:type="character" w:styleId="LineNumber">
    <w:name w:val="line number"/>
    <w:basedOn w:val="DefaultParagraphFont"/>
    <w:uiPriority w:val="99"/>
    <w:semiHidden/>
    <w:unhideWhenUsed/>
    <w:rsid w:val="00613D1C"/>
  </w:style>
  <w:style w:type="paragraph" w:styleId="Bibliography">
    <w:name w:val="Bibliography"/>
    <w:basedOn w:val="Normal"/>
    <w:next w:val="Normal"/>
    <w:uiPriority w:val="37"/>
    <w:unhideWhenUsed/>
    <w:rsid w:val="0068758F"/>
    <w:pPr>
      <w:spacing w:line="240" w:lineRule="auto"/>
      <w:ind w:left="720" w:hanging="720"/>
    </w:pPr>
  </w:style>
  <w:style w:type="paragraph" w:styleId="CommentSubject">
    <w:name w:val="annotation subject"/>
    <w:basedOn w:val="CommentText"/>
    <w:next w:val="CommentText"/>
    <w:link w:val="CommentSubjectChar"/>
    <w:uiPriority w:val="99"/>
    <w:semiHidden/>
    <w:unhideWhenUsed/>
    <w:rsid w:val="003515EC"/>
    <w:rPr>
      <w:b/>
      <w:bCs/>
    </w:rPr>
  </w:style>
  <w:style w:type="character" w:customStyle="1" w:styleId="CommentSubjectChar">
    <w:name w:val="Comment Subject Char"/>
    <w:basedOn w:val="CommentTextChar"/>
    <w:link w:val="CommentSubject"/>
    <w:uiPriority w:val="99"/>
    <w:semiHidden/>
    <w:rsid w:val="003515EC"/>
    <w:rPr>
      <w:rFonts w:ascii="Times New Roman" w:hAnsi="Times New Roman"/>
      <w:b/>
      <w:bCs/>
      <w:sz w:val="20"/>
      <w:szCs w:val="20"/>
    </w:rPr>
  </w:style>
  <w:style w:type="character" w:styleId="Hyperlink">
    <w:name w:val="Hyperlink"/>
    <w:basedOn w:val="DefaultParagraphFont"/>
    <w:uiPriority w:val="99"/>
    <w:unhideWhenUsed/>
    <w:rsid w:val="00683B21"/>
    <w:rPr>
      <w:color w:val="0000FF" w:themeColor="hyperlink"/>
      <w:u w:val="single"/>
    </w:rPr>
  </w:style>
  <w:style w:type="character" w:styleId="UnresolvedMention">
    <w:name w:val="Unresolved Mention"/>
    <w:basedOn w:val="DefaultParagraphFont"/>
    <w:uiPriority w:val="99"/>
    <w:semiHidden/>
    <w:unhideWhenUsed/>
    <w:rsid w:val="00683B21"/>
    <w:rPr>
      <w:color w:val="605E5C"/>
      <w:shd w:val="clear" w:color="auto" w:fill="E1DFDD"/>
    </w:rPr>
  </w:style>
  <w:style w:type="table" w:styleId="TableGrid">
    <w:name w:val="Table Grid"/>
    <w:basedOn w:val="TableNormal"/>
    <w:uiPriority w:val="39"/>
    <w:rsid w:val="002478B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049C"/>
    <w:pPr>
      <w:tabs>
        <w:tab w:val="center" w:pos="4680"/>
        <w:tab w:val="right" w:pos="9360"/>
      </w:tabs>
      <w:spacing w:line="240" w:lineRule="auto"/>
    </w:pPr>
  </w:style>
  <w:style w:type="character" w:customStyle="1" w:styleId="HeaderChar">
    <w:name w:val="Header Char"/>
    <w:basedOn w:val="DefaultParagraphFont"/>
    <w:link w:val="Header"/>
    <w:uiPriority w:val="99"/>
    <w:rsid w:val="0005049C"/>
    <w:rPr>
      <w:rFonts w:ascii="Times New Roman" w:hAnsi="Times New Roman"/>
    </w:rPr>
  </w:style>
  <w:style w:type="paragraph" w:styleId="Footer">
    <w:name w:val="footer"/>
    <w:basedOn w:val="Normal"/>
    <w:link w:val="FooterChar"/>
    <w:uiPriority w:val="99"/>
    <w:unhideWhenUsed/>
    <w:rsid w:val="0005049C"/>
    <w:pPr>
      <w:tabs>
        <w:tab w:val="center" w:pos="4680"/>
        <w:tab w:val="right" w:pos="9360"/>
      </w:tabs>
      <w:spacing w:line="240" w:lineRule="auto"/>
    </w:pPr>
  </w:style>
  <w:style w:type="character" w:customStyle="1" w:styleId="FooterChar">
    <w:name w:val="Footer Char"/>
    <w:basedOn w:val="DefaultParagraphFont"/>
    <w:link w:val="Footer"/>
    <w:uiPriority w:val="99"/>
    <w:rsid w:val="0005049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432557">
      <w:bodyDiv w:val="1"/>
      <w:marLeft w:val="0"/>
      <w:marRight w:val="0"/>
      <w:marTop w:val="0"/>
      <w:marBottom w:val="0"/>
      <w:divBdr>
        <w:top w:val="none" w:sz="0" w:space="0" w:color="auto"/>
        <w:left w:val="none" w:sz="0" w:space="0" w:color="auto"/>
        <w:bottom w:val="none" w:sz="0" w:space="0" w:color="auto"/>
        <w:right w:val="none" w:sz="0" w:space="0" w:color="auto"/>
      </w:divBdr>
      <w:divsChild>
        <w:div w:id="10927789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2676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8683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EEFB5-5838-3047-B8ED-2D8F2233D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29</Pages>
  <Words>33672</Words>
  <Characters>191933</Characters>
  <Application>Microsoft Office Word</Application>
  <DocSecurity>0</DocSecurity>
  <Lines>1599</Lines>
  <Paragraphs>450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Crawford</cp:lastModifiedBy>
  <cp:revision>24</cp:revision>
  <cp:lastPrinted>2020-11-23T10:32:00Z</cp:lastPrinted>
  <dcterms:created xsi:type="dcterms:W3CDTF">2020-11-23T09:48:00Z</dcterms:created>
  <dcterms:modified xsi:type="dcterms:W3CDTF">2020-11-23T13:09:00Z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id="r9uwDCVA"/&gt;&lt;style id="http://www.zotero.org/styles/ecology-letters" hasBibliography="1" bibliographyStyleHasBeenSet="1"/&gt;&lt;prefs&gt;&lt;pref name="fieldType" value="Field"/&gt;&lt;/prefs&gt;&lt;/data&gt;</vt:lpwstr>
  </property>
</Properties>
</file>