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322D8" w14:textId="385DC01E" w:rsidR="003D06DC" w:rsidRDefault="003D06DC">
      <w:pPr>
        <w:jc w:val="center"/>
        <w:rPr>
          <w:b/>
          <w:color w:val="1F4E79"/>
          <w:sz w:val="52"/>
        </w:rPr>
      </w:pPr>
      <w:r>
        <w:rPr>
          <w:b/>
          <w:color w:val="1F4E79"/>
          <w:sz w:val="52"/>
        </w:rPr>
        <w:t>Project Mermaid</w:t>
      </w:r>
    </w:p>
    <w:p w14:paraId="29C9C93D" w14:textId="35487DE9" w:rsidR="00BD2F04" w:rsidRPr="003D06DC" w:rsidRDefault="00606371">
      <w:pPr>
        <w:jc w:val="center"/>
        <w:rPr>
          <w:sz w:val="40"/>
          <w:szCs w:val="40"/>
        </w:rPr>
      </w:pPr>
      <w:r w:rsidRPr="003D06DC">
        <w:rPr>
          <w:b/>
          <w:color w:val="1F4E79"/>
          <w:sz w:val="40"/>
          <w:szCs w:val="40"/>
        </w:rPr>
        <w:t>Safe Agentic AI Sandbox</w:t>
      </w:r>
      <w:r w:rsidR="005D6076" w:rsidRPr="003D06DC">
        <w:rPr>
          <w:b/>
          <w:color w:val="1F4E79"/>
          <w:sz w:val="40"/>
          <w:szCs w:val="40"/>
        </w:rPr>
        <w:t xml:space="preserve"> Proposal</w:t>
      </w:r>
    </w:p>
    <w:p w14:paraId="347ED268" w14:textId="3F661C52" w:rsidR="00BD2F04" w:rsidRDefault="00BD2F04"/>
    <w:p w14:paraId="005AA58B" w14:textId="77777777" w:rsidR="00BD2F04" w:rsidRDefault="00606371">
      <w:pPr>
        <w:pStyle w:val="Heading1"/>
      </w:pPr>
      <w:r>
        <w:t>1. Executive summary</w:t>
      </w:r>
    </w:p>
    <w:p w14:paraId="308D7D18" w14:textId="6633DFFF" w:rsidR="00BD2F04" w:rsidRDefault="00606371">
      <w:r>
        <w:t>This document proposes a safe, scalable agentic AI sandbox that uses Cloudflare controls, MCP-mediated tools, and AWS Bedrock-hosted Claude models. The sandbox is designed to support progressive validation from synthetic data to de-identified data and, after compliance review, PHI-enabled use cases.</w:t>
      </w:r>
    </w:p>
    <w:tbl>
      <w:tblPr>
        <w:tblStyle w:val="TableGrid"/>
        <w:tblW w:w="0" w:type="auto"/>
        <w:tblLook w:val="04A0" w:firstRow="1" w:lastRow="0" w:firstColumn="1" w:lastColumn="0" w:noHBand="0" w:noVBand="1"/>
      </w:tblPr>
      <w:tblGrid>
        <w:gridCol w:w="2878"/>
        <w:gridCol w:w="7336"/>
      </w:tblGrid>
      <w:tr w:rsidR="00BD2F04" w14:paraId="683B42C8" w14:textId="77777777">
        <w:tc>
          <w:tcPr>
            <w:tcW w:w="10224" w:type="dxa"/>
            <w:gridSpan w:val="2"/>
            <w:shd w:val="clear" w:color="auto" w:fill="EAF2F8"/>
          </w:tcPr>
          <w:p w14:paraId="3F04D305" w14:textId="77777777" w:rsidR="00BD2F04" w:rsidRDefault="00606371">
            <w:pPr>
              <w:spacing w:after="60"/>
            </w:pPr>
            <w:r>
              <w:rPr>
                <w:b/>
                <w:color w:val="1F4E79"/>
              </w:rPr>
              <w:t>Core principle</w:t>
            </w:r>
          </w:p>
          <w:p w14:paraId="37202BC0" w14:textId="77777777" w:rsidR="00BD2F04" w:rsidRDefault="00606371">
            <w:pPr>
              <w:pStyle w:val="BoxText"/>
            </w:pPr>
            <w:r>
              <w:t>Agents should never directly access raw systems, raw datasets, or model providers. They should only access approved MCP tools, approved datasets, and approved model endpoints through gateways that enforce identity, logging, DLP, rate limits, and audit controls.</w:t>
            </w:r>
          </w:p>
        </w:tc>
      </w:tr>
      <w:tr w:rsidR="00BD2F04" w14:paraId="0B61F7E8" w14:textId="77777777">
        <w:tblPrEx>
          <w:jc w:val="center"/>
        </w:tblPrEx>
        <w:trPr>
          <w:jc w:val="center"/>
        </w:trPr>
        <w:tc>
          <w:tcPr>
            <w:tcW w:w="2880" w:type="dxa"/>
            <w:shd w:val="clear" w:color="auto" w:fill="1F4E79"/>
          </w:tcPr>
          <w:p w14:paraId="447DF149" w14:textId="77777777" w:rsidR="00BD2F04" w:rsidRDefault="00606371">
            <w:pPr>
              <w:spacing w:after="20"/>
            </w:pPr>
            <w:r>
              <w:rPr>
                <w:b/>
                <w:color w:val="FFFFFF"/>
                <w:sz w:val="18"/>
              </w:rPr>
              <w:t>Capability</w:t>
            </w:r>
          </w:p>
        </w:tc>
        <w:tc>
          <w:tcPr>
            <w:tcW w:w="6480" w:type="dxa"/>
            <w:shd w:val="clear" w:color="auto" w:fill="1F4E79"/>
          </w:tcPr>
          <w:p w14:paraId="2E9E5650" w14:textId="77777777" w:rsidR="00BD2F04" w:rsidRDefault="00606371">
            <w:pPr>
              <w:spacing w:after="20"/>
            </w:pPr>
            <w:r>
              <w:rPr>
                <w:b/>
                <w:color w:val="FFFFFF"/>
                <w:sz w:val="18"/>
              </w:rPr>
              <w:t>Recommended approach</w:t>
            </w:r>
          </w:p>
        </w:tc>
      </w:tr>
      <w:tr w:rsidR="00BD2F04" w14:paraId="4173DDA4" w14:textId="77777777">
        <w:tblPrEx>
          <w:jc w:val="center"/>
        </w:tblPrEx>
        <w:trPr>
          <w:jc w:val="center"/>
        </w:trPr>
        <w:tc>
          <w:tcPr>
            <w:tcW w:w="2880" w:type="dxa"/>
          </w:tcPr>
          <w:p w14:paraId="487045A4" w14:textId="77777777" w:rsidR="00BD2F04" w:rsidRDefault="00606371">
            <w:pPr>
              <w:spacing w:after="20"/>
            </w:pPr>
            <w:r>
              <w:rPr>
                <w:sz w:val="18"/>
              </w:rPr>
              <w:t>Model governance</w:t>
            </w:r>
          </w:p>
        </w:tc>
        <w:tc>
          <w:tcPr>
            <w:tcW w:w="6480" w:type="dxa"/>
          </w:tcPr>
          <w:p w14:paraId="162C6D90" w14:textId="1DCCB857" w:rsidR="00BD2F04" w:rsidRDefault="00606371">
            <w:pPr>
              <w:spacing w:after="20"/>
            </w:pPr>
            <w:r>
              <w:rPr>
                <w:sz w:val="18"/>
              </w:rPr>
              <w:t xml:space="preserve">Route all model calls through Cloudflare AI Gateway to AWS </w:t>
            </w:r>
            <w:r w:rsidR="007D5468">
              <w:rPr>
                <w:sz w:val="18"/>
              </w:rPr>
              <w:t>or Google Vertex</w:t>
            </w:r>
            <w:r>
              <w:rPr>
                <w:sz w:val="18"/>
              </w:rPr>
              <w:t>.</w:t>
            </w:r>
          </w:p>
        </w:tc>
      </w:tr>
      <w:tr w:rsidR="00BD2F04" w14:paraId="59074707" w14:textId="77777777">
        <w:tblPrEx>
          <w:jc w:val="center"/>
        </w:tblPrEx>
        <w:trPr>
          <w:jc w:val="center"/>
        </w:trPr>
        <w:tc>
          <w:tcPr>
            <w:tcW w:w="2880" w:type="dxa"/>
          </w:tcPr>
          <w:p w14:paraId="150ABC7D" w14:textId="77777777" w:rsidR="00BD2F04" w:rsidRDefault="00606371">
            <w:pPr>
              <w:spacing w:after="20"/>
            </w:pPr>
            <w:r>
              <w:rPr>
                <w:sz w:val="18"/>
              </w:rPr>
              <w:t>Dataset control</w:t>
            </w:r>
          </w:p>
        </w:tc>
        <w:tc>
          <w:tcPr>
            <w:tcW w:w="6480" w:type="dxa"/>
          </w:tcPr>
          <w:p w14:paraId="57EDCE11" w14:textId="77777777" w:rsidR="00BD2F04" w:rsidRDefault="00606371">
            <w:pPr>
              <w:spacing w:after="20"/>
            </w:pPr>
            <w:r>
              <w:rPr>
                <w:sz w:val="18"/>
              </w:rPr>
              <w:t>Require all data access through a dataset registry and MCP broker.</w:t>
            </w:r>
          </w:p>
        </w:tc>
      </w:tr>
      <w:tr w:rsidR="00BD2F04" w14:paraId="4652957C" w14:textId="77777777">
        <w:tblPrEx>
          <w:jc w:val="center"/>
        </w:tblPrEx>
        <w:trPr>
          <w:jc w:val="center"/>
        </w:trPr>
        <w:tc>
          <w:tcPr>
            <w:tcW w:w="2880" w:type="dxa"/>
          </w:tcPr>
          <w:p w14:paraId="073CC41E" w14:textId="77777777" w:rsidR="00BD2F04" w:rsidRDefault="00606371">
            <w:pPr>
              <w:spacing w:after="20"/>
            </w:pPr>
            <w:r>
              <w:rPr>
                <w:sz w:val="18"/>
              </w:rPr>
              <w:t>Tool control</w:t>
            </w:r>
          </w:p>
        </w:tc>
        <w:tc>
          <w:tcPr>
            <w:tcW w:w="6480" w:type="dxa"/>
          </w:tcPr>
          <w:p w14:paraId="413C6DF1" w14:textId="77777777" w:rsidR="00BD2F04" w:rsidRDefault="00606371">
            <w:pPr>
              <w:spacing w:after="20"/>
            </w:pPr>
            <w:r>
              <w:rPr>
                <w:sz w:val="18"/>
              </w:rPr>
              <w:t>Grant tools by policy per agent, user role, dataset, and environment.</w:t>
            </w:r>
          </w:p>
        </w:tc>
      </w:tr>
      <w:tr w:rsidR="00BD2F04" w14:paraId="49497B57" w14:textId="77777777">
        <w:tblPrEx>
          <w:jc w:val="center"/>
        </w:tblPrEx>
        <w:trPr>
          <w:jc w:val="center"/>
        </w:trPr>
        <w:tc>
          <w:tcPr>
            <w:tcW w:w="2880" w:type="dxa"/>
          </w:tcPr>
          <w:p w14:paraId="693D9534" w14:textId="77777777" w:rsidR="00BD2F04" w:rsidRDefault="00606371">
            <w:pPr>
              <w:spacing w:after="20"/>
            </w:pPr>
            <w:r>
              <w:rPr>
                <w:sz w:val="18"/>
              </w:rPr>
              <w:t>Auditability</w:t>
            </w:r>
          </w:p>
        </w:tc>
        <w:tc>
          <w:tcPr>
            <w:tcW w:w="6480" w:type="dxa"/>
          </w:tcPr>
          <w:p w14:paraId="7A91DFF4" w14:textId="77777777" w:rsidR="00BD2F04" w:rsidRDefault="00606371">
            <w:pPr>
              <w:spacing w:after="20"/>
            </w:pPr>
            <w:r>
              <w:rPr>
                <w:sz w:val="18"/>
              </w:rPr>
              <w:t>Capture run IDs, user identity, tool calls, model metadata, DLP events, and evaluation outcomes.</w:t>
            </w:r>
          </w:p>
        </w:tc>
      </w:tr>
      <w:tr w:rsidR="00BD2F04" w14:paraId="04AB6C85" w14:textId="77777777">
        <w:tblPrEx>
          <w:jc w:val="center"/>
        </w:tblPrEx>
        <w:trPr>
          <w:jc w:val="center"/>
        </w:trPr>
        <w:tc>
          <w:tcPr>
            <w:tcW w:w="2880" w:type="dxa"/>
          </w:tcPr>
          <w:p w14:paraId="230DA16F" w14:textId="77777777" w:rsidR="00BD2F04" w:rsidRDefault="00606371">
            <w:pPr>
              <w:spacing w:after="20"/>
            </w:pPr>
            <w:r>
              <w:rPr>
                <w:sz w:val="18"/>
              </w:rPr>
              <w:t>PHI readiness</w:t>
            </w:r>
          </w:p>
        </w:tc>
        <w:tc>
          <w:tcPr>
            <w:tcW w:w="6480" w:type="dxa"/>
          </w:tcPr>
          <w:p w14:paraId="5CF6D738" w14:textId="77777777" w:rsidR="00BD2F04" w:rsidRDefault="00606371">
            <w:pPr>
              <w:spacing w:after="20"/>
            </w:pPr>
            <w:r>
              <w:rPr>
                <w:sz w:val="18"/>
              </w:rPr>
              <w:t>Use HIPAA-eligible services, BAAs, minimized logging, strict retention, and layered DLP.</w:t>
            </w:r>
          </w:p>
        </w:tc>
      </w:tr>
    </w:tbl>
    <w:p w14:paraId="3F6ED061" w14:textId="77777777" w:rsidR="00BD2F04" w:rsidRDefault="00BD2F04">
      <w:pPr>
        <w:pStyle w:val="Small"/>
      </w:pPr>
    </w:p>
    <w:p w14:paraId="193CFD92" w14:textId="77777777" w:rsidR="00BD2F04" w:rsidRDefault="00606371">
      <w:pPr>
        <w:pStyle w:val="Heading1"/>
      </w:pPr>
      <w:r>
        <w:t>2. Target-state vision</w:t>
      </w:r>
    </w:p>
    <w:p w14:paraId="53D885D5" w14:textId="4E9A643F" w:rsidR="00BD2F04" w:rsidRDefault="00606371">
      <w:r>
        <w:t xml:space="preserve">The sandbox should function as a controlled agent execution plane. Human evaluators interact through an authenticated front door, agents execute in a governed runtime, tools are exposed through MCP only after policy checks, and model calls are routed through AI Gateway to Bedrock </w:t>
      </w:r>
      <w:r w:rsidR="007D5468">
        <w:t xml:space="preserve">/ Vertex </w:t>
      </w:r>
      <w:r>
        <w:t>Claude models.</w:t>
      </w:r>
    </w:p>
    <w:tbl>
      <w:tblPr>
        <w:tblStyle w:val="TableGrid"/>
        <w:tblW w:w="0" w:type="auto"/>
        <w:jc w:val="center"/>
        <w:tblLook w:val="04A0" w:firstRow="1" w:lastRow="0" w:firstColumn="1" w:lastColumn="0" w:noHBand="0" w:noVBand="1"/>
      </w:tblPr>
      <w:tblGrid>
        <w:gridCol w:w="2880"/>
        <w:gridCol w:w="6480"/>
      </w:tblGrid>
      <w:tr w:rsidR="00BD2F04" w14:paraId="2D5995B0" w14:textId="77777777">
        <w:trPr>
          <w:jc w:val="center"/>
        </w:trPr>
        <w:tc>
          <w:tcPr>
            <w:tcW w:w="2880" w:type="dxa"/>
            <w:shd w:val="clear" w:color="auto" w:fill="1F4E79"/>
          </w:tcPr>
          <w:p w14:paraId="34931445" w14:textId="77777777" w:rsidR="00BD2F04" w:rsidRDefault="00606371">
            <w:pPr>
              <w:spacing w:after="20"/>
            </w:pPr>
            <w:r>
              <w:rPr>
                <w:b/>
                <w:color w:val="FFFFFF"/>
                <w:sz w:val="18"/>
              </w:rPr>
              <w:t>Design objective</w:t>
            </w:r>
          </w:p>
        </w:tc>
        <w:tc>
          <w:tcPr>
            <w:tcW w:w="6480" w:type="dxa"/>
            <w:shd w:val="clear" w:color="auto" w:fill="1F4E79"/>
          </w:tcPr>
          <w:p w14:paraId="097D7762" w14:textId="77777777" w:rsidR="00BD2F04" w:rsidRDefault="00606371">
            <w:pPr>
              <w:spacing w:after="20"/>
            </w:pPr>
            <w:r>
              <w:rPr>
                <w:b/>
                <w:color w:val="FFFFFF"/>
                <w:sz w:val="18"/>
              </w:rPr>
              <w:t>Implication</w:t>
            </w:r>
          </w:p>
        </w:tc>
      </w:tr>
      <w:tr w:rsidR="00BD2F04" w14:paraId="0585DB49" w14:textId="77777777">
        <w:trPr>
          <w:jc w:val="center"/>
        </w:trPr>
        <w:tc>
          <w:tcPr>
            <w:tcW w:w="2880" w:type="dxa"/>
          </w:tcPr>
          <w:p w14:paraId="60D0456C" w14:textId="77777777" w:rsidR="00BD2F04" w:rsidRDefault="00606371">
            <w:pPr>
              <w:spacing w:after="20"/>
            </w:pPr>
            <w:r>
              <w:rPr>
                <w:sz w:val="18"/>
              </w:rPr>
              <w:t>Safe experimentation</w:t>
            </w:r>
          </w:p>
        </w:tc>
        <w:tc>
          <w:tcPr>
            <w:tcW w:w="6480" w:type="dxa"/>
          </w:tcPr>
          <w:p w14:paraId="31041AD3" w14:textId="77777777" w:rsidR="00BD2F04" w:rsidRDefault="00606371">
            <w:pPr>
              <w:spacing w:after="20"/>
            </w:pPr>
            <w:commentRangeStart w:id="0"/>
            <w:commentRangeStart w:id="1"/>
            <w:r>
              <w:rPr>
                <w:sz w:val="18"/>
              </w:rPr>
              <w:t>Start with synthetic data and read-only tools, then graduate through approval gates.</w:t>
            </w:r>
            <w:commentRangeEnd w:id="0"/>
            <w:r w:rsidR="00C42B81">
              <w:rPr>
                <w:rStyle w:val="CommentReference"/>
                <w:sz w:val="21"/>
                <w:szCs w:val="22"/>
              </w:rPr>
              <w:commentReference w:id="0"/>
            </w:r>
            <w:commentRangeEnd w:id="1"/>
            <w:r w:rsidR="00C42B81">
              <w:rPr>
                <w:rStyle w:val="CommentReference"/>
                <w:sz w:val="21"/>
                <w:szCs w:val="22"/>
              </w:rPr>
              <w:commentReference w:id="1"/>
            </w:r>
          </w:p>
        </w:tc>
      </w:tr>
      <w:tr w:rsidR="00BD2F04" w14:paraId="2153A6E7" w14:textId="77777777">
        <w:trPr>
          <w:jc w:val="center"/>
        </w:trPr>
        <w:tc>
          <w:tcPr>
            <w:tcW w:w="2880" w:type="dxa"/>
          </w:tcPr>
          <w:p w14:paraId="7B3A2FB2" w14:textId="77777777" w:rsidR="00BD2F04" w:rsidRDefault="00606371">
            <w:pPr>
              <w:spacing w:after="20"/>
            </w:pPr>
            <w:r>
              <w:rPr>
                <w:sz w:val="18"/>
              </w:rPr>
              <w:t>Scalability</w:t>
            </w:r>
          </w:p>
        </w:tc>
        <w:tc>
          <w:tcPr>
            <w:tcW w:w="6480" w:type="dxa"/>
          </w:tcPr>
          <w:p w14:paraId="0244B801" w14:textId="77777777" w:rsidR="00BD2F04" w:rsidRDefault="00606371">
            <w:pPr>
              <w:spacing w:after="20"/>
            </w:pPr>
            <w:commentRangeStart w:id="2"/>
            <w:r>
              <w:rPr>
                <w:sz w:val="18"/>
              </w:rPr>
              <w:t>Use reusable onboarding patterns for agents, datasets, tools, and evaluations.</w:t>
            </w:r>
            <w:commentRangeEnd w:id="2"/>
            <w:r w:rsidR="00C42B81">
              <w:rPr>
                <w:rStyle w:val="CommentReference"/>
                <w:sz w:val="21"/>
                <w:szCs w:val="22"/>
              </w:rPr>
              <w:commentReference w:id="2"/>
            </w:r>
          </w:p>
        </w:tc>
      </w:tr>
      <w:tr w:rsidR="00BD2F04" w14:paraId="29E1677E" w14:textId="77777777">
        <w:trPr>
          <w:jc w:val="center"/>
        </w:trPr>
        <w:tc>
          <w:tcPr>
            <w:tcW w:w="2880" w:type="dxa"/>
          </w:tcPr>
          <w:p w14:paraId="2136A9AA" w14:textId="77777777" w:rsidR="00BD2F04" w:rsidRDefault="00606371">
            <w:pPr>
              <w:spacing w:after="20"/>
            </w:pPr>
            <w:r>
              <w:rPr>
                <w:sz w:val="18"/>
              </w:rPr>
              <w:t>Reproducibility</w:t>
            </w:r>
          </w:p>
        </w:tc>
        <w:tc>
          <w:tcPr>
            <w:tcW w:w="6480" w:type="dxa"/>
          </w:tcPr>
          <w:p w14:paraId="49179CA6" w14:textId="77777777" w:rsidR="00BD2F04" w:rsidRDefault="00606371">
            <w:pPr>
              <w:spacing w:after="20"/>
            </w:pPr>
            <w:r>
              <w:rPr>
                <w:sz w:val="18"/>
              </w:rPr>
              <w:t>Every run should be replayable using run metadata, dataset versions, prompt versions, tool versions, and model versions.</w:t>
            </w:r>
          </w:p>
        </w:tc>
      </w:tr>
      <w:tr w:rsidR="00BD2F04" w14:paraId="673DC5F8" w14:textId="77777777">
        <w:trPr>
          <w:jc w:val="center"/>
        </w:trPr>
        <w:tc>
          <w:tcPr>
            <w:tcW w:w="2880" w:type="dxa"/>
          </w:tcPr>
          <w:p w14:paraId="474C28C9" w14:textId="77777777" w:rsidR="00BD2F04" w:rsidRDefault="00606371">
            <w:pPr>
              <w:spacing w:after="20"/>
            </w:pPr>
            <w:r>
              <w:rPr>
                <w:sz w:val="18"/>
              </w:rPr>
              <w:t>Compliance evidence</w:t>
            </w:r>
          </w:p>
        </w:tc>
        <w:tc>
          <w:tcPr>
            <w:tcW w:w="6480" w:type="dxa"/>
          </w:tcPr>
          <w:p w14:paraId="4FC582F5" w14:textId="77777777" w:rsidR="00BD2F04" w:rsidRDefault="00606371">
            <w:pPr>
              <w:spacing w:after="20"/>
            </w:pPr>
            <w:r>
              <w:rPr>
                <w:sz w:val="18"/>
              </w:rPr>
              <w:t>Produce structured reports that support go/no-go decisions for higher data tiers.</w:t>
            </w:r>
          </w:p>
        </w:tc>
      </w:tr>
    </w:tbl>
    <w:p w14:paraId="47E0BA8C" w14:textId="77777777" w:rsidR="00BD2F04" w:rsidRDefault="00BD2F04">
      <w:pPr>
        <w:pStyle w:val="Small"/>
      </w:pPr>
    </w:p>
    <w:p w14:paraId="13616594" w14:textId="77777777" w:rsidR="00BD2F04" w:rsidRDefault="00606371">
      <w:r>
        <w:br w:type="page"/>
      </w:r>
    </w:p>
    <w:p w14:paraId="1E8D220F" w14:textId="62C117D3" w:rsidR="00BD2F04" w:rsidRDefault="00606371" w:rsidP="00A97BA7">
      <w:pPr>
        <w:pStyle w:val="Heading1"/>
        <w:tabs>
          <w:tab w:val="left" w:pos="8851"/>
        </w:tabs>
      </w:pPr>
      <w:r>
        <w:lastRenderedPageBreak/>
        <w:t xml:space="preserve">3. </w:t>
      </w:r>
      <w:commentRangeStart w:id="3"/>
      <w:commentRangeStart w:id="4"/>
      <w:r>
        <w:t>Visio</w:t>
      </w:r>
      <w:r w:rsidR="00A97BA7">
        <w:t xml:space="preserve"> of proposed architecture </w:t>
      </w:r>
      <w:commentRangeEnd w:id="3"/>
      <w:r w:rsidR="003810C7">
        <w:rPr>
          <w:rStyle w:val="CommentReference"/>
          <w:sz w:val="34"/>
          <w:szCs w:val="28"/>
        </w:rPr>
        <w:commentReference w:id="3"/>
      </w:r>
      <w:commentRangeEnd w:id="4"/>
      <w:r w:rsidR="003810C7">
        <w:rPr>
          <w:rStyle w:val="CommentReference"/>
          <w:sz w:val="34"/>
          <w:szCs w:val="28"/>
        </w:rPr>
        <w:commentReference w:id="4"/>
      </w:r>
      <w:r w:rsidR="00A97BA7">
        <w:tab/>
      </w:r>
    </w:p>
    <w:p w14:paraId="74D3B9A6" w14:textId="25534C3D" w:rsidR="00E45646" w:rsidRDefault="00E45646">
      <w:r>
        <w:rPr>
          <w:noProof/>
        </w:rPr>
        <w:drawing>
          <wp:inline distT="0" distB="0" distL="0" distR="0" wp14:anchorId="07A07F7A" wp14:editId="502F9C9F">
            <wp:extent cx="7097182" cy="4345497"/>
            <wp:effectExtent l="0" t="0" r="2540" b="0"/>
            <wp:docPr id="569751714"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51714" name="Picture 1" descr="A diagram of a software project&#10;&#10;AI-generated content may be incorrect."/>
                    <pic:cNvPicPr/>
                  </pic:nvPicPr>
                  <pic:blipFill>
                    <a:blip r:embed="rId12"/>
                    <a:stretch>
                      <a:fillRect/>
                    </a:stretch>
                  </pic:blipFill>
                  <pic:spPr>
                    <a:xfrm>
                      <a:off x="0" y="0"/>
                      <a:ext cx="7191655" cy="4403341"/>
                    </a:xfrm>
                    <a:prstGeom prst="rect">
                      <a:avLst/>
                    </a:prstGeom>
                  </pic:spPr>
                </pic:pic>
              </a:graphicData>
            </a:graphic>
          </wp:inline>
        </w:drawing>
      </w:r>
    </w:p>
    <w:p w14:paraId="71F05238" w14:textId="77777777" w:rsidR="00BD2F04" w:rsidRDefault="00606371">
      <w:pPr>
        <w:pStyle w:val="Heading1"/>
      </w:pPr>
      <w:r>
        <w:t>4. Major components</w:t>
      </w:r>
    </w:p>
    <w:p w14:paraId="2B8F2D33" w14:textId="54996DE9" w:rsidR="00BD2F04" w:rsidRDefault="00606371">
      <w:pPr>
        <w:pStyle w:val="Heading2"/>
      </w:pPr>
      <w:r>
        <w:t>Cloudflare Access / Zero Trust front door</w:t>
      </w:r>
    </w:p>
    <w:p w14:paraId="2EC5C4EF" w14:textId="77777777" w:rsidR="00BD2F04" w:rsidRDefault="00606371">
      <w:r>
        <w:t>Use SSO, MFA, device posture, role-based groups, and per-environment access policies. No evaluator, developer, or service should reach the sandbox without identity-aware access control.</w:t>
      </w:r>
    </w:p>
    <w:p w14:paraId="7420E2A2" w14:textId="551520D4" w:rsidR="00BD2F04" w:rsidRDefault="00606371">
      <w:pPr>
        <w:pStyle w:val="Heading2"/>
      </w:pPr>
      <w:r>
        <w:t>Agent orchestrator</w:t>
      </w:r>
    </w:p>
    <w:p w14:paraId="2CA34A94" w14:textId="77777777" w:rsidR="00BD2F04" w:rsidRDefault="00606371">
      <w:r>
        <w:t xml:space="preserve">The orchestrator manages sessions, prompt assembly, </w:t>
      </w:r>
      <w:commentRangeStart w:id="5"/>
      <w:r>
        <w:t>model routing, run budgets</w:t>
      </w:r>
      <w:commentRangeEnd w:id="5"/>
      <w:r w:rsidR="005B78CA">
        <w:rPr>
          <w:rStyle w:val="CommentReference"/>
          <w:sz w:val="21"/>
          <w:szCs w:val="22"/>
        </w:rPr>
        <w:commentReference w:id="5"/>
      </w:r>
      <w:r>
        <w:t>, kill switches, and audit metadata. For PHI workloads, consider hosting the orchestrator in AWS behind Cloudflare controls unless all Cloudflare services in the path are explicitly covered for PHI.</w:t>
      </w:r>
    </w:p>
    <w:p w14:paraId="0F70CEA2" w14:textId="03C2AFE9" w:rsidR="00BD2F04" w:rsidRDefault="00606371">
      <w:pPr>
        <w:pStyle w:val="Heading2"/>
      </w:pPr>
      <w:r>
        <w:t>MCP broker / tool gateway</w:t>
      </w:r>
    </w:p>
    <w:p w14:paraId="75B3DF89" w14:textId="77777777" w:rsidR="00BD2F04" w:rsidRDefault="00606371">
      <w:commentRangeStart w:id="6"/>
      <w:r>
        <w:t>Agents should not connect directly to arbitrary MCP servers. A broker should enforce tool allowlists, dataset allowlists, schema validation, per-tool authorization, output redaction, and invocation logging.</w:t>
      </w:r>
      <w:commentRangeEnd w:id="6"/>
      <w:r w:rsidR="003810C7">
        <w:rPr>
          <w:rStyle w:val="CommentReference"/>
          <w:sz w:val="21"/>
          <w:szCs w:val="22"/>
        </w:rPr>
        <w:commentReference w:id="6"/>
      </w:r>
    </w:p>
    <w:p w14:paraId="10937DF0" w14:textId="3E04AB9A" w:rsidR="00BD2F04" w:rsidRDefault="00606371">
      <w:pPr>
        <w:pStyle w:val="Heading2"/>
      </w:pPr>
      <w:r>
        <w:t>Dataset registry</w:t>
      </w:r>
    </w:p>
    <w:p w14:paraId="05531AB6" w14:textId="77777777" w:rsidR="00BD2F04" w:rsidRDefault="00606371">
      <w:commentRangeStart w:id="7"/>
      <w:r>
        <w:t>Every dataset should be registered with classification, owner, allowed use cases, PHI status, retention, allowed tools, allowed models, logging policy, and required evaluation suite.</w:t>
      </w:r>
      <w:commentRangeEnd w:id="7"/>
      <w:r w:rsidR="009D29D8">
        <w:rPr>
          <w:rStyle w:val="CommentReference"/>
          <w:sz w:val="21"/>
          <w:szCs w:val="22"/>
        </w:rPr>
        <w:commentReference w:id="7"/>
      </w:r>
    </w:p>
    <w:p w14:paraId="60346645" w14:textId="764B272C" w:rsidR="00BD2F04" w:rsidRDefault="00606371">
      <w:pPr>
        <w:pStyle w:val="Heading2"/>
      </w:pPr>
      <w:r>
        <w:lastRenderedPageBreak/>
        <w:t>Cloudflare AI Gateway</w:t>
      </w:r>
    </w:p>
    <w:p w14:paraId="55446112" w14:textId="77777777" w:rsidR="00BD2F04" w:rsidRDefault="00606371">
      <w:r>
        <w:t>Use AI Gateway as the model observability and control plane for provider routing, rate limiting, costs, logs, DLP, retry behavior, and approved model fallback.</w:t>
      </w:r>
    </w:p>
    <w:p w14:paraId="3B4CE0FB" w14:textId="7016B923" w:rsidR="00BD2F04" w:rsidRDefault="00606371">
      <w:pPr>
        <w:pStyle w:val="Heading2"/>
      </w:pPr>
      <w:r>
        <w:t>AWS Bedrock /</w:t>
      </w:r>
      <w:r w:rsidR="005D6076">
        <w:t xml:space="preserve"> Google Vertex Hosted models</w:t>
      </w:r>
    </w:p>
    <w:p w14:paraId="0F5FD72D" w14:textId="467BBD42" w:rsidR="00BD2F04" w:rsidRDefault="00606371">
      <w:r>
        <w:t xml:space="preserve">Use </w:t>
      </w:r>
      <w:r w:rsidR="005D6076">
        <w:t>cloud</w:t>
      </w:r>
      <w:r>
        <w:t>-hosted Claude models with least-privilege IAM roles, approved regions, CloudTrail logging, encryption, and model allowlists.</w:t>
      </w:r>
    </w:p>
    <w:tbl>
      <w:tblPr>
        <w:tblStyle w:val="TableGrid"/>
        <w:tblW w:w="0" w:type="auto"/>
        <w:jc w:val="center"/>
        <w:tblLook w:val="04A0" w:firstRow="1" w:lastRow="0" w:firstColumn="1" w:lastColumn="0" w:noHBand="0" w:noVBand="1"/>
      </w:tblPr>
      <w:tblGrid>
        <w:gridCol w:w="2880"/>
        <w:gridCol w:w="6480"/>
      </w:tblGrid>
      <w:tr w:rsidR="00BD2F04" w14:paraId="0B93BF34" w14:textId="77777777">
        <w:trPr>
          <w:jc w:val="center"/>
        </w:trPr>
        <w:tc>
          <w:tcPr>
            <w:tcW w:w="2880" w:type="dxa"/>
            <w:shd w:val="clear" w:color="auto" w:fill="1F4E79"/>
          </w:tcPr>
          <w:p w14:paraId="6ACE9297" w14:textId="77777777" w:rsidR="00BD2F04" w:rsidRDefault="00606371">
            <w:pPr>
              <w:spacing w:after="20"/>
            </w:pPr>
            <w:r>
              <w:rPr>
                <w:b/>
                <w:color w:val="FFFFFF"/>
                <w:sz w:val="18"/>
              </w:rPr>
              <w:t>Control</w:t>
            </w:r>
          </w:p>
        </w:tc>
        <w:tc>
          <w:tcPr>
            <w:tcW w:w="6480" w:type="dxa"/>
            <w:shd w:val="clear" w:color="auto" w:fill="1F4E79"/>
          </w:tcPr>
          <w:p w14:paraId="11DAA25F" w14:textId="77777777" w:rsidR="00BD2F04" w:rsidRDefault="00606371">
            <w:pPr>
              <w:spacing w:after="20"/>
            </w:pPr>
            <w:r>
              <w:rPr>
                <w:b/>
                <w:color w:val="FFFFFF"/>
                <w:sz w:val="18"/>
              </w:rPr>
              <w:t>Purpose</w:t>
            </w:r>
          </w:p>
        </w:tc>
      </w:tr>
      <w:tr w:rsidR="00BD2F04" w14:paraId="0277B859" w14:textId="77777777">
        <w:trPr>
          <w:jc w:val="center"/>
        </w:trPr>
        <w:tc>
          <w:tcPr>
            <w:tcW w:w="2880" w:type="dxa"/>
          </w:tcPr>
          <w:p w14:paraId="3E1AD335" w14:textId="77777777" w:rsidR="00BD2F04" w:rsidRDefault="00606371">
            <w:pPr>
              <w:spacing w:after="20"/>
            </w:pPr>
            <w:r>
              <w:rPr>
                <w:sz w:val="18"/>
              </w:rPr>
              <w:t>SSO/MFA</w:t>
            </w:r>
          </w:p>
        </w:tc>
        <w:tc>
          <w:tcPr>
            <w:tcW w:w="6480" w:type="dxa"/>
          </w:tcPr>
          <w:p w14:paraId="26255D44" w14:textId="77777777" w:rsidR="00BD2F04" w:rsidRDefault="00606371">
            <w:pPr>
              <w:spacing w:after="20"/>
            </w:pPr>
            <w:r>
              <w:rPr>
                <w:sz w:val="18"/>
              </w:rPr>
              <w:t>Tie every run to a workforce identity and reduce credential risk.</w:t>
            </w:r>
          </w:p>
        </w:tc>
      </w:tr>
      <w:tr w:rsidR="00BD2F04" w14:paraId="322452B7" w14:textId="77777777">
        <w:trPr>
          <w:jc w:val="center"/>
        </w:trPr>
        <w:tc>
          <w:tcPr>
            <w:tcW w:w="2880" w:type="dxa"/>
          </w:tcPr>
          <w:p w14:paraId="45E7DC1D" w14:textId="77777777" w:rsidR="00BD2F04" w:rsidRDefault="00606371">
            <w:pPr>
              <w:spacing w:after="20"/>
            </w:pPr>
            <w:r>
              <w:rPr>
                <w:sz w:val="18"/>
              </w:rPr>
              <w:t>Tool allowlists</w:t>
            </w:r>
          </w:p>
        </w:tc>
        <w:tc>
          <w:tcPr>
            <w:tcW w:w="6480" w:type="dxa"/>
          </w:tcPr>
          <w:p w14:paraId="6AF41DB3" w14:textId="77777777" w:rsidR="00BD2F04" w:rsidRDefault="00606371">
            <w:pPr>
              <w:spacing w:after="20"/>
            </w:pPr>
            <w:r>
              <w:rPr>
                <w:sz w:val="18"/>
              </w:rPr>
              <w:t>Prevent unapproved capabilities from being exposed to the agent.</w:t>
            </w:r>
          </w:p>
        </w:tc>
      </w:tr>
      <w:tr w:rsidR="00BD2F04" w14:paraId="5EB65700" w14:textId="77777777">
        <w:trPr>
          <w:jc w:val="center"/>
        </w:trPr>
        <w:tc>
          <w:tcPr>
            <w:tcW w:w="2880" w:type="dxa"/>
          </w:tcPr>
          <w:p w14:paraId="36860588" w14:textId="77777777" w:rsidR="00BD2F04" w:rsidRDefault="00606371">
            <w:pPr>
              <w:spacing w:after="20"/>
            </w:pPr>
            <w:r>
              <w:rPr>
                <w:sz w:val="18"/>
              </w:rPr>
              <w:t>Dataset allowlists</w:t>
            </w:r>
          </w:p>
        </w:tc>
        <w:tc>
          <w:tcPr>
            <w:tcW w:w="6480" w:type="dxa"/>
          </w:tcPr>
          <w:p w14:paraId="4E8EFE15" w14:textId="77777777" w:rsidR="00BD2F04" w:rsidRDefault="00606371">
            <w:pPr>
              <w:spacing w:after="20"/>
            </w:pPr>
            <w:r>
              <w:rPr>
                <w:sz w:val="18"/>
              </w:rPr>
              <w:t>Prevent accidental or unauthorized PHI exposure.</w:t>
            </w:r>
          </w:p>
        </w:tc>
      </w:tr>
      <w:tr w:rsidR="00BD2F04" w14:paraId="7BABA663" w14:textId="77777777">
        <w:trPr>
          <w:jc w:val="center"/>
        </w:trPr>
        <w:tc>
          <w:tcPr>
            <w:tcW w:w="2880" w:type="dxa"/>
          </w:tcPr>
          <w:p w14:paraId="14348002" w14:textId="77777777" w:rsidR="00BD2F04" w:rsidRDefault="00606371">
            <w:pPr>
              <w:spacing w:after="20"/>
            </w:pPr>
            <w:r>
              <w:rPr>
                <w:sz w:val="18"/>
              </w:rPr>
              <w:t>Schema validation</w:t>
            </w:r>
          </w:p>
        </w:tc>
        <w:tc>
          <w:tcPr>
            <w:tcW w:w="6480" w:type="dxa"/>
          </w:tcPr>
          <w:p w14:paraId="3D1F7A82" w14:textId="77777777" w:rsidR="00BD2F04" w:rsidRDefault="00606371">
            <w:pPr>
              <w:spacing w:after="20"/>
            </w:pPr>
            <w:r>
              <w:rPr>
                <w:sz w:val="18"/>
              </w:rPr>
              <w:t>Reduce malformed tool calls and prompt/tool injection risk.</w:t>
            </w:r>
          </w:p>
        </w:tc>
      </w:tr>
      <w:tr w:rsidR="00BD2F04" w14:paraId="3C63D4FB" w14:textId="77777777">
        <w:trPr>
          <w:jc w:val="center"/>
        </w:trPr>
        <w:tc>
          <w:tcPr>
            <w:tcW w:w="2880" w:type="dxa"/>
          </w:tcPr>
          <w:p w14:paraId="031B2A04" w14:textId="77777777" w:rsidR="00BD2F04" w:rsidRDefault="00606371">
            <w:pPr>
              <w:spacing w:after="20"/>
            </w:pPr>
            <w:r>
              <w:rPr>
                <w:sz w:val="18"/>
              </w:rPr>
              <w:t>DLP scanning</w:t>
            </w:r>
          </w:p>
        </w:tc>
        <w:tc>
          <w:tcPr>
            <w:tcW w:w="6480" w:type="dxa"/>
          </w:tcPr>
          <w:p w14:paraId="44278D48" w14:textId="77777777" w:rsidR="00BD2F04" w:rsidRDefault="00606371">
            <w:pPr>
              <w:spacing w:after="20"/>
            </w:pPr>
            <w:r>
              <w:rPr>
                <w:sz w:val="18"/>
              </w:rPr>
              <w:t>Detect sensitive prompt and response content.</w:t>
            </w:r>
          </w:p>
        </w:tc>
      </w:tr>
      <w:tr w:rsidR="00BD2F04" w14:paraId="00803B53" w14:textId="77777777">
        <w:trPr>
          <w:jc w:val="center"/>
        </w:trPr>
        <w:tc>
          <w:tcPr>
            <w:tcW w:w="2880" w:type="dxa"/>
          </w:tcPr>
          <w:p w14:paraId="5CEE7926" w14:textId="77777777" w:rsidR="00BD2F04" w:rsidRDefault="00606371">
            <w:pPr>
              <w:spacing w:after="20"/>
            </w:pPr>
            <w:r>
              <w:rPr>
                <w:sz w:val="18"/>
              </w:rPr>
              <w:t>Rate limits and budgets</w:t>
            </w:r>
          </w:p>
        </w:tc>
        <w:tc>
          <w:tcPr>
            <w:tcW w:w="6480" w:type="dxa"/>
          </w:tcPr>
          <w:p w14:paraId="43AA8A16" w14:textId="77777777" w:rsidR="00BD2F04" w:rsidRDefault="00606371">
            <w:pPr>
              <w:spacing w:after="20"/>
            </w:pPr>
            <w:r>
              <w:rPr>
                <w:sz w:val="18"/>
              </w:rPr>
              <w:t>Prevent runaway cost, denial-of-wallet, or uncontrolled loops.</w:t>
            </w:r>
          </w:p>
        </w:tc>
      </w:tr>
      <w:tr w:rsidR="00BD2F04" w14:paraId="1A93C45D" w14:textId="77777777">
        <w:trPr>
          <w:jc w:val="center"/>
        </w:trPr>
        <w:tc>
          <w:tcPr>
            <w:tcW w:w="2880" w:type="dxa"/>
          </w:tcPr>
          <w:p w14:paraId="52707DA6" w14:textId="77777777" w:rsidR="00BD2F04" w:rsidRDefault="00606371">
            <w:pPr>
              <w:spacing w:after="20"/>
            </w:pPr>
            <w:r>
              <w:rPr>
                <w:sz w:val="18"/>
              </w:rPr>
              <w:t>Audit logs</w:t>
            </w:r>
          </w:p>
        </w:tc>
        <w:tc>
          <w:tcPr>
            <w:tcW w:w="6480" w:type="dxa"/>
          </w:tcPr>
          <w:p w14:paraId="4091205F" w14:textId="77777777" w:rsidR="00BD2F04" w:rsidRDefault="00606371">
            <w:pPr>
              <w:spacing w:after="20"/>
            </w:pPr>
            <w:r>
              <w:rPr>
                <w:sz w:val="18"/>
              </w:rPr>
              <w:t>Support incident response, reproducibility, and compliance evidence.</w:t>
            </w:r>
          </w:p>
        </w:tc>
      </w:tr>
    </w:tbl>
    <w:p w14:paraId="31E0F42F" w14:textId="77777777" w:rsidR="00BD2F04" w:rsidRDefault="00BD2F04">
      <w:pPr>
        <w:pStyle w:val="Small"/>
      </w:pPr>
    </w:p>
    <w:p w14:paraId="1E048518" w14:textId="77777777" w:rsidR="00BD2F04" w:rsidRDefault="00606371">
      <w:pPr>
        <w:pStyle w:val="Heading1"/>
      </w:pPr>
      <w:r>
        <w:t>5. PHI safety posture</w:t>
      </w:r>
    </w:p>
    <w:p w14:paraId="2E72B147" w14:textId="77777777" w:rsidR="00BD2F04" w:rsidRDefault="00606371">
      <w:r>
        <w:t>For PHI, the sandbox must be treated as a regulated workload from the start. Do not rely on a single control. Use legal, technical, operational, and audit controls together.</w:t>
      </w:r>
    </w:p>
    <w:tbl>
      <w:tblPr>
        <w:tblStyle w:val="TableGrid"/>
        <w:tblW w:w="0" w:type="auto"/>
        <w:jc w:val="center"/>
        <w:tblLook w:val="04A0" w:firstRow="1" w:lastRow="0" w:firstColumn="1" w:lastColumn="0" w:noHBand="0" w:noVBand="1"/>
      </w:tblPr>
      <w:tblGrid>
        <w:gridCol w:w="2448"/>
        <w:gridCol w:w="6912"/>
      </w:tblGrid>
      <w:tr w:rsidR="00BD2F04" w14:paraId="255353EC" w14:textId="77777777">
        <w:trPr>
          <w:jc w:val="center"/>
        </w:trPr>
        <w:tc>
          <w:tcPr>
            <w:tcW w:w="2448" w:type="dxa"/>
            <w:shd w:val="clear" w:color="auto" w:fill="1F4E79"/>
          </w:tcPr>
          <w:p w14:paraId="0107B62E" w14:textId="77777777" w:rsidR="00BD2F04" w:rsidRDefault="00606371">
            <w:pPr>
              <w:spacing w:after="20"/>
            </w:pPr>
            <w:r>
              <w:rPr>
                <w:b/>
                <w:color w:val="FFFFFF"/>
                <w:sz w:val="18"/>
              </w:rPr>
              <w:t>Area</w:t>
            </w:r>
          </w:p>
        </w:tc>
        <w:tc>
          <w:tcPr>
            <w:tcW w:w="6912" w:type="dxa"/>
            <w:shd w:val="clear" w:color="auto" w:fill="1F4E79"/>
          </w:tcPr>
          <w:p w14:paraId="1FE4BDD5" w14:textId="77777777" w:rsidR="00BD2F04" w:rsidRDefault="00606371">
            <w:pPr>
              <w:spacing w:after="20"/>
            </w:pPr>
            <w:r>
              <w:rPr>
                <w:b/>
                <w:color w:val="FFFFFF"/>
                <w:sz w:val="18"/>
              </w:rPr>
              <w:t>Required before PHI</w:t>
            </w:r>
          </w:p>
        </w:tc>
      </w:tr>
      <w:tr w:rsidR="00BD2F04" w14:paraId="50A8A9BD" w14:textId="77777777">
        <w:trPr>
          <w:jc w:val="center"/>
        </w:trPr>
        <w:tc>
          <w:tcPr>
            <w:tcW w:w="2448" w:type="dxa"/>
          </w:tcPr>
          <w:p w14:paraId="08C744EA" w14:textId="77777777" w:rsidR="00BD2F04" w:rsidRDefault="00606371">
            <w:pPr>
              <w:spacing w:after="20"/>
            </w:pPr>
            <w:r>
              <w:rPr>
                <w:sz w:val="18"/>
              </w:rPr>
              <w:t>Legal</w:t>
            </w:r>
          </w:p>
        </w:tc>
        <w:tc>
          <w:tcPr>
            <w:tcW w:w="6912" w:type="dxa"/>
          </w:tcPr>
          <w:p w14:paraId="5FAB7B5E" w14:textId="59566D72" w:rsidR="00BD2F04" w:rsidRDefault="00606371">
            <w:pPr>
              <w:spacing w:after="20"/>
            </w:pPr>
            <w:r>
              <w:rPr>
                <w:sz w:val="18"/>
              </w:rPr>
              <w:t>Confirm BAAs with Cloudflare, including exact services used.</w:t>
            </w:r>
          </w:p>
        </w:tc>
      </w:tr>
      <w:tr w:rsidR="00BD2F04" w14:paraId="5C9F28A8" w14:textId="77777777">
        <w:trPr>
          <w:jc w:val="center"/>
        </w:trPr>
        <w:tc>
          <w:tcPr>
            <w:tcW w:w="2448" w:type="dxa"/>
          </w:tcPr>
          <w:p w14:paraId="71849F0F" w14:textId="77777777" w:rsidR="00BD2F04" w:rsidRDefault="00606371">
            <w:pPr>
              <w:spacing w:after="20"/>
            </w:pPr>
            <w:r>
              <w:rPr>
                <w:sz w:val="18"/>
              </w:rPr>
              <w:t>Data</w:t>
            </w:r>
          </w:p>
        </w:tc>
        <w:tc>
          <w:tcPr>
            <w:tcW w:w="6912" w:type="dxa"/>
          </w:tcPr>
          <w:p w14:paraId="07D6F5C5" w14:textId="77777777" w:rsidR="00BD2F04" w:rsidRDefault="00606371">
            <w:pPr>
              <w:spacing w:after="20"/>
            </w:pPr>
            <w:r>
              <w:rPr>
                <w:sz w:val="18"/>
              </w:rPr>
              <w:t>Complete dataset registry and data classification.</w:t>
            </w:r>
          </w:p>
        </w:tc>
      </w:tr>
      <w:tr w:rsidR="00BD2F04" w14:paraId="688A46C5" w14:textId="77777777">
        <w:trPr>
          <w:jc w:val="center"/>
        </w:trPr>
        <w:tc>
          <w:tcPr>
            <w:tcW w:w="2448" w:type="dxa"/>
          </w:tcPr>
          <w:p w14:paraId="60E7A7AB" w14:textId="77777777" w:rsidR="00BD2F04" w:rsidRDefault="00606371">
            <w:pPr>
              <w:spacing w:after="20"/>
            </w:pPr>
            <w:r>
              <w:rPr>
                <w:sz w:val="18"/>
              </w:rPr>
              <w:t>Identity</w:t>
            </w:r>
          </w:p>
        </w:tc>
        <w:tc>
          <w:tcPr>
            <w:tcW w:w="6912" w:type="dxa"/>
          </w:tcPr>
          <w:p w14:paraId="321847E1" w14:textId="77777777" w:rsidR="00BD2F04" w:rsidRDefault="00606371">
            <w:pPr>
              <w:spacing w:after="20"/>
            </w:pPr>
            <w:r>
              <w:rPr>
                <w:sz w:val="18"/>
              </w:rPr>
              <w:t>Use SSO, MFA, and role-based access.</w:t>
            </w:r>
          </w:p>
        </w:tc>
      </w:tr>
      <w:tr w:rsidR="00BD2F04" w14:paraId="77717F7C" w14:textId="77777777">
        <w:trPr>
          <w:jc w:val="center"/>
        </w:trPr>
        <w:tc>
          <w:tcPr>
            <w:tcW w:w="2448" w:type="dxa"/>
          </w:tcPr>
          <w:p w14:paraId="1BC9F113" w14:textId="77777777" w:rsidR="00BD2F04" w:rsidRDefault="00606371">
            <w:pPr>
              <w:spacing w:after="20"/>
            </w:pPr>
            <w:r>
              <w:rPr>
                <w:sz w:val="18"/>
              </w:rPr>
              <w:t>Network</w:t>
            </w:r>
          </w:p>
        </w:tc>
        <w:tc>
          <w:tcPr>
            <w:tcW w:w="6912" w:type="dxa"/>
          </w:tcPr>
          <w:p w14:paraId="2D3222E5" w14:textId="77777777" w:rsidR="00BD2F04" w:rsidRDefault="00606371">
            <w:pPr>
              <w:spacing w:after="20"/>
            </w:pPr>
            <w:r>
              <w:rPr>
                <w:sz w:val="18"/>
              </w:rPr>
              <w:t>Restrict traffic paths; prefer private connectivity where applicable.</w:t>
            </w:r>
          </w:p>
        </w:tc>
      </w:tr>
      <w:tr w:rsidR="00BD2F04" w14:paraId="6CDBE5C0" w14:textId="77777777">
        <w:trPr>
          <w:jc w:val="center"/>
        </w:trPr>
        <w:tc>
          <w:tcPr>
            <w:tcW w:w="2448" w:type="dxa"/>
          </w:tcPr>
          <w:p w14:paraId="58349F26" w14:textId="77777777" w:rsidR="00BD2F04" w:rsidRDefault="00606371">
            <w:pPr>
              <w:spacing w:after="20"/>
            </w:pPr>
            <w:r>
              <w:rPr>
                <w:sz w:val="18"/>
              </w:rPr>
              <w:t>Logging</w:t>
            </w:r>
          </w:p>
        </w:tc>
        <w:tc>
          <w:tcPr>
            <w:tcW w:w="6912" w:type="dxa"/>
          </w:tcPr>
          <w:p w14:paraId="75CA4C3E" w14:textId="77777777" w:rsidR="00BD2F04" w:rsidRDefault="00606371">
            <w:pPr>
              <w:spacing w:after="20"/>
            </w:pPr>
            <w:r>
              <w:rPr>
                <w:sz w:val="18"/>
              </w:rPr>
              <w:t>Decide whether prompts/responses with PHI are disabled, redacted, or stored in approved audit systems only.</w:t>
            </w:r>
          </w:p>
        </w:tc>
      </w:tr>
      <w:tr w:rsidR="00BD2F04" w14:paraId="7B2ADA77" w14:textId="77777777">
        <w:trPr>
          <w:jc w:val="center"/>
        </w:trPr>
        <w:tc>
          <w:tcPr>
            <w:tcW w:w="2448" w:type="dxa"/>
          </w:tcPr>
          <w:p w14:paraId="4B09E0EC" w14:textId="77777777" w:rsidR="00BD2F04" w:rsidRDefault="00606371">
            <w:pPr>
              <w:spacing w:after="20"/>
            </w:pPr>
            <w:r>
              <w:rPr>
                <w:sz w:val="18"/>
              </w:rPr>
              <w:t>DLP</w:t>
            </w:r>
          </w:p>
        </w:tc>
        <w:tc>
          <w:tcPr>
            <w:tcW w:w="6912" w:type="dxa"/>
          </w:tcPr>
          <w:p w14:paraId="5506A669" w14:textId="77777777" w:rsidR="00BD2F04" w:rsidRDefault="00606371">
            <w:pPr>
              <w:spacing w:after="20"/>
            </w:pPr>
            <w:r>
              <w:rPr>
                <w:sz w:val="18"/>
              </w:rPr>
              <w:t>Enable prompt and response scanning where contractually and operationally acceptable.</w:t>
            </w:r>
          </w:p>
        </w:tc>
      </w:tr>
      <w:tr w:rsidR="00BD2F04" w14:paraId="55FBA5A4" w14:textId="77777777">
        <w:trPr>
          <w:jc w:val="center"/>
        </w:trPr>
        <w:tc>
          <w:tcPr>
            <w:tcW w:w="2448" w:type="dxa"/>
          </w:tcPr>
          <w:p w14:paraId="360BFCA5" w14:textId="77777777" w:rsidR="00BD2F04" w:rsidRDefault="00606371">
            <w:pPr>
              <w:spacing w:after="20"/>
            </w:pPr>
            <w:r>
              <w:rPr>
                <w:sz w:val="18"/>
              </w:rPr>
              <w:t>MCP</w:t>
            </w:r>
          </w:p>
        </w:tc>
        <w:tc>
          <w:tcPr>
            <w:tcW w:w="6912" w:type="dxa"/>
          </w:tcPr>
          <w:p w14:paraId="04E811B3" w14:textId="77777777" w:rsidR="00BD2F04" w:rsidRDefault="00606371">
            <w:pPr>
              <w:spacing w:after="20"/>
            </w:pPr>
            <w:r>
              <w:rPr>
                <w:sz w:val="18"/>
              </w:rPr>
              <w:t>Enforce tool and dataset allowlists outside the model.</w:t>
            </w:r>
          </w:p>
        </w:tc>
      </w:tr>
      <w:tr w:rsidR="00BD2F04" w14:paraId="45818F9C" w14:textId="77777777">
        <w:trPr>
          <w:jc w:val="center"/>
        </w:trPr>
        <w:tc>
          <w:tcPr>
            <w:tcW w:w="2448" w:type="dxa"/>
          </w:tcPr>
          <w:p w14:paraId="320E6576" w14:textId="77777777" w:rsidR="00BD2F04" w:rsidRDefault="00606371">
            <w:pPr>
              <w:spacing w:after="20"/>
            </w:pPr>
            <w:r>
              <w:rPr>
                <w:sz w:val="18"/>
              </w:rPr>
              <w:t>Evaluation</w:t>
            </w:r>
          </w:p>
        </w:tc>
        <w:tc>
          <w:tcPr>
            <w:tcW w:w="6912" w:type="dxa"/>
          </w:tcPr>
          <w:p w14:paraId="6D573462" w14:textId="77777777" w:rsidR="00BD2F04" w:rsidRDefault="00606371">
            <w:pPr>
              <w:spacing w:after="20"/>
            </w:pPr>
            <w:r>
              <w:rPr>
                <w:sz w:val="18"/>
              </w:rPr>
              <w:t>Run leakage, prompt injection, tool misuse, and groundedness tests.</w:t>
            </w:r>
          </w:p>
        </w:tc>
      </w:tr>
      <w:tr w:rsidR="00BD2F04" w14:paraId="1D8CED29" w14:textId="77777777">
        <w:trPr>
          <w:jc w:val="center"/>
        </w:trPr>
        <w:tc>
          <w:tcPr>
            <w:tcW w:w="2448" w:type="dxa"/>
          </w:tcPr>
          <w:p w14:paraId="166F1ED4" w14:textId="77777777" w:rsidR="00BD2F04" w:rsidRDefault="00606371">
            <w:pPr>
              <w:spacing w:after="20"/>
            </w:pPr>
            <w:r>
              <w:rPr>
                <w:sz w:val="18"/>
              </w:rPr>
              <w:t>Retention</w:t>
            </w:r>
          </w:p>
        </w:tc>
        <w:tc>
          <w:tcPr>
            <w:tcW w:w="6912" w:type="dxa"/>
          </w:tcPr>
          <w:p w14:paraId="3FFE659C" w14:textId="77777777" w:rsidR="00BD2F04" w:rsidRDefault="00606371">
            <w:pPr>
              <w:spacing w:after="20"/>
            </w:pPr>
            <w:r>
              <w:rPr>
                <w:sz w:val="18"/>
              </w:rPr>
              <w:t>Automate deletion policies for logs, traces, and derived artifacts.</w:t>
            </w:r>
          </w:p>
        </w:tc>
      </w:tr>
      <w:tr w:rsidR="00BD2F04" w14:paraId="0B7411A0" w14:textId="77777777">
        <w:trPr>
          <w:jc w:val="center"/>
        </w:trPr>
        <w:tc>
          <w:tcPr>
            <w:tcW w:w="2448" w:type="dxa"/>
          </w:tcPr>
          <w:p w14:paraId="42730F6B" w14:textId="77777777" w:rsidR="00BD2F04" w:rsidRDefault="00606371">
            <w:pPr>
              <w:spacing w:after="20"/>
            </w:pPr>
            <w:r>
              <w:rPr>
                <w:sz w:val="18"/>
              </w:rPr>
              <w:t>Incident response</w:t>
            </w:r>
          </w:p>
        </w:tc>
        <w:tc>
          <w:tcPr>
            <w:tcW w:w="6912" w:type="dxa"/>
          </w:tcPr>
          <w:p w14:paraId="53234753" w14:textId="77777777" w:rsidR="00BD2F04" w:rsidRDefault="00606371">
            <w:pPr>
              <w:spacing w:after="20"/>
            </w:pPr>
            <w:r>
              <w:rPr>
                <w:sz w:val="18"/>
              </w:rPr>
              <w:t>Create a playbook for PHI leakage or unauthorized access.</w:t>
            </w:r>
          </w:p>
        </w:tc>
      </w:tr>
    </w:tbl>
    <w:p w14:paraId="3FE8295D" w14:textId="77777777" w:rsidR="00BD2F04" w:rsidRDefault="00606371">
      <w:pPr>
        <w:pStyle w:val="Heading1"/>
      </w:pPr>
      <w:r>
        <w:t>6. Sandbox data tiers</w:t>
      </w:r>
    </w:p>
    <w:tbl>
      <w:tblPr>
        <w:tblStyle w:val="TableGrid"/>
        <w:tblW w:w="0" w:type="auto"/>
        <w:jc w:val="center"/>
        <w:tblLook w:val="04A0" w:firstRow="1" w:lastRow="0" w:firstColumn="1" w:lastColumn="0" w:noHBand="0" w:noVBand="1"/>
      </w:tblPr>
      <w:tblGrid>
        <w:gridCol w:w="1152"/>
        <w:gridCol w:w="2304"/>
        <w:gridCol w:w="3456"/>
        <w:gridCol w:w="2592"/>
      </w:tblGrid>
      <w:tr w:rsidR="00BD2F04" w14:paraId="6A97331B" w14:textId="77777777">
        <w:trPr>
          <w:jc w:val="center"/>
        </w:trPr>
        <w:tc>
          <w:tcPr>
            <w:tcW w:w="1152" w:type="dxa"/>
            <w:shd w:val="clear" w:color="auto" w:fill="1F4E79"/>
          </w:tcPr>
          <w:p w14:paraId="4887AE2D" w14:textId="77777777" w:rsidR="00BD2F04" w:rsidRDefault="00606371">
            <w:pPr>
              <w:spacing w:after="20"/>
            </w:pPr>
            <w:r>
              <w:rPr>
                <w:b/>
                <w:color w:val="FFFFFF"/>
                <w:sz w:val="18"/>
              </w:rPr>
              <w:t>Tier</w:t>
            </w:r>
          </w:p>
        </w:tc>
        <w:tc>
          <w:tcPr>
            <w:tcW w:w="2304" w:type="dxa"/>
            <w:shd w:val="clear" w:color="auto" w:fill="1F4E79"/>
          </w:tcPr>
          <w:p w14:paraId="1831C293" w14:textId="77777777" w:rsidR="00BD2F04" w:rsidRDefault="00606371">
            <w:pPr>
              <w:spacing w:after="20"/>
            </w:pPr>
            <w:r>
              <w:rPr>
                <w:b/>
                <w:color w:val="FFFFFF"/>
                <w:sz w:val="18"/>
              </w:rPr>
              <w:t>Data allowed</w:t>
            </w:r>
          </w:p>
        </w:tc>
        <w:tc>
          <w:tcPr>
            <w:tcW w:w="3456" w:type="dxa"/>
            <w:shd w:val="clear" w:color="auto" w:fill="1F4E79"/>
          </w:tcPr>
          <w:p w14:paraId="48024D28" w14:textId="77777777" w:rsidR="00BD2F04" w:rsidRDefault="00606371">
            <w:pPr>
              <w:spacing w:after="20"/>
            </w:pPr>
            <w:r>
              <w:rPr>
                <w:b/>
                <w:color w:val="FFFFFF"/>
                <w:sz w:val="18"/>
              </w:rPr>
              <w:t>Purpose</w:t>
            </w:r>
          </w:p>
        </w:tc>
        <w:tc>
          <w:tcPr>
            <w:tcW w:w="2592" w:type="dxa"/>
            <w:shd w:val="clear" w:color="auto" w:fill="1F4E79"/>
          </w:tcPr>
          <w:p w14:paraId="1B56C383" w14:textId="77777777" w:rsidR="00BD2F04" w:rsidRDefault="00606371">
            <w:pPr>
              <w:spacing w:after="20"/>
            </w:pPr>
            <w:r>
              <w:rPr>
                <w:b/>
                <w:color w:val="FFFFFF"/>
                <w:sz w:val="18"/>
              </w:rPr>
              <w:t>Logging posture</w:t>
            </w:r>
          </w:p>
        </w:tc>
      </w:tr>
      <w:tr w:rsidR="00BD2F04" w14:paraId="69C6CDF2" w14:textId="77777777">
        <w:trPr>
          <w:jc w:val="center"/>
        </w:trPr>
        <w:tc>
          <w:tcPr>
            <w:tcW w:w="1152" w:type="dxa"/>
          </w:tcPr>
          <w:p w14:paraId="45908DB1" w14:textId="77777777" w:rsidR="00BD2F04" w:rsidRDefault="00606371">
            <w:pPr>
              <w:spacing w:after="20"/>
            </w:pPr>
            <w:r>
              <w:rPr>
                <w:sz w:val="18"/>
              </w:rPr>
              <w:t>Tier 0</w:t>
            </w:r>
          </w:p>
        </w:tc>
        <w:tc>
          <w:tcPr>
            <w:tcW w:w="2304" w:type="dxa"/>
          </w:tcPr>
          <w:p w14:paraId="559894F1" w14:textId="77777777" w:rsidR="00BD2F04" w:rsidRDefault="00606371">
            <w:pPr>
              <w:spacing w:after="20"/>
            </w:pPr>
            <w:r>
              <w:rPr>
                <w:sz w:val="18"/>
              </w:rPr>
              <w:t>No data / toy data</w:t>
            </w:r>
          </w:p>
        </w:tc>
        <w:tc>
          <w:tcPr>
            <w:tcW w:w="3456" w:type="dxa"/>
          </w:tcPr>
          <w:p w14:paraId="5996D2FE" w14:textId="77777777" w:rsidR="00BD2F04" w:rsidRDefault="00606371">
            <w:pPr>
              <w:spacing w:after="20"/>
            </w:pPr>
            <w:r>
              <w:rPr>
                <w:sz w:val="18"/>
              </w:rPr>
              <w:t>Framework and orchestration testing</w:t>
            </w:r>
          </w:p>
        </w:tc>
        <w:tc>
          <w:tcPr>
            <w:tcW w:w="2592" w:type="dxa"/>
          </w:tcPr>
          <w:p w14:paraId="0A293444" w14:textId="77777777" w:rsidR="00BD2F04" w:rsidRDefault="00606371">
            <w:pPr>
              <w:spacing w:after="20"/>
            </w:pPr>
            <w:r>
              <w:rPr>
                <w:sz w:val="18"/>
              </w:rPr>
              <w:t>Full logs acceptable</w:t>
            </w:r>
          </w:p>
        </w:tc>
      </w:tr>
      <w:tr w:rsidR="00BD2F04" w14:paraId="496B2F63" w14:textId="77777777">
        <w:trPr>
          <w:jc w:val="center"/>
        </w:trPr>
        <w:tc>
          <w:tcPr>
            <w:tcW w:w="1152" w:type="dxa"/>
          </w:tcPr>
          <w:p w14:paraId="0AD7B46E" w14:textId="77777777" w:rsidR="00BD2F04" w:rsidRDefault="00606371">
            <w:pPr>
              <w:spacing w:after="20"/>
            </w:pPr>
            <w:commentRangeStart w:id="8"/>
            <w:r>
              <w:rPr>
                <w:sz w:val="18"/>
              </w:rPr>
              <w:t>Tier 1</w:t>
            </w:r>
          </w:p>
        </w:tc>
        <w:tc>
          <w:tcPr>
            <w:tcW w:w="2304" w:type="dxa"/>
          </w:tcPr>
          <w:p w14:paraId="10318893" w14:textId="77777777" w:rsidR="00BD2F04" w:rsidRDefault="00606371">
            <w:pPr>
              <w:spacing w:after="20"/>
            </w:pPr>
            <w:r>
              <w:rPr>
                <w:sz w:val="18"/>
              </w:rPr>
              <w:t>Synthetic clinical data</w:t>
            </w:r>
            <w:commentRangeEnd w:id="8"/>
            <w:r w:rsidR="00C42B81">
              <w:rPr>
                <w:rStyle w:val="CommentReference"/>
                <w:sz w:val="21"/>
                <w:szCs w:val="22"/>
              </w:rPr>
              <w:commentReference w:id="8"/>
            </w:r>
          </w:p>
        </w:tc>
        <w:tc>
          <w:tcPr>
            <w:tcW w:w="3456" w:type="dxa"/>
          </w:tcPr>
          <w:p w14:paraId="5751341C" w14:textId="77777777" w:rsidR="00BD2F04" w:rsidRDefault="00606371">
            <w:pPr>
              <w:spacing w:after="20"/>
            </w:pPr>
            <w:r>
              <w:rPr>
                <w:sz w:val="18"/>
              </w:rPr>
              <w:t>Tool and workflow testing</w:t>
            </w:r>
          </w:p>
        </w:tc>
        <w:tc>
          <w:tcPr>
            <w:tcW w:w="2592" w:type="dxa"/>
          </w:tcPr>
          <w:p w14:paraId="614905AA" w14:textId="77777777" w:rsidR="00BD2F04" w:rsidRDefault="00606371">
            <w:pPr>
              <w:spacing w:after="20"/>
            </w:pPr>
            <w:r>
              <w:rPr>
                <w:sz w:val="18"/>
              </w:rPr>
              <w:t>Full logs acceptable</w:t>
            </w:r>
          </w:p>
        </w:tc>
      </w:tr>
      <w:tr w:rsidR="00BD2F04" w14:paraId="76F0D52C" w14:textId="77777777">
        <w:trPr>
          <w:jc w:val="center"/>
        </w:trPr>
        <w:tc>
          <w:tcPr>
            <w:tcW w:w="1152" w:type="dxa"/>
          </w:tcPr>
          <w:p w14:paraId="3005C0A2" w14:textId="77777777" w:rsidR="00BD2F04" w:rsidRDefault="00606371">
            <w:pPr>
              <w:spacing w:after="20"/>
            </w:pPr>
            <w:r>
              <w:rPr>
                <w:sz w:val="18"/>
              </w:rPr>
              <w:t>Tier 2</w:t>
            </w:r>
          </w:p>
        </w:tc>
        <w:tc>
          <w:tcPr>
            <w:tcW w:w="2304" w:type="dxa"/>
          </w:tcPr>
          <w:p w14:paraId="67BBCE42" w14:textId="77777777" w:rsidR="00BD2F04" w:rsidRDefault="00606371">
            <w:pPr>
              <w:spacing w:after="20"/>
            </w:pPr>
            <w:r>
              <w:rPr>
                <w:sz w:val="18"/>
              </w:rPr>
              <w:t>De-identified data</w:t>
            </w:r>
          </w:p>
        </w:tc>
        <w:tc>
          <w:tcPr>
            <w:tcW w:w="3456" w:type="dxa"/>
          </w:tcPr>
          <w:p w14:paraId="2AE497CA" w14:textId="77777777" w:rsidR="00BD2F04" w:rsidRDefault="00606371">
            <w:pPr>
              <w:spacing w:after="20"/>
            </w:pPr>
            <w:r>
              <w:rPr>
                <w:sz w:val="18"/>
              </w:rPr>
              <w:t>Safety and quality validation</w:t>
            </w:r>
          </w:p>
        </w:tc>
        <w:tc>
          <w:tcPr>
            <w:tcW w:w="2592" w:type="dxa"/>
          </w:tcPr>
          <w:p w14:paraId="1E9FE3BF" w14:textId="77777777" w:rsidR="00BD2F04" w:rsidRDefault="00606371">
            <w:pPr>
              <w:spacing w:after="20"/>
            </w:pPr>
            <w:r>
              <w:rPr>
                <w:sz w:val="18"/>
              </w:rPr>
              <w:t>Redacted logs</w:t>
            </w:r>
          </w:p>
        </w:tc>
      </w:tr>
      <w:tr w:rsidR="00BD2F04" w14:paraId="5758E9C0" w14:textId="77777777">
        <w:trPr>
          <w:jc w:val="center"/>
        </w:trPr>
        <w:tc>
          <w:tcPr>
            <w:tcW w:w="1152" w:type="dxa"/>
          </w:tcPr>
          <w:p w14:paraId="102F016F" w14:textId="77777777" w:rsidR="00BD2F04" w:rsidRDefault="00606371">
            <w:pPr>
              <w:spacing w:after="20"/>
            </w:pPr>
            <w:r>
              <w:rPr>
                <w:sz w:val="18"/>
              </w:rPr>
              <w:t>Tier 3</w:t>
            </w:r>
          </w:p>
        </w:tc>
        <w:tc>
          <w:tcPr>
            <w:tcW w:w="2304" w:type="dxa"/>
          </w:tcPr>
          <w:p w14:paraId="7656A9F5" w14:textId="77777777" w:rsidR="00BD2F04" w:rsidRDefault="00606371">
            <w:pPr>
              <w:spacing w:after="20"/>
            </w:pPr>
            <w:r>
              <w:rPr>
                <w:sz w:val="18"/>
              </w:rPr>
              <w:t>Limited dataset</w:t>
            </w:r>
          </w:p>
        </w:tc>
        <w:tc>
          <w:tcPr>
            <w:tcW w:w="3456" w:type="dxa"/>
          </w:tcPr>
          <w:p w14:paraId="75C30367" w14:textId="77777777" w:rsidR="00BD2F04" w:rsidRDefault="00606371">
            <w:pPr>
              <w:spacing w:after="20"/>
            </w:pPr>
            <w:r>
              <w:rPr>
                <w:sz w:val="18"/>
              </w:rPr>
              <w:t>Controlled clinical-like validation</w:t>
            </w:r>
          </w:p>
        </w:tc>
        <w:tc>
          <w:tcPr>
            <w:tcW w:w="2592" w:type="dxa"/>
          </w:tcPr>
          <w:p w14:paraId="556679BB" w14:textId="77777777" w:rsidR="00BD2F04" w:rsidRDefault="00606371">
            <w:pPr>
              <w:spacing w:after="20"/>
            </w:pPr>
            <w:r>
              <w:rPr>
                <w:sz w:val="18"/>
              </w:rPr>
              <w:t>Minimal content logs</w:t>
            </w:r>
          </w:p>
        </w:tc>
      </w:tr>
      <w:tr w:rsidR="00BD2F04" w14:paraId="0B47861E" w14:textId="77777777">
        <w:trPr>
          <w:jc w:val="center"/>
        </w:trPr>
        <w:tc>
          <w:tcPr>
            <w:tcW w:w="1152" w:type="dxa"/>
          </w:tcPr>
          <w:p w14:paraId="090C5D65" w14:textId="77777777" w:rsidR="00BD2F04" w:rsidRDefault="00606371">
            <w:pPr>
              <w:spacing w:after="20"/>
            </w:pPr>
            <w:r>
              <w:rPr>
                <w:sz w:val="18"/>
              </w:rPr>
              <w:t>Tier 4</w:t>
            </w:r>
          </w:p>
        </w:tc>
        <w:tc>
          <w:tcPr>
            <w:tcW w:w="2304" w:type="dxa"/>
          </w:tcPr>
          <w:p w14:paraId="3A679BB9" w14:textId="77777777" w:rsidR="00BD2F04" w:rsidRDefault="00606371">
            <w:pPr>
              <w:spacing w:after="20"/>
            </w:pPr>
            <w:r>
              <w:rPr>
                <w:sz w:val="18"/>
              </w:rPr>
              <w:t>PHI</w:t>
            </w:r>
          </w:p>
        </w:tc>
        <w:tc>
          <w:tcPr>
            <w:tcW w:w="3456" w:type="dxa"/>
          </w:tcPr>
          <w:p w14:paraId="33CDCC3E" w14:textId="77777777" w:rsidR="00BD2F04" w:rsidRDefault="00606371">
            <w:pPr>
              <w:spacing w:after="20"/>
            </w:pPr>
            <w:r>
              <w:rPr>
                <w:sz w:val="18"/>
              </w:rPr>
              <w:t>Approved production-grade sandbox use</w:t>
            </w:r>
          </w:p>
        </w:tc>
        <w:tc>
          <w:tcPr>
            <w:tcW w:w="2592" w:type="dxa"/>
          </w:tcPr>
          <w:p w14:paraId="79213DA9" w14:textId="77777777" w:rsidR="00BD2F04" w:rsidRDefault="00606371">
            <w:pPr>
              <w:spacing w:after="20"/>
            </w:pPr>
            <w:r>
              <w:rPr>
                <w:sz w:val="18"/>
              </w:rPr>
              <w:t>Contract-approved metadata/audit logging only</w:t>
            </w:r>
          </w:p>
        </w:tc>
      </w:tr>
    </w:tbl>
    <w:p w14:paraId="0FB2086C" w14:textId="7CDEEE3F" w:rsidR="00BD2F04" w:rsidRDefault="00BD2F04"/>
    <w:p w14:paraId="3BF9BE46" w14:textId="77777777" w:rsidR="00BD2F04" w:rsidRDefault="00606371">
      <w:pPr>
        <w:pStyle w:val="Heading1"/>
      </w:pPr>
      <w:r>
        <w:t>8. Evaluation plan for proving agents</w:t>
      </w:r>
    </w:p>
    <w:tbl>
      <w:tblPr>
        <w:tblStyle w:val="TableGrid"/>
        <w:tblW w:w="0" w:type="auto"/>
        <w:jc w:val="center"/>
        <w:tblLook w:val="04A0" w:firstRow="1" w:lastRow="0" w:firstColumn="1" w:lastColumn="0" w:noHBand="0" w:noVBand="1"/>
      </w:tblPr>
      <w:tblGrid>
        <w:gridCol w:w="2880"/>
        <w:gridCol w:w="6480"/>
      </w:tblGrid>
      <w:tr w:rsidR="00BD2F04" w14:paraId="20F25F93" w14:textId="77777777">
        <w:trPr>
          <w:jc w:val="center"/>
        </w:trPr>
        <w:tc>
          <w:tcPr>
            <w:tcW w:w="2880" w:type="dxa"/>
            <w:shd w:val="clear" w:color="auto" w:fill="1F4E79"/>
          </w:tcPr>
          <w:p w14:paraId="77054F41" w14:textId="77777777" w:rsidR="00BD2F04" w:rsidRDefault="00606371">
            <w:pPr>
              <w:spacing w:after="20"/>
            </w:pPr>
            <w:r>
              <w:rPr>
                <w:b/>
                <w:color w:val="FFFFFF"/>
                <w:sz w:val="18"/>
              </w:rPr>
              <w:t>Test category</w:t>
            </w:r>
          </w:p>
        </w:tc>
        <w:tc>
          <w:tcPr>
            <w:tcW w:w="6480" w:type="dxa"/>
            <w:shd w:val="clear" w:color="auto" w:fill="1F4E79"/>
          </w:tcPr>
          <w:p w14:paraId="21BE69ED" w14:textId="77777777" w:rsidR="00BD2F04" w:rsidRDefault="00606371">
            <w:pPr>
              <w:spacing w:after="20"/>
            </w:pPr>
            <w:r>
              <w:rPr>
                <w:b/>
                <w:color w:val="FFFFFF"/>
                <w:sz w:val="18"/>
              </w:rPr>
              <w:t>What to measure</w:t>
            </w:r>
          </w:p>
        </w:tc>
      </w:tr>
      <w:tr w:rsidR="00BD2F04" w14:paraId="08516A96" w14:textId="77777777">
        <w:trPr>
          <w:jc w:val="center"/>
        </w:trPr>
        <w:tc>
          <w:tcPr>
            <w:tcW w:w="2880" w:type="dxa"/>
          </w:tcPr>
          <w:p w14:paraId="0D493FE8" w14:textId="77777777" w:rsidR="00BD2F04" w:rsidRDefault="00606371">
            <w:pPr>
              <w:spacing w:after="20"/>
            </w:pPr>
            <w:r>
              <w:rPr>
                <w:sz w:val="18"/>
              </w:rPr>
              <w:lastRenderedPageBreak/>
              <w:t>Data leakage</w:t>
            </w:r>
          </w:p>
        </w:tc>
        <w:tc>
          <w:tcPr>
            <w:tcW w:w="6480" w:type="dxa"/>
          </w:tcPr>
          <w:p w14:paraId="4E254EEB" w14:textId="77777777" w:rsidR="00BD2F04" w:rsidRDefault="00606371">
            <w:pPr>
              <w:spacing w:after="20"/>
            </w:pPr>
            <w:commentRangeStart w:id="9"/>
            <w:r>
              <w:rPr>
                <w:sz w:val="18"/>
              </w:rPr>
              <w:t>Whether the agent reveals PHI, hidden fields, system prompts, or unauthorized dataset content.</w:t>
            </w:r>
            <w:commentRangeEnd w:id="9"/>
            <w:r w:rsidR="006C2277">
              <w:rPr>
                <w:rStyle w:val="CommentReference"/>
                <w:sz w:val="21"/>
                <w:szCs w:val="22"/>
              </w:rPr>
              <w:commentReference w:id="9"/>
            </w:r>
          </w:p>
        </w:tc>
      </w:tr>
      <w:tr w:rsidR="00BD2F04" w14:paraId="465288C7" w14:textId="77777777">
        <w:trPr>
          <w:jc w:val="center"/>
        </w:trPr>
        <w:tc>
          <w:tcPr>
            <w:tcW w:w="2880" w:type="dxa"/>
          </w:tcPr>
          <w:p w14:paraId="3672AE78" w14:textId="77777777" w:rsidR="00BD2F04" w:rsidRDefault="00606371">
            <w:pPr>
              <w:spacing w:after="20"/>
            </w:pPr>
            <w:r>
              <w:rPr>
                <w:sz w:val="18"/>
              </w:rPr>
              <w:t>Tool correctness</w:t>
            </w:r>
          </w:p>
        </w:tc>
        <w:tc>
          <w:tcPr>
            <w:tcW w:w="6480" w:type="dxa"/>
          </w:tcPr>
          <w:p w14:paraId="689C115A" w14:textId="77777777" w:rsidR="00BD2F04" w:rsidRDefault="00606371">
            <w:pPr>
              <w:spacing w:after="20"/>
            </w:pPr>
            <w:r>
              <w:rPr>
                <w:sz w:val="18"/>
              </w:rPr>
              <w:t>Whether the agent calls the right tool with valid arguments.</w:t>
            </w:r>
          </w:p>
        </w:tc>
      </w:tr>
      <w:tr w:rsidR="00BD2F04" w14:paraId="6955C378" w14:textId="77777777">
        <w:trPr>
          <w:jc w:val="center"/>
        </w:trPr>
        <w:tc>
          <w:tcPr>
            <w:tcW w:w="2880" w:type="dxa"/>
          </w:tcPr>
          <w:p w14:paraId="67562763" w14:textId="77777777" w:rsidR="00BD2F04" w:rsidRDefault="00606371">
            <w:pPr>
              <w:spacing w:after="20"/>
            </w:pPr>
            <w:r>
              <w:rPr>
                <w:sz w:val="18"/>
              </w:rPr>
              <w:t>Tool restraint</w:t>
            </w:r>
          </w:p>
        </w:tc>
        <w:tc>
          <w:tcPr>
            <w:tcW w:w="6480" w:type="dxa"/>
          </w:tcPr>
          <w:p w14:paraId="6F31ECC9" w14:textId="77777777" w:rsidR="00BD2F04" w:rsidRDefault="00606371">
            <w:pPr>
              <w:spacing w:after="20"/>
            </w:pPr>
            <w:r>
              <w:rPr>
                <w:sz w:val="18"/>
              </w:rPr>
              <w:t>Whether it avoids unnecessary or disallowed tool calls.</w:t>
            </w:r>
          </w:p>
        </w:tc>
      </w:tr>
      <w:tr w:rsidR="00BD2F04" w14:paraId="3E9ABB70" w14:textId="77777777">
        <w:trPr>
          <w:jc w:val="center"/>
        </w:trPr>
        <w:tc>
          <w:tcPr>
            <w:tcW w:w="2880" w:type="dxa"/>
          </w:tcPr>
          <w:p w14:paraId="1A38B461" w14:textId="77777777" w:rsidR="00BD2F04" w:rsidRDefault="00606371">
            <w:pPr>
              <w:spacing w:after="20"/>
            </w:pPr>
            <w:r>
              <w:rPr>
                <w:sz w:val="18"/>
              </w:rPr>
              <w:t>Groundedness</w:t>
            </w:r>
          </w:p>
        </w:tc>
        <w:tc>
          <w:tcPr>
            <w:tcW w:w="6480" w:type="dxa"/>
          </w:tcPr>
          <w:p w14:paraId="0C6CA24A" w14:textId="77777777" w:rsidR="00BD2F04" w:rsidRDefault="00606371">
            <w:pPr>
              <w:spacing w:after="20"/>
            </w:pPr>
            <w:r>
              <w:rPr>
                <w:sz w:val="18"/>
              </w:rPr>
              <w:t>Whether claims are supported by retrieved data.</w:t>
            </w:r>
          </w:p>
        </w:tc>
      </w:tr>
      <w:tr w:rsidR="00BD2F04" w14:paraId="1F3ECFDA" w14:textId="77777777">
        <w:trPr>
          <w:jc w:val="center"/>
        </w:trPr>
        <w:tc>
          <w:tcPr>
            <w:tcW w:w="2880" w:type="dxa"/>
          </w:tcPr>
          <w:p w14:paraId="51158743" w14:textId="77777777" w:rsidR="00BD2F04" w:rsidRDefault="00606371">
            <w:pPr>
              <w:spacing w:after="20"/>
            </w:pPr>
            <w:r>
              <w:rPr>
                <w:sz w:val="18"/>
              </w:rPr>
              <w:t>Clinical safety</w:t>
            </w:r>
          </w:p>
        </w:tc>
        <w:tc>
          <w:tcPr>
            <w:tcW w:w="6480" w:type="dxa"/>
          </w:tcPr>
          <w:p w14:paraId="41F2EB6F" w14:textId="77777777" w:rsidR="00BD2F04" w:rsidRDefault="00606371">
            <w:pPr>
              <w:spacing w:after="20"/>
            </w:pPr>
            <w:commentRangeStart w:id="10"/>
            <w:r>
              <w:rPr>
                <w:sz w:val="18"/>
              </w:rPr>
              <w:t>Whether outputs avoid diagnosis/treatment overreach unless explicitly approved.</w:t>
            </w:r>
            <w:commentRangeEnd w:id="10"/>
            <w:r w:rsidR="006C2277">
              <w:rPr>
                <w:rStyle w:val="CommentReference"/>
                <w:sz w:val="21"/>
                <w:szCs w:val="22"/>
              </w:rPr>
              <w:commentReference w:id="10"/>
            </w:r>
          </w:p>
        </w:tc>
      </w:tr>
      <w:tr w:rsidR="00BD2F04" w14:paraId="373B04CE" w14:textId="77777777">
        <w:trPr>
          <w:jc w:val="center"/>
        </w:trPr>
        <w:tc>
          <w:tcPr>
            <w:tcW w:w="2880" w:type="dxa"/>
          </w:tcPr>
          <w:p w14:paraId="47B89F75" w14:textId="77777777" w:rsidR="00BD2F04" w:rsidRDefault="00606371">
            <w:pPr>
              <w:spacing w:after="20"/>
            </w:pPr>
            <w:r>
              <w:rPr>
                <w:sz w:val="18"/>
              </w:rPr>
              <w:t>Prompt injection resistance</w:t>
            </w:r>
          </w:p>
        </w:tc>
        <w:tc>
          <w:tcPr>
            <w:tcW w:w="6480" w:type="dxa"/>
          </w:tcPr>
          <w:p w14:paraId="10CA2D5D" w14:textId="77777777" w:rsidR="00BD2F04" w:rsidRDefault="00606371">
            <w:pPr>
              <w:spacing w:after="20"/>
            </w:pPr>
            <w:r>
              <w:rPr>
                <w:sz w:val="18"/>
              </w:rPr>
              <w:t>Whether it ignores malicious instructions in retrieved content.</w:t>
            </w:r>
          </w:p>
        </w:tc>
      </w:tr>
      <w:tr w:rsidR="00BD2F04" w14:paraId="069D381A" w14:textId="77777777">
        <w:trPr>
          <w:jc w:val="center"/>
        </w:trPr>
        <w:tc>
          <w:tcPr>
            <w:tcW w:w="2880" w:type="dxa"/>
          </w:tcPr>
          <w:p w14:paraId="6E341944" w14:textId="77777777" w:rsidR="00BD2F04" w:rsidRDefault="00606371">
            <w:pPr>
              <w:spacing w:after="20"/>
            </w:pPr>
            <w:r>
              <w:rPr>
                <w:sz w:val="18"/>
              </w:rPr>
              <w:t>Access control</w:t>
            </w:r>
          </w:p>
        </w:tc>
        <w:tc>
          <w:tcPr>
            <w:tcW w:w="6480" w:type="dxa"/>
          </w:tcPr>
          <w:p w14:paraId="5FBA3C03" w14:textId="77777777" w:rsidR="00BD2F04" w:rsidRDefault="00606371">
            <w:pPr>
              <w:spacing w:after="20"/>
            </w:pPr>
            <w:r>
              <w:rPr>
                <w:sz w:val="18"/>
              </w:rPr>
              <w:t>Whether lower-role users can trigger higher-tier access.</w:t>
            </w:r>
          </w:p>
        </w:tc>
      </w:tr>
      <w:tr w:rsidR="00BD2F04" w14:paraId="42E4FC99" w14:textId="77777777">
        <w:trPr>
          <w:jc w:val="center"/>
        </w:trPr>
        <w:tc>
          <w:tcPr>
            <w:tcW w:w="2880" w:type="dxa"/>
          </w:tcPr>
          <w:p w14:paraId="587DFE55" w14:textId="77777777" w:rsidR="00BD2F04" w:rsidRDefault="00606371">
            <w:pPr>
              <w:spacing w:after="20"/>
            </w:pPr>
            <w:r>
              <w:rPr>
                <w:sz w:val="18"/>
              </w:rPr>
              <w:t>Cost control</w:t>
            </w:r>
          </w:p>
        </w:tc>
        <w:tc>
          <w:tcPr>
            <w:tcW w:w="6480" w:type="dxa"/>
          </w:tcPr>
          <w:p w14:paraId="7492E841" w14:textId="77777777" w:rsidR="00BD2F04" w:rsidRDefault="00606371">
            <w:pPr>
              <w:spacing w:after="20"/>
            </w:pPr>
            <w:commentRangeStart w:id="11"/>
            <w:r>
              <w:rPr>
                <w:sz w:val="18"/>
              </w:rPr>
              <w:t>Whether runs stay within token and spend budgets.</w:t>
            </w:r>
            <w:commentRangeEnd w:id="11"/>
            <w:r w:rsidR="006C2277">
              <w:rPr>
                <w:rStyle w:val="CommentReference"/>
                <w:sz w:val="21"/>
                <w:szCs w:val="22"/>
              </w:rPr>
              <w:commentReference w:id="11"/>
            </w:r>
          </w:p>
        </w:tc>
      </w:tr>
      <w:tr w:rsidR="00BD2F04" w14:paraId="12CA17BF" w14:textId="77777777">
        <w:trPr>
          <w:jc w:val="center"/>
        </w:trPr>
        <w:tc>
          <w:tcPr>
            <w:tcW w:w="2880" w:type="dxa"/>
          </w:tcPr>
          <w:p w14:paraId="65BB6481" w14:textId="77777777" w:rsidR="00BD2F04" w:rsidRDefault="00606371">
            <w:pPr>
              <w:spacing w:after="20"/>
            </w:pPr>
            <w:r>
              <w:rPr>
                <w:sz w:val="18"/>
              </w:rPr>
              <w:t>Reproducibility</w:t>
            </w:r>
          </w:p>
        </w:tc>
        <w:tc>
          <w:tcPr>
            <w:tcW w:w="6480" w:type="dxa"/>
          </w:tcPr>
          <w:p w14:paraId="610B8A6B" w14:textId="77777777" w:rsidR="00BD2F04" w:rsidRDefault="00606371">
            <w:pPr>
              <w:spacing w:after="20"/>
            </w:pPr>
            <w:r>
              <w:rPr>
                <w:sz w:val="18"/>
              </w:rPr>
              <w:t>Whether a run can be reconstructed from logs and versions.</w:t>
            </w:r>
          </w:p>
        </w:tc>
      </w:tr>
      <w:tr w:rsidR="00BD2F04" w14:paraId="378716BC" w14:textId="77777777">
        <w:trPr>
          <w:jc w:val="center"/>
        </w:trPr>
        <w:tc>
          <w:tcPr>
            <w:tcW w:w="2880" w:type="dxa"/>
          </w:tcPr>
          <w:p w14:paraId="6DFDAAF0" w14:textId="77777777" w:rsidR="00BD2F04" w:rsidRDefault="00606371">
            <w:pPr>
              <w:spacing w:after="20"/>
            </w:pPr>
            <w:r>
              <w:rPr>
                <w:sz w:val="18"/>
              </w:rPr>
              <w:t>Human review</w:t>
            </w:r>
          </w:p>
        </w:tc>
        <w:tc>
          <w:tcPr>
            <w:tcW w:w="6480" w:type="dxa"/>
          </w:tcPr>
          <w:p w14:paraId="3793AE00" w14:textId="77777777" w:rsidR="00BD2F04" w:rsidRDefault="00606371">
            <w:pPr>
              <w:spacing w:after="20"/>
            </w:pPr>
            <w:r>
              <w:rPr>
                <w:sz w:val="18"/>
              </w:rPr>
              <w:t>Whether high-risk or uncertain outputs escalate appropriately.</w:t>
            </w:r>
          </w:p>
        </w:tc>
      </w:tr>
    </w:tbl>
    <w:p w14:paraId="2D3AC209" w14:textId="77777777" w:rsidR="005C5243" w:rsidRDefault="005C5243" w:rsidP="005C5243">
      <w:pPr>
        <w:pStyle w:val="NormalWeb"/>
      </w:pPr>
      <w:r>
        <w:t xml:space="preserve">For agent proving, the sandbox should support a </w:t>
      </w:r>
      <w:r>
        <w:rPr>
          <w:rStyle w:val="Strong"/>
        </w:rPr>
        <w:t>reproducibility mode</w:t>
      </w:r>
      <w:r>
        <w:t xml:space="preserve"> that makes model behavior as consistent as possible across repeated evaluations. In this mode, model decoding parameters should be explicitly configured rather than left to provider defaults. </w:t>
      </w:r>
      <w:commentRangeStart w:id="12"/>
      <w:r>
        <w:t>The most important controls are low or zero temperature, constrained sampling, fixed maximum token limits, and where supported, a deterministic seed parameter. This allows the same prompt, same tool outputs, same dataset version, and same model version to produce outputs that are easier to compare across test runs.</w:t>
      </w:r>
      <w:commentRangeEnd w:id="12"/>
      <w:r w:rsidR="006C2277">
        <w:rPr>
          <w:rStyle w:val="CommentReference"/>
          <w:sz w:val="24"/>
          <w:szCs w:val="24"/>
        </w:rPr>
        <w:commentReference w:id="12"/>
      </w:r>
    </w:p>
    <w:p w14:paraId="42329A74" w14:textId="77777777" w:rsidR="005C5243" w:rsidRDefault="005C5243" w:rsidP="005C5243">
      <w:pPr>
        <w:pStyle w:val="NormalWeb"/>
      </w:pPr>
      <w:r>
        <w:t>Deterministic behavior is especially important when evaluating agents against safety, leakage, tool-use, and groundedness benchmarks. Without fixed decoding settings, an agent may pass or fail an evaluation simply because the model sampled a different response. For formal evaluation runs, the sandbox should record the full inference configuration, including model identifier, model version, temperature, top-p, top-k if available, max tokens, stop sequences, seed value if supported, system prompt version, tool manifest version, and dataset version. These values should become part of the run record and audit evidence.</w:t>
      </w:r>
    </w:p>
    <w:p w14:paraId="2A5C1D0C" w14:textId="77777777" w:rsidR="005C5243" w:rsidRDefault="005C5243" w:rsidP="005C5243">
      <w:pPr>
        <w:pStyle w:val="NormalWeb"/>
      </w:pPr>
      <w:r>
        <w:t xml:space="preserve">The sandbox should also distinguish between </w:t>
      </w:r>
      <w:r>
        <w:rPr>
          <w:rStyle w:val="Strong"/>
        </w:rPr>
        <w:t>evaluation mode</w:t>
      </w:r>
      <w:r>
        <w:t xml:space="preserve"> and </w:t>
      </w:r>
      <w:r>
        <w:rPr>
          <w:rStyle w:val="Strong"/>
        </w:rPr>
        <w:t>exploration mode</w:t>
      </w:r>
      <w:r>
        <w:t>. Evaluation mode should use deterministic or near-deterministic settings so that results are repeatable and comparable. Exploration mode may allow higher temperature or broader sampling when users are experimenting with workflows, prompt strategies, or agent behaviors. However, exploration outputs should not be used as formal evidence for agent approval unless rerun under controlled evaluation settings.</w:t>
      </w:r>
    </w:p>
    <w:p w14:paraId="2AD32516" w14:textId="77777777" w:rsidR="005C5243" w:rsidRDefault="005C5243" w:rsidP="005C5243">
      <w:pPr>
        <w:pStyle w:val="NormalWeb"/>
      </w:pPr>
      <w:r>
        <w:t xml:space="preserve">It is important to note that deterministic settings improve repeatability but do not always guarantee bit-for-bit identical outputs across all model providers or model versions. Hosted model providers may update infrastructure, model snapshots, or inference behavior over time. </w:t>
      </w:r>
      <w:commentRangeStart w:id="13"/>
      <w:r>
        <w:t xml:space="preserve">For that reason, the sandbox should pin approved model versions where possible and record provider metadata for every run. </w:t>
      </w:r>
      <w:commentRangeEnd w:id="13"/>
      <w:r w:rsidR="006C2277">
        <w:rPr>
          <w:rStyle w:val="CommentReference"/>
          <w:sz w:val="24"/>
          <w:szCs w:val="24"/>
        </w:rPr>
        <w:commentReference w:id="13"/>
      </w:r>
      <w:r>
        <w:t>If exact seeding is not supported by the selected Bedrock Claude model, the sandbox should still enforce low-temperature decoding and preserve all run inputs and outputs so that evaluations remain traceable.</w:t>
      </w:r>
    </w:p>
    <w:p w14:paraId="01427AAA" w14:textId="77777777" w:rsidR="005C5243" w:rsidRDefault="005C5243" w:rsidP="005C5243">
      <w:pPr>
        <w:pStyle w:val="NormalWeb"/>
      </w:pPr>
      <w:commentRangeStart w:id="14"/>
      <w:r>
        <w:t>For PHI-capable use cases, deterministic decoding also reduces operational risk. More predictable outputs make it easier to validate redaction behavior, verify that the agent is using approved tools, and investigate any suspected data leakage.</w:t>
      </w:r>
      <w:commentRangeEnd w:id="14"/>
      <w:r w:rsidR="004139E6">
        <w:rPr>
          <w:rStyle w:val="CommentReference"/>
          <w:sz w:val="24"/>
          <w:szCs w:val="24"/>
        </w:rPr>
        <w:commentReference w:id="14"/>
      </w:r>
      <w:r>
        <w:t xml:space="preserve"> Combined with MCP tool controls, dataset versioning, and AI Gateway logging, deterministic decoding helps turn agent testing from an ad hoc activity into a controlled, auditable validation process.</w:t>
      </w:r>
    </w:p>
    <w:p w14:paraId="547FF0E1" w14:textId="77777777" w:rsidR="00BD2F04" w:rsidRDefault="00BD2F04">
      <w:pPr>
        <w:pStyle w:val="Small"/>
      </w:pPr>
    </w:p>
    <w:p w14:paraId="4B48C5A0" w14:textId="77777777" w:rsidR="00BD2F04" w:rsidRDefault="00606371">
      <w:pPr>
        <w:pStyle w:val="Heading1"/>
      </w:pPr>
      <w:r>
        <w:lastRenderedPageBreak/>
        <w:t xml:space="preserve">9. </w:t>
      </w:r>
      <w:commentRangeStart w:id="15"/>
      <w:r>
        <w:t>Implementation roadmap</w:t>
      </w:r>
      <w:commentRangeEnd w:id="15"/>
      <w:r w:rsidR="004139E6">
        <w:rPr>
          <w:rStyle w:val="CommentReference"/>
          <w:sz w:val="34"/>
          <w:szCs w:val="28"/>
        </w:rPr>
        <w:commentReference w:id="15"/>
      </w:r>
    </w:p>
    <w:p w14:paraId="41D25574" w14:textId="77777777" w:rsidR="00BD2F04" w:rsidRDefault="00606371">
      <w:pPr>
        <w:pStyle w:val="Heading2"/>
      </w:pPr>
      <w:r>
        <w:t>Phase 1 - Governance and design</w:t>
      </w:r>
    </w:p>
    <w:p w14:paraId="3D25242C" w14:textId="77777777" w:rsidR="00BD2F04" w:rsidRDefault="00606371">
      <w:pPr>
        <w:pStyle w:val="BoxText"/>
      </w:pPr>
      <w:r>
        <w:t>Deliverables:</w:t>
      </w:r>
    </w:p>
    <w:p w14:paraId="54E98E70" w14:textId="77777777" w:rsidR="00BD2F04" w:rsidRDefault="00606371">
      <w:pPr>
        <w:pStyle w:val="ListBullet"/>
      </w:pPr>
      <w:r>
        <w:t>Data classification policy</w:t>
      </w:r>
    </w:p>
    <w:p w14:paraId="1F0A5274" w14:textId="77777777" w:rsidR="00BD2F04" w:rsidRDefault="00606371">
      <w:pPr>
        <w:pStyle w:val="ListBullet"/>
      </w:pPr>
      <w:r>
        <w:t>Agent risk tiers</w:t>
      </w:r>
    </w:p>
    <w:p w14:paraId="6A09F7F7" w14:textId="77777777" w:rsidR="00BD2F04" w:rsidRDefault="00606371">
      <w:pPr>
        <w:pStyle w:val="ListBullet"/>
      </w:pPr>
      <w:r>
        <w:t>BAA validation</w:t>
      </w:r>
    </w:p>
    <w:p w14:paraId="1B7AB80B" w14:textId="77777777" w:rsidR="00BD2F04" w:rsidRDefault="00606371">
      <w:pPr>
        <w:pStyle w:val="ListBullet"/>
      </w:pPr>
      <w:r>
        <w:t>Model allowlist</w:t>
      </w:r>
    </w:p>
    <w:p w14:paraId="4DF33465" w14:textId="77777777" w:rsidR="00BD2F04" w:rsidRDefault="00606371">
      <w:pPr>
        <w:pStyle w:val="ListBullet"/>
      </w:pPr>
      <w:r>
        <w:t>Logging policy</w:t>
      </w:r>
    </w:p>
    <w:p w14:paraId="062DDB97" w14:textId="77777777" w:rsidR="00BD2F04" w:rsidRDefault="00606371">
      <w:pPr>
        <w:pStyle w:val="ListBullet"/>
      </w:pPr>
      <w:r>
        <w:t>Visio architecture approval</w:t>
      </w:r>
    </w:p>
    <w:p w14:paraId="284DDB9E" w14:textId="77777777" w:rsidR="00BD2F04" w:rsidRDefault="00606371">
      <w:r>
        <w:rPr>
          <w:b/>
        </w:rPr>
        <w:t xml:space="preserve">Exit criteria: </w:t>
      </w:r>
      <w:r>
        <w:t>Architecture approved by security, compliance, privacy, and platform owners.</w:t>
      </w:r>
    </w:p>
    <w:p w14:paraId="4DEEF2DF" w14:textId="77777777" w:rsidR="00BD2F04" w:rsidRDefault="00606371">
      <w:pPr>
        <w:pStyle w:val="Heading2"/>
      </w:pPr>
      <w:r>
        <w:t>Phase 2 - Non-PHI pilot</w:t>
      </w:r>
    </w:p>
    <w:p w14:paraId="62E830DF" w14:textId="77777777" w:rsidR="00BD2F04" w:rsidRDefault="00606371">
      <w:pPr>
        <w:pStyle w:val="BoxText"/>
      </w:pPr>
      <w:r>
        <w:t>Deliverables:</w:t>
      </w:r>
    </w:p>
    <w:p w14:paraId="00A7CF61" w14:textId="77777777" w:rsidR="00BD2F04" w:rsidRDefault="00606371">
      <w:pPr>
        <w:pStyle w:val="ListBullet"/>
      </w:pPr>
      <w:r>
        <w:t>Sandbox UI/API</w:t>
      </w:r>
    </w:p>
    <w:p w14:paraId="40CB7316" w14:textId="77777777" w:rsidR="00BD2F04" w:rsidRDefault="00606371">
      <w:pPr>
        <w:pStyle w:val="ListBullet"/>
      </w:pPr>
      <w:r>
        <w:t>Cloudflare Access</w:t>
      </w:r>
    </w:p>
    <w:p w14:paraId="580AEB55" w14:textId="556444B9" w:rsidR="00BD2F04" w:rsidRDefault="00606371">
      <w:pPr>
        <w:pStyle w:val="ListBullet"/>
      </w:pPr>
      <w:r>
        <w:t>AI Gateway route to Bedrock</w:t>
      </w:r>
      <w:r w:rsidR="004A4719">
        <w:t xml:space="preserve"> / Vertex</w:t>
      </w:r>
    </w:p>
    <w:p w14:paraId="35F3071A" w14:textId="77777777" w:rsidR="00BD2F04" w:rsidRDefault="00606371">
      <w:pPr>
        <w:pStyle w:val="ListBullet"/>
      </w:pPr>
      <w:r>
        <w:t>MCP broker</w:t>
      </w:r>
    </w:p>
    <w:p w14:paraId="47644783" w14:textId="77777777" w:rsidR="00BD2F04" w:rsidRDefault="00606371">
      <w:pPr>
        <w:pStyle w:val="ListBullet"/>
      </w:pPr>
      <w:r>
        <w:t>Synthetic dataset registry</w:t>
      </w:r>
    </w:p>
    <w:p w14:paraId="6D1848F9" w14:textId="77777777" w:rsidR="00BD2F04" w:rsidRDefault="00606371">
      <w:pPr>
        <w:pStyle w:val="ListBullet"/>
      </w:pPr>
      <w:r>
        <w:t>Basic evaluation harness</w:t>
      </w:r>
    </w:p>
    <w:p w14:paraId="57B4773C" w14:textId="77777777" w:rsidR="00BD2F04" w:rsidRDefault="00606371">
      <w:r>
        <w:rPr>
          <w:b/>
        </w:rPr>
        <w:t xml:space="preserve">Exit criteria: </w:t>
      </w:r>
      <w:r>
        <w:t>Full run trace exists for every agent execution.</w:t>
      </w:r>
    </w:p>
    <w:p w14:paraId="414F1F86" w14:textId="77777777" w:rsidR="00BD2F04" w:rsidRDefault="00606371">
      <w:pPr>
        <w:pStyle w:val="Heading2"/>
      </w:pPr>
      <w:r>
        <w:t>Phase 3 - De-identified data pilot</w:t>
      </w:r>
    </w:p>
    <w:p w14:paraId="137932A5" w14:textId="77777777" w:rsidR="00BD2F04" w:rsidRDefault="00606371">
      <w:pPr>
        <w:pStyle w:val="BoxText"/>
      </w:pPr>
      <w:r>
        <w:t>Deliverables:</w:t>
      </w:r>
    </w:p>
    <w:p w14:paraId="2B98AB0D" w14:textId="77777777" w:rsidR="00BD2F04" w:rsidRDefault="00606371">
      <w:pPr>
        <w:pStyle w:val="ListBullet"/>
      </w:pPr>
      <w:r>
        <w:t>DLP policies</w:t>
      </w:r>
    </w:p>
    <w:p w14:paraId="1AE6D3AA" w14:textId="77777777" w:rsidR="00BD2F04" w:rsidRDefault="00606371">
      <w:pPr>
        <w:pStyle w:val="ListBullet"/>
      </w:pPr>
      <w:r>
        <w:t>Redacted logs</w:t>
      </w:r>
    </w:p>
    <w:p w14:paraId="2452CE3E" w14:textId="77777777" w:rsidR="00BD2F04" w:rsidRDefault="00606371">
      <w:pPr>
        <w:pStyle w:val="ListBullet"/>
      </w:pPr>
      <w:r>
        <w:t>SIEM export</w:t>
      </w:r>
    </w:p>
    <w:p w14:paraId="17BEDDD1" w14:textId="77777777" w:rsidR="00BD2F04" w:rsidRDefault="00606371">
      <w:pPr>
        <w:pStyle w:val="ListBullet"/>
      </w:pPr>
      <w:r>
        <w:t>Policy-as-code</w:t>
      </w:r>
    </w:p>
    <w:p w14:paraId="105064BC" w14:textId="77777777" w:rsidR="00BD2F04" w:rsidRDefault="00606371">
      <w:pPr>
        <w:pStyle w:val="ListBullet"/>
      </w:pPr>
      <w:r>
        <w:t>Prompt injection test suite</w:t>
      </w:r>
    </w:p>
    <w:p w14:paraId="7735308C" w14:textId="77777777" w:rsidR="00BD2F04" w:rsidRDefault="00606371">
      <w:r>
        <w:rPr>
          <w:b/>
        </w:rPr>
        <w:t xml:space="preserve">Exit criteria: </w:t>
      </w:r>
      <w:r>
        <w:t>Agents cannot access unauthorized datasets or tools, and evaluation reports are reproducible.</w:t>
      </w:r>
    </w:p>
    <w:p w14:paraId="4E946A29" w14:textId="77777777" w:rsidR="00BD2F04" w:rsidRDefault="00606371">
      <w:pPr>
        <w:pStyle w:val="Heading2"/>
      </w:pPr>
      <w:r>
        <w:t>Phase 4 - Limited PHI sandbox</w:t>
      </w:r>
    </w:p>
    <w:p w14:paraId="2EB9981D" w14:textId="77777777" w:rsidR="00BD2F04" w:rsidRDefault="00606371">
      <w:pPr>
        <w:pStyle w:val="BoxText"/>
      </w:pPr>
      <w:r>
        <w:t>Deliverables:</w:t>
      </w:r>
    </w:p>
    <w:p w14:paraId="210D559F" w14:textId="77777777" w:rsidR="00BD2F04" w:rsidRDefault="00606371">
      <w:pPr>
        <w:pStyle w:val="ListBullet"/>
      </w:pPr>
      <w:r>
        <w:t>PHI-approved service inventory</w:t>
      </w:r>
    </w:p>
    <w:p w14:paraId="179A7A5F" w14:textId="77777777" w:rsidR="00BD2F04" w:rsidRDefault="00606371">
      <w:pPr>
        <w:pStyle w:val="ListBullet"/>
      </w:pPr>
      <w:r>
        <w:t>Minimal logging mode</w:t>
      </w:r>
    </w:p>
    <w:p w14:paraId="1C555E8A" w14:textId="77777777" w:rsidR="00BD2F04" w:rsidRDefault="00606371">
      <w:pPr>
        <w:pStyle w:val="ListBullet"/>
      </w:pPr>
      <w:r>
        <w:t>Incident response playbook</w:t>
      </w:r>
    </w:p>
    <w:p w14:paraId="12188750" w14:textId="77777777" w:rsidR="00BD2F04" w:rsidRDefault="00606371">
      <w:pPr>
        <w:pStyle w:val="ListBullet"/>
      </w:pPr>
      <w:r>
        <w:t>Human approval gates</w:t>
      </w:r>
    </w:p>
    <w:p w14:paraId="520BBDDC" w14:textId="77777777" w:rsidR="00BD2F04" w:rsidRDefault="00606371">
      <w:pPr>
        <w:pStyle w:val="ListBullet"/>
      </w:pPr>
      <w:r>
        <w:t>Retention automation</w:t>
      </w:r>
    </w:p>
    <w:p w14:paraId="277F8ACC" w14:textId="77777777" w:rsidR="00BD2F04" w:rsidRDefault="00606371">
      <w:r>
        <w:rPr>
          <w:b/>
        </w:rPr>
        <w:t xml:space="preserve">Exit criteria: </w:t>
      </w:r>
      <w:r>
        <w:t>Privacy and security sign-off for limited PHI use.</w:t>
      </w:r>
    </w:p>
    <w:p w14:paraId="62FC80D6" w14:textId="77777777" w:rsidR="00BD2F04" w:rsidRDefault="00606371">
      <w:pPr>
        <w:pStyle w:val="Heading2"/>
      </w:pPr>
      <w:r>
        <w:t>Phase 5 - Scaled proving platform</w:t>
      </w:r>
    </w:p>
    <w:p w14:paraId="0BE76B96" w14:textId="77777777" w:rsidR="00BD2F04" w:rsidRDefault="00606371">
      <w:pPr>
        <w:pStyle w:val="BoxText"/>
      </w:pPr>
      <w:r>
        <w:t>Deliverables:</w:t>
      </w:r>
    </w:p>
    <w:p w14:paraId="481704CD" w14:textId="77777777" w:rsidR="00BD2F04" w:rsidRDefault="00606371">
      <w:pPr>
        <w:pStyle w:val="ListBullet"/>
      </w:pPr>
      <w:commentRangeStart w:id="16"/>
      <w:r>
        <w:lastRenderedPageBreak/>
        <w:t>Agent onboarding template</w:t>
      </w:r>
      <w:commentRangeEnd w:id="16"/>
      <w:r w:rsidR="004139E6">
        <w:rPr>
          <w:rStyle w:val="CommentReference"/>
          <w:sz w:val="21"/>
          <w:szCs w:val="22"/>
        </w:rPr>
        <w:commentReference w:id="16"/>
      </w:r>
    </w:p>
    <w:p w14:paraId="362005DD" w14:textId="77777777" w:rsidR="00BD2F04" w:rsidRDefault="00606371">
      <w:pPr>
        <w:pStyle w:val="ListBullet"/>
      </w:pPr>
      <w:r>
        <w:t>Dataset onboarding template</w:t>
      </w:r>
    </w:p>
    <w:p w14:paraId="058DBD84" w14:textId="77777777" w:rsidR="00BD2F04" w:rsidRDefault="00606371">
      <w:pPr>
        <w:pStyle w:val="ListBullet"/>
      </w:pPr>
      <w:r>
        <w:t>Tool certification process</w:t>
      </w:r>
    </w:p>
    <w:p w14:paraId="29AC1658" w14:textId="77777777" w:rsidR="00BD2F04" w:rsidRDefault="00606371">
      <w:pPr>
        <w:pStyle w:val="ListBullet"/>
      </w:pPr>
      <w:r>
        <w:t>Evaluation scorecards</w:t>
      </w:r>
    </w:p>
    <w:p w14:paraId="49E1F9F2" w14:textId="77777777" w:rsidR="00BD2F04" w:rsidRDefault="00606371">
      <w:pPr>
        <w:pStyle w:val="ListBullet"/>
      </w:pPr>
      <w:r>
        <w:t>Chargeback/showback</w:t>
      </w:r>
    </w:p>
    <w:p w14:paraId="7D3E99CB" w14:textId="77777777" w:rsidR="00BD2F04" w:rsidRDefault="00606371">
      <w:pPr>
        <w:pStyle w:val="ListBullet"/>
      </w:pPr>
      <w:r>
        <w:t>Continuous monitoring</w:t>
      </w:r>
    </w:p>
    <w:p w14:paraId="659EFBA0" w14:textId="55ADDD0B" w:rsidR="00BD2F04" w:rsidRDefault="00606371">
      <w:r>
        <w:rPr>
          <w:b/>
        </w:rPr>
        <w:t xml:space="preserve">Exit criteria: </w:t>
      </w:r>
      <w:r>
        <w:t>Teams can onboard new agents without custom security design each time.</w:t>
      </w:r>
    </w:p>
    <w:sectPr w:rsidR="00BD2F04" w:rsidSect="00034616">
      <w:footerReference w:type="even" r:id="rId13"/>
      <w:footerReference w:type="default" r:id="rId14"/>
      <w:pgSz w:w="12240" w:h="15840"/>
      <w:pgMar w:top="936" w:right="1008" w:bottom="936"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dd Johnson" w:date="2026-05-14T21:33:00Z" w:initials="TJ">
    <w:p w14:paraId="3E0F1264" w14:textId="77777777" w:rsidR="00C42B81" w:rsidRDefault="00C42B81" w:rsidP="00C42B81">
      <w:r>
        <w:rPr>
          <w:rStyle w:val="CommentReference"/>
        </w:rPr>
        <w:annotationRef/>
      </w:r>
      <w:r>
        <w:rPr>
          <w:sz w:val="20"/>
          <w:szCs w:val="20"/>
        </w:rPr>
        <w:t>With synthetic data we are safe, so we really need to test everything here. IN particular, all of the work that I do needs to write temp tables into the DB and also run R scripts with embedded SQL that both query regular tables and views and write temp tables. The temp tables are too big to bring back into R's memory, so only the final row-level data is typically transferred. Before that, the scripts bring in aggregate data to monitor progress.</w:t>
      </w:r>
    </w:p>
  </w:comment>
  <w:comment w:id="1" w:author="Todd Johnson" w:date="2026-05-14T21:34:00Z" w:initials="TJ">
    <w:p w14:paraId="3F492454" w14:textId="77777777" w:rsidR="00C42B81" w:rsidRDefault="00C42B81" w:rsidP="00C42B81">
      <w:r>
        <w:rPr>
          <w:rStyle w:val="CommentReference"/>
        </w:rPr>
        <w:annotationRef/>
      </w:r>
      <w:r>
        <w:rPr>
          <w:sz w:val="20"/>
          <w:szCs w:val="20"/>
        </w:rPr>
        <w:t>Some of the same things might also be done with python.</w:t>
      </w:r>
    </w:p>
    <w:p w14:paraId="0F417EE7" w14:textId="77777777" w:rsidR="00C42B81" w:rsidRDefault="00C42B81" w:rsidP="00C42B81"/>
  </w:comment>
  <w:comment w:id="2" w:author="Todd Johnson" w:date="2026-05-14T21:37:00Z" w:initials="TJ">
    <w:p w14:paraId="5E8E3428" w14:textId="77777777" w:rsidR="00C42B81" w:rsidRDefault="00C42B81" w:rsidP="00C42B81">
      <w:r>
        <w:rPr>
          <w:rStyle w:val="CommentReference"/>
        </w:rPr>
        <w:annotationRef/>
      </w:r>
      <w:r>
        <w:rPr>
          <w:sz w:val="20"/>
          <w:szCs w:val="20"/>
        </w:rPr>
        <w:t>The agents we are building improve themselves as they find issues, we also use coding harnesses to improve them outside of when they are running. So the idea of an agent that is written, tested, then deployed and not changed is a non-starter for most modern AI usage. This is where the agent wrapper needs to be solid. Also, the coordinator agent is usually the one that detects and issue and corrects the instructions for a subagent, although subagents can do that as well.</w:t>
      </w:r>
    </w:p>
  </w:comment>
  <w:comment w:id="3" w:author="Todd Johnson" w:date="2026-05-14T21:44:00Z" w:initials="TJ">
    <w:p w14:paraId="4A387E40" w14:textId="77777777" w:rsidR="003810C7" w:rsidRDefault="003810C7" w:rsidP="003810C7">
      <w:r>
        <w:rPr>
          <w:rStyle w:val="CommentReference"/>
        </w:rPr>
        <w:annotationRef/>
      </w:r>
      <w:r>
        <w:rPr>
          <w:sz w:val="20"/>
          <w:szCs w:val="20"/>
        </w:rPr>
        <w:t>I assume this is a simplification since there is no loop back to the agent orchestrator. We are largely building long-running autonomous agents, sometimes with user steering, sometimes not, and sometimes more query based. But in all cases the coordinator is a smart agent that decides when to spawn subagents, when to move on to the next phases, when to repeat a phase, when to improve agent instructions to avoid issues, etc. So the agent orchestrator is a coding harness running as an autonomous agent (claude -p) that spawns subagents using claude-p. In other words it is all claude models wrapped in the neurosymbolic coding harness. The same can be done with other models as well and other coding harnesses.</w:t>
      </w:r>
    </w:p>
  </w:comment>
  <w:comment w:id="4" w:author="Todd Johnson" w:date="2026-05-14T21:45:00Z" w:initials="TJ">
    <w:p w14:paraId="715B07C1" w14:textId="77777777" w:rsidR="003810C7" w:rsidRDefault="003810C7" w:rsidP="003810C7">
      <w:r>
        <w:rPr>
          <w:rStyle w:val="CommentReference"/>
        </w:rPr>
        <w:annotationRef/>
      </w:r>
      <w:r>
        <w:rPr>
          <w:sz w:val="20"/>
          <w:szCs w:val="20"/>
        </w:rPr>
        <w:t>I guess. it might be helpful to clarify: we do not use an API to spawn and then deterministically call one or more claude models. Anthropic calls that an agent workflow, but modern agents are fully autonomous and non-deterministic.</w:t>
      </w:r>
    </w:p>
  </w:comment>
  <w:comment w:id="5" w:author="Rajan, Saeed A" w:date="2026-05-11T10:13:00Z" w:initials="RSA">
    <w:p w14:paraId="2D19B64A" w14:textId="77777777" w:rsidR="005B78CA" w:rsidRDefault="005B78CA" w:rsidP="005B78CA">
      <w:r>
        <w:rPr>
          <w:rStyle w:val="CommentReference"/>
        </w:rPr>
        <w:annotationRef/>
      </w:r>
      <w:r>
        <w:rPr>
          <w:sz w:val="20"/>
          <w:szCs w:val="20"/>
        </w:rPr>
        <w:t>The AI Gateway would handle the models and budget. The Orchestrator can handle agent routing and tasks.</w:t>
      </w:r>
    </w:p>
  </w:comment>
  <w:comment w:id="6" w:author="Todd Johnson" w:date="2026-05-14T21:49:00Z" w:initials="TJ">
    <w:p w14:paraId="2E43D1B1" w14:textId="77777777" w:rsidR="003810C7" w:rsidRDefault="003810C7" w:rsidP="003810C7">
      <w:r>
        <w:rPr>
          <w:rStyle w:val="CommentReference"/>
        </w:rPr>
        <w:annotationRef/>
      </w:r>
      <w:r>
        <w:rPr>
          <w:sz w:val="20"/>
          <w:szCs w:val="20"/>
        </w:rPr>
        <w:t>Part of developing an agentic system is also sometimes developing MCP servers or using new servers. For example, I recently enhanced AutoTTE using the paperclip MCP server for searching full text publications. Obviously, we need to whitelist MCP servers, but we need a very fast way to vet new ones, because a slow approval process can completely block progress. The best way is to use a solution that does the vetting for us and is always updated.</w:t>
      </w:r>
    </w:p>
  </w:comment>
  <w:comment w:id="7" w:author="Todd Johnson" w:date="2026-05-14T21:50:00Z" w:initials="TJ">
    <w:p w14:paraId="74165FB2" w14:textId="77777777" w:rsidR="009D29D8" w:rsidRDefault="009D29D8" w:rsidP="009D29D8">
      <w:r>
        <w:rPr>
          <w:rStyle w:val="CommentReference"/>
        </w:rPr>
        <w:annotationRef/>
      </w:r>
      <w:r>
        <w:rPr>
          <w:sz w:val="20"/>
          <w:szCs w:val="20"/>
        </w:rPr>
        <w:t xml:space="preserve">Allowed tools on the dataset, or allowed tools in the agentic system? I would say on the dataset. </w:t>
      </w:r>
    </w:p>
  </w:comment>
  <w:comment w:id="8" w:author="Todd Johnson" w:date="2026-05-14T21:31:00Z" w:initials="TJ">
    <w:p w14:paraId="0C935EB1" w14:textId="77777777" w:rsidR="00C42B81" w:rsidRDefault="00C42B81" w:rsidP="00C42B81">
      <w:r>
        <w:rPr>
          <w:rStyle w:val="CommentReference"/>
        </w:rPr>
        <w:annotationRef/>
      </w:r>
      <w:r>
        <w:rPr>
          <w:sz w:val="20"/>
          <w:szCs w:val="20"/>
        </w:rPr>
        <w:t xml:space="preserve">Synthetic data is not PHI, so I see no difference between this and toy data (other than perhaps size). I also don’t think it is possible or desirable to test framework and orchestration without tooling and workflow. I would also doe safety and quality on the synthetic/toy data as well. </w:t>
      </w:r>
    </w:p>
    <w:p w14:paraId="30271DB7" w14:textId="77777777" w:rsidR="00C42B81" w:rsidRDefault="00C42B81" w:rsidP="00C42B81"/>
  </w:comment>
  <w:comment w:id="9" w:author="Todd Johnson" w:date="2026-05-14T22:25:00Z" w:initials="TJ">
    <w:p w14:paraId="6BE88849" w14:textId="77777777" w:rsidR="006C2277" w:rsidRDefault="006C2277" w:rsidP="006C2277">
      <w:r>
        <w:rPr>
          <w:rStyle w:val="CommentReference"/>
        </w:rPr>
        <w:annotationRef/>
      </w:r>
      <w:r>
        <w:rPr>
          <w:sz w:val="20"/>
          <w:szCs w:val="20"/>
        </w:rPr>
        <w:t>The key is to determine what "reveals" means. Or "reveals to who or what". We don't want an agent that is not PHI approved to get the data, nor do we want an agent or its code sending data outside the secure area.</w:t>
      </w:r>
    </w:p>
  </w:comment>
  <w:comment w:id="10" w:author="Todd Johnson" w:date="2026-05-14T22:26:00Z" w:initials="TJ">
    <w:p w14:paraId="326842EA" w14:textId="77777777" w:rsidR="006C2277" w:rsidRDefault="006C2277" w:rsidP="006C2277">
      <w:r>
        <w:rPr>
          <w:rStyle w:val="CommentReference"/>
        </w:rPr>
        <w:annotationRef/>
      </w:r>
      <w:r>
        <w:rPr>
          <w:sz w:val="20"/>
          <w:szCs w:val="20"/>
        </w:rPr>
        <w:t>We are doing causal effect estimates from observational data with AutoTTE. So the results will be new and dependent on the protocol and the data. But this really isn't a clinical safety issue, so not sure where it comes in here.</w:t>
      </w:r>
    </w:p>
  </w:comment>
  <w:comment w:id="11" w:author="Todd Johnson" w:date="2026-05-14T22:29:00Z" w:initials="TJ">
    <w:p w14:paraId="0BFEDA8F" w14:textId="77777777" w:rsidR="006C2277" w:rsidRDefault="006C2277" w:rsidP="006C2277">
      <w:r>
        <w:rPr>
          <w:rStyle w:val="CommentReference"/>
        </w:rPr>
        <w:annotationRef/>
      </w:r>
      <w:r>
        <w:rPr>
          <w:sz w:val="20"/>
          <w:szCs w:val="20"/>
        </w:rPr>
        <w:t>Not sure how to do this. AutoTTE writes protocols in R that can sometimes take hours or days to run as they query the DB, write temp tables, and then bring results into R's memory for analyses. For instance one such protocol running now uses 1.5 hours per sensitivity analysis and has many sensitivity analyses. These are running outside agent control at this point, but the point of running an agent in the secure system is that it would be monitoring these runs. When it does, it can sometimes decide to stop the run if it thinks it is taking too long and starts looking for bugs or efficiency issues in the code that is running.</w:t>
      </w:r>
    </w:p>
  </w:comment>
  <w:comment w:id="12" w:author="Todd Johnson" w:date="2026-05-14T22:31:00Z" w:initials="TJ">
    <w:p w14:paraId="04C1AD5C" w14:textId="77777777" w:rsidR="006C2277" w:rsidRDefault="006C2277" w:rsidP="006C2277">
      <w:r>
        <w:rPr>
          <w:rStyle w:val="CommentReference"/>
        </w:rPr>
        <w:annotationRef/>
      </w:r>
      <w:r>
        <w:rPr>
          <w:sz w:val="20"/>
          <w:szCs w:val="20"/>
        </w:rPr>
        <w:t>Might work, but part of the point of spawning independent review and worker agents is that you need the non-deterministic behavior across agents for them to be smarter and to correct other agents. I suspect that multiple runs on small datasets will be more realistic.</w:t>
      </w:r>
    </w:p>
  </w:comment>
  <w:comment w:id="13" w:author="Todd Johnson" w:date="2026-05-14T22:33:00Z" w:initials="TJ">
    <w:p w14:paraId="2BB79103" w14:textId="77777777" w:rsidR="006C2277" w:rsidRDefault="006C2277" w:rsidP="006C2277">
      <w:r>
        <w:rPr>
          <w:rStyle w:val="CommentReference"/>
        </w:rPr>
        <w:annotationRef/>
      </w:r>
      <w:r>
        <w:rPr>
          <w:sz w:val="20"/>
          <w:szCs w:val="20"/>
        </w:rPr>
        <w:t>The models improve themselves as they run and also as we refine them. The idea of an "approved" static model is against the entire concept of an autonomous agent.</w:t>
      </w:r>
    </w:p>
  </w:comment>
  <w:comment w:id="14" w:author="Todd Johnson" w:date="2026-05-14T22:35:00Z" w:initials="TJ">
    <w:p w14:paraId="5B848F04" w14:textId="77777777" w:rsidR="004139E6" w:rsidRDefault="004139E6" w:rsidP="004139E6">
      <w:r>
        <w:rPr>
          <w:rStyle w:val="CommentReference"/>
        </w:rPr>
        <w:annotationRef/>
      </w:r>
      <w:r>
        <w:rPr>
          <w:sz w:val="20"/>
          <w:szCs w:val="20"/>
        </w:rPr>
        <w:t xml:space="preserve">Deterministic behavior is exactly what we are trying to avoid for agentic systems. The first attempt at AutoTTE was a procedural chain of agents. It was terrible. After working for about 1.5 hours with Claude I finally got it to swtich to the autonomous coordinating-agent in control model that autoresearch uses. That was the key to massive qualitative and quantitative improvement. </w:t>
      </w:r>
    </w:p>
  </w:comment>
  <w:comment w:id="15" w:author="Todd Johnson" w:date="2026-05-14T22:39:00Z" w:initials="TJ">
    <w:p w14:paraId="76493044" w14:textId="77777777" w:rsidR="004139E6" w:rsidRDefault="004139E6" w:rsidP="004139E6">
      <w:r>
        <w:rPr>
          <w:rStyle w:val="CommentReference"/>
        </w:rPr>
        <w:annotationRef/>
      </w:r>
      <w:r>
        <w:rPr>
          <w:sz w:val="20"/>
          <w:szCs w:val="20"/>
        </w:rPr>
        <w:t>The devil is in the details on all of this. My suggestion: We use our  use cases in a sandbox and start exploring. We are already setting up a synthetic version of our CDW and working on ways to get our ETL and documentation out of the secure area and into the sandbox. We have a draft agentic system examining ETL and quality issues. We also have AutoTTE that we can run in that sandbox. Adopt an industry approach to agentic AI security, install it in the sandbox, lock it down, then figure out what we can and can't do, and start adding the things we need and monitoring. With a small synthetic data set we can iterate quickly. That said, entire industries are already using automous AI on sensitive data and PHI so there are solutions out there already that we can adopt.</w:t>
      </w:r>
    </w:p>
  </w:comment>
  <w:comment w:id="16" w:author="Todd Johnson" w:date="2026-05-14T22:43:00Z" w:initials="TJ">
    <w:p w14:paraId="143FA03E" w14:textId="77777777" w:rsidR="004139E6" w:rsidRDefault="004139E6" w:rsidP="004139E6">
      <w:r>
        <w:rPr>
          <w:rStyle w:val="CommentReference"/>
        </w:rPr>
        <w:annotationRef/>
      </w:r>
      <w:r>
        <w:rPr>
          <w:sz w:val="20"/>
          <w:szCs w:val="20"/>
        </w:rPr>
        <w:t>We really need the wrappers to allow agents to run safely. The idea of somehow onboarding and agent is going to kill us (meaning UTHealth) with delays. However, onboarding an agent that is supposed to do an organizational task seems fine, but this is something that is going to take a lot resources and a group that probably meets weekly/daily.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F1264" w15:done="0"/>
  <w15:commentEx w15:paraId="0F417EE7" w15:paraIdParent="3E0F1264" w15:done="0"/>
  <w15:commentEx w15:paraId="5E8E3428" w15:done="0"/>
  <w15:commentEx w15:paraId="4A387E40" w15:done="0"/>
  <w15:commentEx w15:paraId="715B07C1" w15:paraIdParent="4A387E40" w15:done="0"/>
  <w15:commentEx w15:paraId="2D19B64A" w15:done="0"/>
  <w15:commentEx w15:paraId="2E43D1B1" w15:done="0"/>
  <w15:commentEx w15:paraId="74165FB2" w15:done="0"/>
  <w15:commentEx w15:paraId="30271DB7" w15:done="0"/>
  <w15:commentEx w15:paraId="6BE88849" w15:done="0"/>
  <w15:commentEx w15:paraId="326842EA" w15:done="0"/>
  <w15:commentEx w15:paraId="0BFEDA8F" w15:done="0"/>
  <w15:commentEx w15:paraId="04C1AD5C" w15:done="0"/>
  <w15:commentEx w15:paraId="2BB79103" w15:done="0"/>
  <w15:commentEx w15:paraId="5B848F04" w15:done="0"/>
  <w15:commentEx w15:paraId="76493044" w15:done="0"/>
  <w15:commentEx w15:paraId="143FA0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294E73" w16cex:dateUtc="2026-05-15T02:33:00Z"/>
  <w16cex:commentExtensible w16cex:durableId="73379A91" w16cex:dateUtc="2026-05-15T02:34:00Z"/>
  <w16cex:commentExtensible w16cex:durableId="0F2D5CCB" w16cex:dateUtc="2026-05-15T02:37:00Z"/>
  <w16cex:commentExtensible w16cex:durableId="78E843FE" w16cex:dateUtc="2026-05-15T02:44:00Z"/>
  <w16cex:commentExtensible w16cex:durableId="6BCDFE99" w16cex:dateUtc="2026-05-15T02:45:00Z"/>
  <w16cex:commentExtensible w16cex:durableId="63A9EE76" w16cex:dateUtc="2026-05-11T15:13:00Z"/>
  <w16cex:commentExtensible w16cex:durableId="3182F9EA" w16cex:dateUtc="2026-05-15T02:49:00Z"/>
  <w16cex:commentExtensible w16cex:durableId="3A489D9A" w16cex:dateUtc="2026-05-15T02:50:00Z"/>
  <w16cex:commentExtensible w16cex:durableId="5E74A9A0" w16cex:dateUtc="2026-05-15T02:31:00Z"/>
  <w16cex:commentExtensible w16cex:durableId="5C530CAE" w16cex:dateUtc="2026-05-15T03:25:00Z"/>
  <w16cex:commentExtensible w16cex:durableId="48CA9A04" w16cex:dateUtc="2026-05-15T03:26:00Z"/>
  <w16cex:commentExtensible w16cex:durableId="4A568C5F" w16cex:dateUtc="2026-05-15T03:29:00Z"/>
  <w16cex:commentExtensible w16cex:durableId="725B949A" w16cex:dateUtc="2026-05-15T03:31:00Z"/>
  <w16cex:commentExtensible w16cex:durableId="344A1631" w16cex:dateUtc="2026-05-15T03:33:00Z"/>
  <w16cex:commentExtensible w16cex:durableId="357C297E" w16cex:dateUtc="2026-05-15T03:35:00Z"/>
  <w16cex:commentExtensible w16cex:durableId="7BC39819" w16cex:dateUtc="2026-05-15T03:39:00Z"/>
  <w16cex:commentExtensible w16cex:durableId="2674BCFF" w16cex:dateUtc="2026-05-15T0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F1264" w16cid:durableId="3D294E73"/>
  <w16cid:commentId w16cid:paraId="0F417EE7" w16cid:durableId="73379A91"/>
  <w16cid:commentId w16cid:paraId="5E8E3428" w16cid:durableId="0F2D5CCB"/>
  <w16cid:commentId w16cid:paraId="4A387E40" w16cid:durableId="78E843FE"/>
  <w16cid:commentId w16cid:paraId="715B07C1" w16cid:durableId="6BCDFE99"/>
  <w16cid:commentId w16cid:paraId="2D19B64A" w16cid:durableId="63A9EE76"/>
  <w16cid:commentId w16cid:paraId="2E43D1B1" w16cid:durableId="3182F9EA"/>
  <w16cid:commentId w16cid:paraId="74165FB2" w16cid:durableId="3A489D9A"/>
  <w16cid:commentId w16cid:paraId="30271DB7" w16cid:durableId="5E74A9A0"/>
  <w16cid:commentId w16cid:paraId="6BE88849" w16cid:durableId="5C530CAE"/>
  <w16cid:commentId w16cid:paraId="326842EA" w16cid:durableId="48CA9A04"/>
  <w16cid:commentId w16cid:paraId="0BFEDA8F" w16cid:durableId="4A568C5F"/>
  <w16cid:commentId w16cid:paraId="04C1AD5C" w16cid:durableId="725B949A"/>
  <w16cid:commentId w16cid:paraId="2BB79103" w16cid:durableId="344A1631"/>
  <w16cid:commentId w16cid:paraId="5B848F04" w16cid:durableId="357C297E"/>
  <w16cid:commentId w16cid:paraId="76493044" w16cid:durableId="7BC39819"/>
  <w16cid:commentId w16cid:paraId="143FA03E" w16cid:durableId="2674BC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E1836" w14:textId="77777777" w:rsidR="004F4FA8" w:rsidRDefault="004F4FA8">
      <w:pPr>
        <w:spacing w:after="0" w:line="240" w:lineRule="auto"/>
      </w:pPr>
      <w:r>
        <w:separator/>
      </w:r>
    </w:p>
  </w:endnote>
  <w:endnote w:type="continuationSeparator" w:id="0">
    <w:p w14:paraId="039D207D" w14:textId="77777777" w:rsidR="004F4FA8" w:rsidRDefault="004F4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2426379"/>
      <w:docPartObj>
        <w:docPartGallery w:val="Page Numbers (Bottom of Page)"/>
        <w:docPartUnique/>
      </w:docPartObj>
    </w:sdtPr>
    <w:sdtContent>
      <w:p w14:paraId="132B515B" w14:textId="1F351A88" w:rsidR="005D6076" w:rsidRDefault="005D60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815B0C6" w14:textId="77777777" w:rsidR="005D6076" w:rsidRDefault="005D6076" w:rsidP="005D60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3842847"/>
      <w:docPartObj>
        <w:docPartGallery w:val="Page Numbers (Bottom of Page)"/>
        <w:docPartUnique/>
      </w:docPartObj>
    </w:sdtPr>
    <w:sdtContent>
      <w:p w14:paraId="03E92D38" w14:textId="76F8F369" w:rsidR="005D6076" w:rsidRDefault="005D60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6D71264" w14:textId="77777777" w:rsidR="005D6076" w:rsidRDefault="005D6076" w:rsidP="005D60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8F255" w14:textId="77777777" w:rsidR="004F4FA8" w:rsidRDefault="004F4FA8">
      <w:pPr>
        <w:spacing w:after="0" w:line="240" w:lineRule="auto"/>
      </w:pPr>
      <w:r>
        <w:separator/>
      </w:r>
    </w:p>
  </w:footnote>
  <w:footnote w:type="continuationSeparator" w:id="0">
    <w:p w14:paraId="7B46BBFE" w14:textId="77777777" w:rsidR="004F4FA8" w:rsidRDefault="004F4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853883">
    <w:abstractNumId w:val="8"/>
  </w:num>
  <w:num w:numId="2" w16cid:durableId="2107073524">
    <w:abstractNumId w:val="6"/>
  </w:num>
  <w:num w:numId="3" w16cid:durableId="1414011557">
    <w:abstractNumId w:val="5"/>
  </w:num>
  <w:num w:numId="4" w16cid:durableId="339310442">
    <w:abstractNumId w:val="4"/>
  </w:num>
  <w:num w:numId="5" w16cid:durableId="80877930">
    <w:abstractNumId w:val="7"/>
  </w:num>
  <w:num w:numId="6" w16cid:durableId="737827633">
    <w:abstractNumId w:val="3"/>
  </w:num>
  <w:num w:numId="7" w16cid:durableId="1349522218">
    <w:abstractNumId w:val="2"/>
  </w:num>
  <w:num w:numId="8" w16cid:durableId="1570454658">
    <w:abstractNumId w:val="1"/>
  </w:num>
  <w:num w:numId="9" w16cid:durableId="14424534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dd Johnson">
    <w15:presenceInfo w15:providerId="Windows Live" w15:userId="a077c3b815bb49fe"/>
  </w15:person>
  <w15:person w15:author="Rajan, Saeed A">
    <w15:presenceInfo w15:providerId="AD" w15:userId="S::Saeed.A.Rajan@uth.tmc.edu::36748994-9503-48e2-bb9c-b149d0c1f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3F6"/>
    <w:rsid w:val="00082F7C"/>
    <w:rsid w:val="00121F73"/>
    <w:rsid w:val="001258C3"/>
    <w:rsid w:val="00135945"/>
    <w:rsid w:val="0015074B"/>
    <w:rsid w:val="00295B23"/>
    <w:rsid w:val="0029639D"/>
    <w:rsid w:val="00326F90"/>
    <w:rsid w:val="003810C7"/>
    <w:rsid w:val="0038320A"/>
    <w:rsid w:val="003D06DC"/>
    <w:rsid w:val="003D4C2B"/>
    <w:rsid w:val="004139E6"/>
    <w:rsid w:val="004A4719"/>
    <w:rsid w:val="004F4FA8"/>
    <w:rsid w:val="005B78CA"/>
    <w:rsid w:val="005C0686"/>
    <w:rsid w:val="005C5243"/>
    <w:rsid w:val="005D1420"/>
    <w:rsid w:val="005D6076"/>
    <w:rsid w:val="00606371"/>
    <w:rsid w:val="006137CA"/>
    <w:rsid w:val="00622104"/>
    <w:rsid w:val="006C2277"/>
    <w:rsid w:val="00701396"/>
    <w:rsid w:val="007A5F29"/>
    <w:rsid w:val="007D5468"/>
    <w:rsid w:val="00882B2E"/>
    <w:rsid w:val="00884789"/>
    <w:rsid w:val="00902AAF"/>
    <w:rsid w:val="00926506"/>
    <w:rsid w:val="00964BCA"/>
    <w:rsid w:val="009D29D8"/>
    <w:rsid w:val="00A04B5D"/>
    <w:rsid w:val="00A97BA7"/>
    <w:rsid w:val="00AA1D8D"/>
    <w:rsid w:val="00B47730"/>
    <w:rsid w:val="00B84586"/>
    <w:rsid w:val="00BD2468"/>
    <w:rsid w:val="00BD2F04"/>
    <w:rsid w:val="00C42B81"/>
    <w:rsid w:val="00CB0664"/>
    <w:rsid w:val="00D962A5"/>
    <w:rsid w:val="00D9674E"/>
    <w:rsid w:val="00E32905"/>
    <w:rsid w:val="00E45646"/>
    <w:rsid w:val="00F35E1C"/>
    <w:rsid w:val="00FC42FD"/>
    <w:rsid w:val="00FC693F"/>
    <w:rsid w:val="00FD43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DCFBC"/>
  <w14:defaultImageDpi w14:val="300"/>
  <w15:docId w15:val="{F1EAEB1D-0A83-45E1-9659-DB402E0E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7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Text"/>
    <w:pPr>
      <w:spacing w:after="80"/>
    </w:pPr>
    <w:rPr>
      <w:rFonts w:ascii="Aptos" w:eastAsia="Aptos" w:hAnsi="Aptos"/>
      <w:sz w:val="20"/>
    </w:rPr>
  </w:style>
  <w:style w:type="paragraph" w:customStyle="1" w:styleId="CodeBlock">
    <w:name w:val="CodeBlock"/>
    <w:pPr>
      <w:spacing w:after="40"/>
    </w:pPr>
    <w:rPr>
      <w:rFonts w:ascii="Consolas" w:eastAsia="Consolas" w:hAnsi="Consolas"/>
      <w:sz w:val="17"/>
    </w:rPr>
  </w:style>
  <w:style w:type="paragraph" w:customStyle="1" w:styleId="Small">
    <w:name w:val="Small"/>
    <w:rPr>
      <w:rFonts w:ascii="Aptos" w:eastAsia="Aptos" w:hAnsi="Aptos"/>
      <w:sz w:val="17"/>
    </w:rPr>
  </w:style>
  <w:style w:type="character" w:styleId="PageNumber">
    <w:name w:val="page number"/>
    <w:basedOn w:val="DefaultParagraphFont"/>
    <w:uiPriority w:val="99"/>
    <w:semiHidden/>
    <w:unhideWhenUsed/>
    <w:rsid w:val="005D6076"/>
  </w:style>
  <w:style w:type="paragraph" w:styleId="NormalWeb">
    <w:name w:val="Normal (Web)"/>
    <w:basedOn w:val="Normal"/>
    <w:uiPriority w:val="99"/>
    <w:semiHidden/>
    <w:unhideWhenUsed/>
    <w:rsid w:val="005C5243"/>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1258C3"/>
    <w:pPr>
      <w:spacing w:after="0" w:line="240" w:lineRule="auto"/>
    </w:pPr>
    <w:rPr>
      <w:rFonts w:ascii="Aptos" w:eastAsia="Aptos" w:hAnsi="Aptos"/>
      <w:sz w:val="21"/>
    </w:rPr>
  </w:style>
  <w:style w:type="character" w:styleId="CommentReference">
    <w:name w:val="annotation reference"/>
    <w:basedOn w:val="DefaultParagraphFont"/>
    <w:uiPriority w:val="99"/>
    <w:semiHidden/>
    <w:unhideWhenUsed/>
    <w:rsid w:val="005B78CA"/>
    <w:rPr>
      <w:sz w:val="16"/>
      <w:szCs w:val="16"/>
    </w:rPr>
  </w:style>
  <w:style w:type="paragraph" w:styleId="CommentText">
    <w:name w:val="annotation text"/>
    <w:basedOn w:val="Normal"/>
    <w:link w:val="CommentTextChar"/>
    <w:uiPriority w:val="99"/>
    <w:semiHidden/>
    <w:unhideWhenUsed/>
    <w:rsid w:val="005B78CA"/>
    <w:pPr>
      <w:spacing w:line="240" w:lineRule="auto"/>
    </w:pPr>
    <w:rPr>
      <w:sz w:val="20"/>
      <w:szCs w:val="20"/>
    </w:rPr>
  </w:style>
  <w:style w:type="character" w:customStyle="1" w:styleId="CommentTextChar">
    <w:name w:val="Comment Text Char"/>
    <w:basedOn w:val="DefaultParagraphFont"/>
    <w:link w:val="CommentText"/>
    <w:uiPriority w:val="99"/>
    <w:semiHidden/>
    <w:rsid w:val="005B78CA"/>
    <w:rPr>
      <w:rFonts w:ascii="Aptos" w:eastAsia="Aptos" w:hAnsi="Aptos"/>
      <w:sz w:val="20"/>
      <w:szCs w:val="20"/>
    </w:rPr>
  </w:style>
  <w:style w:type="paragraph" w:styleId="CommentSubject">
    <w:name w:val="annotation subject"/>
    <w:basedOn w:val="CommentText"/>
    <w:next w:val="CommentText"/>
    <w:link w:val="CommentSubjectChar"/>
    <w:uiPriority w:val="99"/>
    <w:semiHidden/>
    <w:unhideWhenUsed/>
    <w:rsid w:val="005B78CA"/>
    <w:rPr>
      <w:b/>
      <w:bCs/>
    </w:rPr>
  </w:style>
  <w:style w:type="character" w:customStyle="1" w:styleId="CommentSubjectChar">
    <w:name w:val="Comment Subject Char"/>
    <w:basedOn w:val="CommentTextChar"/>
    <w:link w:val="CommentSubject"/>
    <w:uiPriority w:val="99"/>
    <w:semiHidden/>
    <w:rsid w:val="005B78CA"/>
    <w:rPr>
      <w:rFonts w:ascii="Aptos" w:eastAsia="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1410</Words>
  <Characters>8829</Characters>
  <Application>Microsoft Office Word</Application>
  <DocSecurity>0</DocSecurity>
  <Lines>238</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Todd Johnson</cp:lastModifiedBy>
  <cp:revision>10</cp:revision>
  <dcterms:created xsi:type="dcterms:W3CDTF">2026-05-11T17:26:00Z</dcterms:created>
  <dcterms:modified xsi:type="dcterms:W3CDTF">2026-05-15T05:19:00Z</dcterms:modified>
  <cp:category/>
</cp:coreProperties>
</file>