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2B5E" w:val="clear"/>
            <w:tcMar>
              <w:top w:type="dxa" w:w="500"/>
              <w:left w:type="dxa" w:w="500"/>
              <w:bottom w:type="dxa" w:w="500"/>
              <w:right w:type="dxa" w:w="500"/>
            </w:tcMar>
          </w:tcPr>
          <w:p>
            <w:pPr>
              <w:spacing w:before="0" w:after="60"/>
              <w:jc w:val="center"/>
            </w:pPr>
            <w:r>
              <w:rPr>
                <w:rFonts w:ascii="Arial" w:cs="Arial" w:eastAsia="Arial" w:hAnsi="Arial"/>
                <w:color w:val="A8CFEA"/>
                <w:sz w:val="22"/>
                <w:szCs w:val="22"/>
              </w:rPr>
              <w:t xml:space="preserve">ICCSIC 2026 · IEEE · Tabarka, Tunisia</w:t>
            </w:r>
          </w:p>
          <w:p>
            <w:pPr>
              <w:spacing w:before="0" w:after="40"/>
              <w:jc w:val="center"/>
            </w:pPr>
            <w:r>
              <w:rPr>
                <w:rFonts w:ascii="Arial" w:cs="Arial" w:eastAsia="Arial" w:hAnsi="Arial"/>
                <w:b/>
                <w:bCs/>
                <w:color w:val="FFFFFF"/>
                <w:sz w:val="64"/>
                <w:szCs w:val="64"/>
              </w:rPr>
              <w:t xml:space="preserve">🏥  MediSafe-MAS</w:t>
            </w:r>
          </w:p>
          <w:p>
            <w:pPr>
              <w:spacing w:before="0" w:after="160"/>
              <w:jc w:val="center"/>
            </w:pPr>
            <w:r>
              <w:rPr>
                <w:rFonts w:ascii="Arial" w:cs="Arial" w:eastAsia="Arial" w:hAnsi="Arial"/>
                <w:i/>
                <w:iCs/>
                <w:color w:val="A8CFEA"/>
                <w:sz w:val="30"/>
                <w:szCs w:val="30"/>
              </w:rPr>
              <w:t xml:space="preserve">Responsible Multi-Agent System for Explainable Clinical Triage</w:t>
            </w:r>
          </w:p>
          <w:p>
            <w:pPr>
              <w:spacing w:before="0" w:after="80"/>
              <w:jc w:val="center"/>
            </w:pPr>
            <w:r>
              <w:rPr>
                <w:rFonts w:ascii="Arial" w:cs="Arial" w:eastAsia="Arial" w:hAnsi="Arial"/>
                <w:b/>
                <w:bCs/>
                <w:color w:val="FFFFFF"/>
                <w:sz w:val="24"/>
                <w:szCs w:val="24"/>
              </w:rPr>
              <w:t xml:space="preserve">A First-Class Use Case for Responsible Multi-Agent AI</w:t>
            </w:r>
          </w:p>
          <w:p>
            <w:pPr>
              <w:spacing w:before="0" w:after="80"/>
              <w:jc w:val="center"/>
            </w:pPr>
            <w:r>
              <w:rPr>
                <w:rFonts w:ascii="Arial" w:cs="Arial" w:eastAsia="Arial" w:hAnsi="Arial"/>
                <w:color w:val="A8CFEA"/>
                <w:sz w:val="20"/>
                <w:szCs w:val="20"/>
              </w:rPr>
              <w:t xml:space="preserve">Tracks: T5 — Explainable AI  ·  T6 — Complex Environments  ·  T2 — Safety &amp; Privacy</w:t>
            </w:r>
          </w:p>
          <w:p>
            <w:pPr>
              <w:jc w:val="center"/>
            </w:pPr>
            <w:r>
              <w:rPr>
                <w:rFonts w:ascii="Arial" w:cs="Arial" w:eastAsia="Arial" w:hAnsi="Arial"/>
                <w:color w:val="A8CFEA"/>
                <w:sz w:val="20"/>
                <w:szCs w:val="20"/>
              </w:rPr>
              <w:t xml:space="preserve">Mokhtar Sellami  ·  WiseAI Workshop  ·  March 2026</w:t>
            </w:r>
          </w:p>
        </w:tc>
      </w:tr>
    </w:tbl>
    <w:p>
      <w:pPr>
        <w:spacing w:before="32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E0" w:sz="1"/>
              <w:left w:val="single" w:color="BBCFE0" w:sz="1"/>
              <w:bottom w:val="single" w:color="BBCFE0" w:sz="1"/>
              <w:right w:val="single" w:color="BBCFE0" w:sz="1"/>
            </w:tcBorders>
            <w:shd w:fill="E3EAF8" w:val="clear"/>
            <w:tcMar>
              <w:top w:type="dxa" w:w="160"/>
              <w:left w:type="dxa" w:w="240"/>
              <w:bottom w:type="dxa" w:w="160"/>
              <w:right w:type="dxa" w:w="240"/>
            </w:tcMar>
          </w:tcPr>
          <w:p>
            <w:pPr>
              <w:spacing w:before="0" w:after="100"/>
            </w:pPr>
            <w:r>
              <w:rPr>
                <w:rFonts w:ascii="Arial" w:cs="Arial" w:eastAsia="Arial" w:hAnsi="Arial"/>
                <w:b/>
                <w:bCs/>
                <w:color w:val="0D2B5E"/>
                <w:sz w:val="24"/>
                <w:szCs w:val="24"/>
              </w:rPr>
              <w:t xml:space="preserve">Abstract</w:t>
            </w:r>
          </w:p>
          <w:p>
            <w:r>
              <w:rPr>
                <w:rFonts w:ascii="Arial" w:cs="Arial" w:eastAsia="Arial" w:hAnsi="Arial"/>
                <w:color w:val="1A1A2E"/>
                <w:sz w:val="21"/>
                <w:szCs w:val="21"/>
              </w:rPr>
              <w:t xml:space="preserve">We present MediSafe-MAS, a responsible multi-agent LLM system for explainable clinical triage support in emergency departments. The system implements a five-agent pipeline — Feature Extraction, Differential Diagnosis, Risk Stratification, Safety &amp; Compliance, and Clinical Report Synthesis — each with contractually defined JSON interfaces, explicit evidence chains, and embedded auditability. Every agent output is grounded strictly in the presented clinical data, with hallucination detection, overconfidence flagging, and EU AI Act compliance checks applied systematically. We demonstrate that the decomposition of clinical reasoning into specialized, auditable agents produces higher transparency, lower hallucination rates, and more reliable triage outcomes than single-agent baselines. This work aligns directly with ICCSIC 2026 Tracks 5 (Explainable AI), 6 (Complex Environments), and 2 (Security &amp; Privacy).</w:t>
            </w:r>
          </w:p>
          <w:p>
            <w:pPr>
              <w:spacing w:before="80" w:after="0"/>
            </w:pPr>
            <w:r>
              <w:rPr>
                <w:rFonts w:ascii="Arial" w:cs="Arial" w:eastAsia="Arial" w:hAnsi="Arial"/>
                <w:sz w:val="22"/>
                <w:szCs w:val="22"/>
              </w:rPr>
              <w:t xml:space="preserve"/>
            </w:r>
          </w:p>
          <w:p>
            <w:r>
              <w:rPr>
                <w:rFonts w:ascii="Arial" w:cs="Arial" w:eastAsia="Arial" w:hAnsi="Arial"/>
                <w:b/>
                <w:bCs/>
                <w:color w:val="0D2B5E"/>
                <w:sz w:val="20"/>
                <w:szCs w:val="20"/>
              </w:rPr>
              <w:t xml:space="preserve">Keywords: </w:t>
            </w:r>
            <w:r>
              <w:rPr>
                <w:rFonts w:ascii="Arial" w:cs="Arial" w:eastAsia="Arial" w:hAnsi="Arial"/>
                <w:i/>
                <w:iCs/>
                <w:sz w:val="20"/>
                <w:szCs w:val="20"/>
              </w:rPr>
              <w:t xml:space="preserve">responsible AI · multi-agent systems · clinical triage · explainable AI · LLM · EU AI Act · emergency medicine · patient safety</w:t>
            </w:r>
          </w:p>
        </w:tc>
      </w:tr>
    </w:tbl>
    <w:p>
      <w:pPr>
        <w:spacing w:before="200" w:after="0"/>
      </w:pPr>
      <w:r>
        <w:rPr>
          <w:rFonts w:ascii="Arial" w:cs="Arial" w:eastAsia="Arial" w:hAnsi="Arial"/>
          <w:sz w:val="22"/>
          <w:szCs w:val="22"/>
        </w:rPr>
        <w:t xml:space="preserve"/>
      </w:r>
    </w:p>
    <w:p>
      <w:pPr>
        <w:pBdr>
          <w:bottom w:val="single" w:color="D6E8F4" w:sz="4" w:space="1"/>
        </w:pBdr>
      </w:pPr>
      <w:r>
        <w:rPr>
          <w:rFonts w:ascii="Arial" w:cs="Arial" w:eastAsia="Arial" w:hAnsi="Arial"/>
          <w:sz w:val="22"/>
          <w:szCs w:val="22"/>
        </w:rPr>
        <w:t xml:space="preserve"/>
      </w:r>
    </w:p>
    <w:p>
      <w:r>
        <w:br w:type="page"/>
      </w:r>
    </w:p>
    <w:p>
      <w:pPr>
        <w:pStyle w:val="Heading1"/>
      </w:pPr>
      <w:r>
        <w:rPr>
          <w:rFonts w:ascii="Arial" w:cs="Arial" w:eastAsia="Arial" w:hAnsi="Arial"/>
          <w:b/>
          <w:bCs/>
          <w:color w:val="1B5E8B"/>
          <w:sz w:val="34"/>
          <w:szCs w:val="34"/>
        </w:rPr>
        <w:t xml:space="preserve">1. Conference Alignment — Why ICCSIC 2026?</w:t>
      </w:r>
    </w:p>
    <w:p>
      <w:pPr>
        <w:spacing w:before="0" w:after="160"/>
      </w:pPr>
      <w:r>
        <w:rPr>
          <w:rFonts w:ascii="Arial" w:cs="Arial" w:eastAsia="Arial" w:hAnsi="Arial"/>
          <w:color w:val="444455"/>
          <w:sz w:val="22"/>
          <w:szCs w:val="22"/>
        </w:rPr>
        <w:t xml:space="preserve">MediSafe-MAS was designed specifically to address the research agenda of ICCSIC 2026. The table below maps each conference track to concrete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BBCFE0" w:sz="1"/>
              <w:left w:val="single" w:color="BBCFE0" w:sz="1"/>
              <w:bottom w:val="single" w:color="BBCFE0" w:sz="1"/>
              <w:right w:val="single" w:color="BBCFE0" w:sz="1"/>
            </w:tcBorders>
            <w:shd w:fill="D6E8F4" w:val="clear"/>
            <w:tcMar>
              <w:top w:type="dxa" w:w="80"/>
              <w:left w:type="dxa" w:w="120"/>
              <w:bottom w:type="dxa" w:w="80"/>
              <w:right w:type="dxa" w:w="120"/>
            </w:tcMar>
          </w:tcPr>
          <w:p>
            <w:r>
              <w:rPr>
                <w:rFonts w:ascii="Arial" w:cs="Arial" w:eastAsia="Arial" w:hAnsi="Arial"/>
                <w:b/>
                <w:bCs/>
                <w:color w:val="1B5E8B"/>
                <w:sz w:val="20"/>
                <w:szCs w:val="20"/>
              </w:rPr>
              <w:t xml:space="preserve">ICCSIC 2026 Track</w:t>
            </w:r>
          </w:p>
        </w:tc>
        <w:tc>
          <w:tcPr>
            <w:tcW w:type="dxa" w:w="3200"/>
            <w:tcBorders>
              <w:top w:val="single" w:color="BBCFE0" w:sz="1"/>
              <w:left w:val="single" w:color="BBCFE0" w:sz="1"/>
              <w:bottom w:val="single" w:color="BBCFE0" w:sz="1"/>
              <w:right w:val="single" w:color="BBCFE0" w:sz="1"/>
            </w:tcBorders>
            <w:shd w:fill="D6E8F4" w:val="clear"/>
            <w:tcMar>
              <w:top w:type="dxa" w:w="80"/>
              <w:left w:type="dxa" w:w="120"/>
              <w:bottom w:type="dxa" w:w="80"/>
              <w:right w:type="dxa" w:w="120"/>
            </w:tcMar>
          </w:tcPr>
          <w:p>
            <w:r>
              <w:rPr>
                <w:rFonts w:ascii="Arial" w:cs="Arial" w:eastAsia="Arial" w:hAnsi="Arial"/>
                <w:b/>
                <w:bCs/>
                <w:color w:val="1B5E8B"/>
                <w:sz w:val="20"/>
                <w:szCs w:val="20"/>
              </w:rPr>
              <w:t xml:space="preserve">Relevance</w:t>
            </w:r>
          </w:p>
        </w:tc>
        <w:tc>
          <w:tcPr>
            <w:tcW w:type="dxa" w:w="4360"/>
            <w:tcBorders>
              <w:top w:val="single" w:color="BBCFE0" w:sz="1"/>
              <w:left w:val="single" w:color="BBCFE0" w:sz="1"/>
              <w:bottom w:val="single" w:color="BBCFE0" w:sz="1"/>
              <w:right w:val="single" w:color="BBCFE0" w:sz="1"/>
            </w:tcBorders>
            <w:shd w:fill="D6E8F4" w:val="clear"/>
            <w:tcMar>
              <w:top w:type="dxa" w:w="80"/>
              <w:left w:type="dxa" w:w="120"/>
              <w:bottom w:type="dxa" w:w="80"/>
              <w:right w:type="dxa" w:w="120"/>
            </w:tcMar>
          </w:tcPr>
          <w:p>
            <w:r>
              <w:rPr>
                <w:rFonts w:ascii="Arial" w:cs="Arial" w:eastAsia="Arial" w:hAnsi="Arial"/>
                <w:b/>
                <w:bCs/>
                <w:color w:val="1B5E8B"/>
                <w:sz w:val="20"/>
                <w:szCs w:val="20"/>
              </w:rPr>
              <w:t xml:space="preserve">MediSafe-MAS Component</w:t>
            </w:r>
          </w:p>
        </w:tc>
      </w:tr>
      <w:tr>
        <w:tc>
          <w:tcPr>
            <w:tcW w:type="dxa" w:w="18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Track 1 — Advanced Architectures &amp; Foundation Models</w:t>
            </w:r>
          </w:p>
        </w:tc>
        <w:tc>
          <w:tcPr>
            <w:tcW w:type="dxa" w:w="32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LLM agents as specialized clinical reasoners with constrained output schemas</w:t>
            </w:r>
          </w:p>
        </w:tc>
        <w:tc>
          <w:tcPr>
            <w:tcW w:type="dxa" w:w="436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5 specialized Gemini agents with JSON-typed interfaces</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Track 2 — Security, Privacy &amp; Adversarial Robustness</w:t>
            </w:r>
          </w:p>
        </w:tc>
        <w:tc>
          <w:tcPr>
            <w:tcW w:type="dxa" w:w="3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Patient data minimization; prompt injection detection; adversarial input robustness</w:t>
            </w:r>
          </w:p>
        </w:tc>
        <w:tc>
          <w:tcPr>
            <w:tcW w:type="dxa" w:w="4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Feature Extraction Agent: injection flag; Safety Agent: privacy_compliance_risk dimension</w:t>
            </w:r>
          </w:p>
        </w:tc>
      </w:tr>
      <w:tr>
        <w:tc>
          <w:tcPr>
            <w:tcW w:type="dxa" w:w="18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Track 5 — Explainable AI, Causal Inference &amp; Model Transparency</w:t>
            </w:r>
          </w:p>
        </w:tc>
        <w:tc>
          <w:tcPr>
            <w:tcW w:type="dxa" w:w="32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Every diagnosis must cite explicit supporting/counter-evidence from input data</w:t>
            </w:r>
          </w:p>
        </w:tc>
        <w:tc>
          <w:tcPr>
            <w:tcW w:type="dxa" w:w="436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Differential Diagnosis Agent: evidence chains per hypothesis; Transparency &amp; Reasoning Audit section</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Track 6 — Applications in Complex Environments</w:t>
            </w:r>
          </w:p>
        </w:tc>
        <w:tc>
          <w:tcPr>
            <w:tcW w:type="dxa" w:w="3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Emergency departments: time-critical, resource-constrained, high-stakes, dynamic</w:t>
            </w:r>
          </w:p>
        </w:tc>
        <w:tc>
          <w:tcPr>
            <w:tcW w:type="dxa" w:w="4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pipeline with triage level (MTS-aligned), maximum wait time, and human override enforcement</w:t>
            </w:r>
          </w:p>
        </w:tc>
      </w:tr>
      <w:tr>
        <w:tc>
          <w:tcPr>
            <w:tcW w:type="dxa" w:w="18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EU AI Act (High-Risk AI)</w:t>
            </w:r>
          </w:p>
        </w:tc>
        <w:tc>
          <w:tcPr>
            <w:tcW w:type="dxa" w:w="32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Medical decision-support systems are classified as High-Risk AI under Annex III</w:t>
            </w:r>
          </w:p>
        </w:tc>
        <w:tc>
          <w:tcPr>
            <w:tcW w:type="dxa" w:w="436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Safety Agent: ai_act_compliance_risk dimension; mandatory disclaimer in every report</w:t>
            </w:r>
          </w:p>
        </w:tc>
      </w:tr>
    </w:tbl>
    <w:p>
      <w:pPr>
        <w:spacing w:before="20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EAF8" w:val="clear"/>
            <w:tcMar>
              <w:top w:type="dxa" w:w="120"/>
              <w:left w:type="dxa" w:w="200"/>
              <w:bottom w:type="dxa" w:w="120"/>
              <w:right w:type="dxa" w:w="200"/>
            </w:tcMar>
          </w:tcPr>
          <w:p>
            <w:pPr>
              <w:spacing w:before="0" w:after="80"/>
            </w:pPr>
            <w:r>
              <w:rPr>
                <w:rFonts w:ascii="Arial" w:cs="Arial" w:eastAsia="Arial" w:hAnsi="Arial"/>
                <w:b/>
                <w:bCs/>
                <w:color w:val="0D2B5E"/>
                <w:sz w:val="20"/>
                <w:szCs w:val="20"/>
              </w:rPr>
              <w:t xml:space="preserve">🏆  Research Contribution Statement</w:t>
            </w:r>
          </w:p>
          <w:p>
            <w:pPr>
              <w:spacing w:before="0" w:after="0"/>
            </w:pPr>
            <w:r>
              <w:rPr>
                <w:rFonts w:ascii="Arial" w:cs="Arial" w:eastAsia="Arial" w:hAnsi="Arial"/>
                <w:color w:val="1A1A2E"/>
                <w:sz w:val="20"/>
                <w:szCs w:val="20"/>
              </w:rPr>
              <w:t xml:space="preserve">MediSafe-MAS makes three original research contributions:</w:t>
            </w:r>
          </w:p>
          <w:p>
            <w:pPr>
              <w:spacing w:before="60" w:after="0"/>
            </w:pPr>
            <w:r>
              <w:rPr>
                <w:rFonts w:ascii="Arial" w:cs="Arial" w:eastAsia="Arial" w:hAnsi="Arial"/>
                <w:color w:val="1A1A2E"/>
                <w:sz w:val="20"/>
                <w:szCs w:val="20"/>
              </w:rPr>
              <w:t xml:space="preserve">1. ARCHITECTURE: A 5-agent decomposition of clinical reasoning with contractual JSON interfaces and explicit evidence grounding.</w:t>
            </w:r>
          </w:p>
          <w:p>
            <w:pPr>
              <w:spacing w:before="60" w:after="0"/>
            </w:pPr>
            <w:r>
              <w:rPr>
                <w:rFonts w:ascii="Arial" w:cs="Arial" w:eastAsia="Arial" w:hAnsi="Arial"/>
                <w:color w:val="1A1A2E"/>
                <w:sz w:val="20"/>
                <w:szCs w:val="20"/>
              </w:rPr>
              <w:t xml:space="preserve">2. SAFETY FRAMEWORK: A 6-dimension risk audit model (hallucination, overconfidence, anchoring bias, omission, privacy, AI Act) with quantified safety scoring.</w:t>
            </w:r>
          </w:p>
          <w:p>
            <w:pPr>
              <w:spacing w:before="60" w:after="0"/>
            </w:pPr>
            <w:r>
              <w:rPr>
                <w:rFonts w:ascii="Arial" w:cs="Arial" w:eastAsia="Arial" w:hAnsi="Arial"/>
                <w:color w:val="1A1A2E"/>
                <w:sz w:val="20"/>
                <w:szCs w:val="20"/>
              </w:rPr>
              <w:t xml:space="preserve">3. EXPLAINABILITY-BY-DESIGN: Transparency is embedded in every agent's output schema — not added post-hoc — enabling full audit trails per clinical encounter.</w:t>
            </w:r>
          </w:p>
        </w:tc>
      </w:tr>
    </w:tbl>
    <w:p>
      <w:pPr>
        <w:spacing w:before="200" w:after="0"/>
      </w:pPr>
      <w:r>
        <w:rPr>
          <w:rFonts w:ascii="Arial" w:cs="Arial" w:eastAsia="Arial" w:hAnsi="Arial"/>
          <w:sz w:val="22"/>
          <w:szCs w:val="22"/>
        </w:rPr>
        <w:t xml:space="preserve"/>
      </w:r>
    </w:p>
    <w:p>
      <w:pPr>
        <w:pBdr>
          <w:bottom w:val="single" w:color="D6E8F4" w:sz="4" w:space="1"/>
        </w:pBdr>
      </w:pPr>
      <w:r>
        <w:rPr>
          <w:rFonts w:ascii="Arial" w:cs="Arial" w:eastAsia="Arial" w:hAnsi="Arial"/>
          <w:sz w:val="22"/>
          <w:szCs w:val="22"/>
        </w:rPr>
        <w:t xml:space="preserve"/>
      </w:r>
    </w:p>
    <w:p>
      <w:r>
        <w:br w:type="page"/>
      </w:r>
    </w:p>
    <w:p>
      <w:pPr>
        <w:pStyle w:val="Heading1"/>
      </w:pPr>
      <w:r>
        <w:rPr>
          <w:rFonts w:ascii="Arial" w:cs="Arial" w:eastAsia="Arial" w:hAnsi="Arial"/>
          <w:b/>
          <w:bCs/>
          <w:color w:val="1B5E8B"/>
          <w:sz w:val="34"/>
          <w:szCs w:val="34"/>
        </w:rPr>
        <w:t xml:space="preserve">2. Problem Statement &amp; Motivation</w:t>
      </w:r>
    </w:p>
    <w:p>
      <w:pPr>
        <w:pStyle w:val="Heading2"/>
      </w:pPr>
      <w:r>
        <w:rPr>
          <w:rFonts w:ascii="Arial" w:cs="Arial" w:eastAsia="Arial" w:hAnsi="Arial"/>
          <w:b/>
          <w:bCs/>
          <w:color w:val="1B5E8B"/>
          <w:sz w:val="28"/>
          <w:szCs w:val="28"/>
        </w:rPr>
        <w:t xml:space="preserve">2.1  The Clinical Triage Challenge</w:t>
      </w:r>
    </w:p>
    <w:p>
      <w:pPr>
        <w:spacing w:before="0" w:after="120"/>
      </w:pPr>
      <w:r>
        <w:rPr>
          <w:rFonts w:ascii="Arial" w:cs="Arial" w:eastAsia="Arial" w:hAnsi="Arial"/>
          <w:sz w:val="22"/>
          <w:szCs w:val="22"/>
        </w:rPr>
        <w:t xml:space="preserve">Emergency department triage is one of the most demanding and consequential tasks in healthcare. Clinicians must assess patient acuity under severe time pressure, with incomplete information, and in resource-constrained environments. Errors in triage — either over-triaging (wasting scarce resources) or under-triaging (missing life-threatening conditions) — directly affect patient outcomes and institutional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tcBorders>
              <w:top w:val="single" w:color="BBCFE0" w:sz="1"/>
              <w:left w:val="single" w:color="BBCFE0" w:sz="1"/>
              <w:bottom w:val="single" w:color="BBCFE0" w:sz="1"/>
              <w:right w:val="single" w:color="BBCFE0" w:sz="1"/>
            </w:tcBorders>
            <w:shd w:fill="D6E8F4" w:val="clear"/>
            <w:tcMar>
              <w:top w:type="dxa" w:w="80"/>
              <w:left w:type="dxa" w:w="120"/>
              <w:bottom w:type="dxa" w:w="80"/>
              <w:right w:type="dxa" w:w="120"/>
            </w:tcMar>
          </w:tcPr>
          <w:p>
            <w:r>
              <w:rPr>
                <w:rFonts w:ascii="Arial" w:cs="Arial" w:eastAsia="Arial" w:hAnsi="Arial"/>
                <w:b/>
                <w:bCs/>
                <w:color w:val="1B5E8B"/>
                <w:sz w:val="20"/>
                <w:szCs w:val="20"/>
              </w:rPr>
              <w:t xml:space="preserve">Challenge</w:t>
            </w:r>
          </w:p>
        </w:tc>
        <w:tc>
          <w:tcPr>
            <w:tcW w:type="dxa" w:w="2760"/>
            <w:tcBorders>
              <w:top w:val="single" w:color="BBCFE0" w:sz="1"/>
              <w:left w:val="single" w:color="BBCFE0" w:sz="1"/>
              <w:bottom w:val="single" w:color="BBCFE0" w:sz="1"/>
              <w:right w:val="single" w:color="BBCFE0" w:sz="1"/>
            </w:tcBorders>
            <w:shd w:fill="D6E8F4" w:val="clear"/>
            <w:tcMar>
              <w:top w:type="dxa" w:w="80"/>
              <w:left w:type="dxa" w:w="120"/>
              <w:bottom w:type="dxa" w:w="80"/>
              <w:right w:type="dxa" w:w="120"/>
            </w:tcMar>
          </w:tcPr>
          <w:p>
            <w:r>
              <w:rPr>
                <w:rFonts w:ascii="Arial" w:cs="Arial" w:eastAsia="Arial" w:hAnsi="Arial"/>
                <w:b/>
                <w:bCs/>
                <w:color w:val="1B5E8B"/>
                <w:sz w:val="20"/>
                <w:szCs w:val="20"/>
              </w:rPr>
              <w:t xml:space="preserve">Impact</w:t>
            </w:r>
          </w:p>
        </w:tc>
        <w:tc>
          <w:tcPr>
            <w:tcW w:type="dxa" w:w="4200"/>
            <w:tcBorders>
              <w:top w:val="single" w:color="BBCFE0" w:sz="1"/>
              <w:left w:val="single" w:color="BBCFE0" w:sz="1"/>
              <w:bottom w:val="single" w:color="BBCFE0" w:sz="1"/>
              <w:right w:val="single" w:color="BBCFE0" w:sz="1"/>
            </w:tcBorders>
            <w:shd w:fill="D6E8F4" w:val="clear"/>
            <w:tcMar>
              <w:top w:type="dxa" w:w="80"/>
              <w:left w:type="dxa" w:w="120"/>
              <w:bottom w:type="dxa" w:w="80"/>
              <w:right w:type="dxa" w:w="120"/>
            </w:tcMar>
          </w:tcPr>
          <w:p>
            <w:r>
              <w:rPr>
                <w:rFonts w:ascii="Arial" w:cs="Arial" w:eastAsia="Arial" w:hAnsi="Arial"/>
                <w:b/>
                <w:bCs/>
                <w:color w:val="1B5E8B"/>
                <w:sz w:val="20"/>
                <w:szCs w:val="20"/>
              </w:rPr>
              <w:t xml:space="preserve">MediSafe-MAS Response</w:t>
            </w:r>
          </w:p>
        </w:tc>
      </w:tr>
      <w:tr>
        <w:tc>
          <w:tcPr>
            <w:tcW w:type="dxa" w:w="24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Information overload</w:t>
            </w:r>
          </w:p>
        </w:tc>
        <w:tc>
          <w:tcPr>
            <w:tcW w:type="dxa" w:w="276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Clinicians process 20–40 patients/hour in peak periods</w:t>
            </w:r>
          </w:p>
        </w:tc>
        <w:tc>
          <w:tcPr>
            <w:tcW w:type="dxa" w:w="42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Structured JSON extraction reduces cognitive load</w:t>
            </w:r>
          </w:p>
        </w:tc>
      </w:tr>
      <w:tr>
        <w:tc>
          <w:tcPr>
            <w:tcW w:type="dxa" w:w="2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Anchoring bias</w:t>
            </w:r>
          </w:p>
        </w:tc>
        <w:tc>
          <w:tcPr>
            <w:tcW w:type="dxa" w:w="27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First impression dominates subsequent reasoning</w:t>
            </w:r>
          </w:p>
        </w:tc>
        <w:tc>
          <w:tcPr>
            <w:tcW w:type="dxa" w:w="4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Critic agent (v2) / explicit counter-evidence per diagnosis</w:t>
            </w:r>
          </w:p>
        </w:tc>
      </w:tr>
      <w:tr>
        <w:tc>
          <w:tcPr>
            <w:tcW w:type="dxa" w:w="24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Omission of critical-to-exclude conditions</w:t>
            </w:r>
          </w:p>
        </w:tc>
        <w:tc>
          <w:tcPr>
            <w:tcW w:type="dxa" w:w="276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Life-threatening diagnoses missed under time pressure</w:t>
            </w:r>
          </w:p>
        </w:tc>
        <w:tc>
          <w:tcPr>
            <w:tcW w:type="dxa" w:w="42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Explicit 'critical_to_exclude' field mandatory in Diagnosis Agent</w:t>
            </w:r>
          </w:p>
        </w:tc>
      </w:tr>
      <w:tr>
        <w:tc>
          <w:tcPr>
            <w:tcW w:type="dxa" w:w="2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Lack of audit trails</w:t>
            </w:r>
          </w:p>
        </w:tc>
        <w:tc>
          <w:tcPr>
            <w:tcW w:type="dxa" w:w="27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AI recommendations unverifiable after the fact</w:t>
            </w:r>
          </w:p>
        </w:tc>
        <w:tc>
          <w:tcPr>
            <w:tcW w:type="dxa" w:w="4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Every agent produces structured JSON — full replay possible</w:t>
            </w:r>
          </w:p>
        </w:tc>
      </w:tr>
      <w:tr>
        <w:tc>
          <w:tcPr>
            <w:tcW w:type="dxa" w:w="24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Regulatory uncertainty</w:t>
            </w:r>
          </w:p>
        </w:tc>
        <w:tc>
          <w:tcPr>
            <w:tcW w:type="dxa" w:w="276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EU AI Act classifies medical AI as High-Risk</w:t>
            </w:r>
          </w:p>
        </w:tc>
        <w:tc>
          <w:tcPr>
            <w:tcW w:type="dxa" w:w="42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ai_act_compliance_risk dimension in Safety Agent</w:t>
            </w:r>
          </w:p>
        </w:tc>
      </w:tr>
    </w:tbl>
    <w:p>
      <w:pPr>
        <w:spacing w:before="200" w:after="0"/>
      </w:pPr>
      <w:r>
        <w:rPr>
          <w:rFonts w:ascii="Arial" w:cs="Arial" w:eastAsia="Arial" w:hAnsi="Arial"/>
          <w:sz w:val="22"/>
          <w:szCs w:val="22"/>
        </w:rPr>
        <w:t xml:space="preserve"/>
      </w:r>
    </w:p>
    <w:p>
      <w:pPr>
        <w:pStyle w:val="Heading2"/>
      </w:pPr>
      <w:r>
        <w:rPr>
          <w:rFonts w:ascii="Arial" w:cs="Arial" w:eastAsia="Arial" w:hAnsi="Arial"/>
          <w:b/>
          <w:bCs/>
          <w:color w:val="1B5E8B"/>
          <w:sz w:val="28"/>
          <w:szCs w:val="28"/>
        </w:rPr>
        <w:t xml:space="preserve">2.2  Why Multi-Agent Over Single-Agent?</w:t>
      </w:r>
    </w:p>
    <w:p>
      <w:pPr>
        <w:spacing w:before="0" w:after="100"/>
      </w:pPr>
      <w:r>
        <w:rPr>
          <w:rFonts w:ascii="Arial" w:cs="Arial" w:eastAsia="Arial" w:hAnsi="Arial"/>
          <w:sz w:val="22"/>
          <w:szCs w:val="22"/>
        </w:rPr>
        <w:t xml:space="preserve">A naive approach would route the clinical description directly to a single LLM and ask for a triage recommendation. Research demonstrates that this produces three systematic failure modes:</w:t>
      </w:r>
    </w:p>
    <w:p>
      <w:pPr>
        <w:pStyle w:val="ListParagraph"/>
        <w:numPr>
          <w:ilvl w:val="0"/>
          <w:numId w:val="2"/>
        </w:numPr>
      </w:pPr>
      <w:r>
        <w:rPr>
          <w:rFonts w:ascii="Arial" w:cs="Arial" w:eastAsia="Arial" w:hAnsi="Arial"/>
          <w:sz w:val="22"/>
          <w:szCs w:val="22"/>
        </w:rPr>
        <w:t xml:space="preserve">Conflation of roles: the same model simultaneously extracts facts, reasons over them, and formulates recommendations — with no separation between evidence and inference.</w:t>
      </w:r>
    </w:p>
    <w:p>
      <w:pPr>
        <w:pStyle w:val="ListParagraph"/>
        <w:numPr>
          <w:ilvl w:val="0"/>
          <w:numId w:val="2"/>
        </w:numPr>
      </w:pPr>
      <w:r>
        <w:rPr>
          <w:rFonts w:ascii="Arial" w:cs="Arial" w:eastAsia="Arial" w:hAnsi="Arial"/>
          <w:sz w:val="22"/>
          <w:szCs w:val="22"/>
        </w:rPr>
        <w:t xml:space="preserve">Undetectable overconfidence: single-agent systems cannot self-audit; they cannot know what they don't know.</w:t>
      </w:r>
    </w:p>
    <w:p>
      <w:pPr>
        <w:pStyle w:val="ListParagraph"/>
        <w:numPr>
          <w:ilvl w:val="0"/>
          <w:numId w:val="2"/>
        </w:numPr>
      </w:pPr>
      <w:r>
        <w:rPr>
          <w:rFonts w:ascii="Arial" w:cs="Arial" w:eastAsia="Arial" w:hAnsi="Arial"/>
          <w:sz w:val="22"/>
          <w:szCs w:val="22"/>
        </w:rPr>
        <w:t xml:space="preserve">No regulatory accountability: a black-box recommendation cannot satisfy the EU AI Act's transparency requirements for High-Risk AI.</w:t>
      </w:r>
    </w:p>
    <w:p>
      <w:pPr>
        <w:spacing w:before="160" w:after="0"/>
      </w:pPr>
      <w:r>
        <w:rPr>
          <w:rFonts w:ascii="Arial" w:cs="Arial" w:eastAsia="Arial" w:hAnsi="Arial"/>
          <w:sz w:val="22"/>
          <w:szCs w:val="22"/>
        </w:rPr>
        <w:t xml:space="preserve"/>
      </w:r>
    </w:p>
    <w:p>
      <w:pPr>
        <w:spacing w:before="0" w:after="0"/>
      </w:pPr>
      <w:r>
        <w:rPr>
          <w:rFonts w:ascii="Arial" w:cs="Arial" w:eastAsia="Arial" w:hAnsi="Arial"/>
          <w:sz w:val="22"/>
          <w:szCs w:val="22"/>
        </w:rPr>
        <w:t xml:space="preserve">MediSafe-MAS addresses these failures through functional decomposition: each agent has a single, well-defined responsibility, a typed output schema, and explicit accountability for its contribution to the pipeline.</w:t>
      </w:r>
    </w:p>
    <w:p>
      <w:pPr>
        <w:spacing w:before="200" w:after="0"/>
      </w:pPr>
      <w:r>
        <w:rPr>
          <w:rFonts w:ascii="Arial" w:cs="Arial" w:eastAsia="Arial" w:hAnsi="Arial"/>
          <w:sz w:val="22"/>
          <w:szCs w:val="22"/>
        </w:rPr>
        <w:t xml:space="preserve"/>
      </w:r>
    </w:p>
    <w:p>
      <w:pPr>
        <w:pBdr>
          <w:bottom w:val="single" w:color="D6E8F4" w:sz="4" w:space="1"/>
        </w:pBdr>
      </w:pPr>
      <w:r>
        <w:rPr>
          <w:rFonts w:ascii="Arial" w:cs="Arial" w:eastAsia="Arial" w:hAnsi="Arial"/>
          <w:sz w:val="22"/>
          <w:szCs w:val="22"/>
        </w:rPr>
        <w:t xml:space="preserve"/>
      </w:r>
    </w:p>
    <w:p>
      <w:r>
        <w:br w:type="page"/>
      </w:r>
    </w:p>
    <w:p>
      <w:pPr>
        <w:pStyle w:val="Heading1"/>
      </w:pPr>
      <w:r>
        <w:rPr>
          <w:rFonts w:ascii="Arial" w:cs="Arial" w:eastAsia="Arial" w:hAnsi="Arial"/>
          <w:b/>
          <w:bCs/>
          <w:color w:val="1B5E8B"/>
          <w:sz w:val="34"/>
          <w:szCs w:val="34"/>
        </w:rPr>
        <w:t xml:space="preserve">3. System Architecture — MediSafe-MAS</w:t>
      </w:r>
    </w:p>
    <w:p>
      <w:pPr>
        <w:pStyle w:val="Heading2"/>
      </w:pPr>
      <w:r>
        <w:rPr>
          <w:rFonts w:ascii="Arial" w:cs="Arial" w:eastAsia="Arial" w:hAnsi="Arial"/>
          <w:b/>
          <w:bCs/>
          <w:color w:val="1B5E8B"/>
          <w:sz w:val="28"/>
          <w:szCs w:val="28"/>
        </w:rPr>
        <w:t xml:space="preserve">3.1  Pipeline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E0" w:sz="1"/>
              <w:left w:val="single" w:color="BBCFE0" w:sz="1"/>
              <w:bottom w:val="single" w:color="BBCFE0" w:sz="1"/>
              <w:right w:val="single" w:color="BBCFE0" w:sz="1"/>
            </w:tcBorders>
            <w:shd w:fill="EEF3F8" w:val="clear"/>
            <w:tcMar>
              <w:top w:type="dxa" w:w="100"/>
              <w:left w:type="dxa" w:w="180"/>
              <w:bottom w:type="dxa" w:w="100"/>
              <w:right w:type="dxa" w:w="180"/>
            </w:tcMar>
          </w:tcPr>
          <w:p>
            <w:pPr>
              <w:spacing w:before="0" w:after="40"/>
            </w:pPr>
            <w:r>
              <w:rPr>
                <w:rFonts w:ascii="Courier New" w:cs="Courier New" w:eastAsia="Courier New" w:hAnsi="Courier New"/>
                <w:color w:val="1A3A5C"/>
                <w:sz w:val="18"/>
                <w:szCs w:val="18"/>
              </w:rPr>
              <w:t xml:space="preserve">🏥  Patient Input (Chat Trigger)</w:t>
            </w:r>
          </w:p>
          <w:p>
            <w:pPr>
              <w:spacing w:before="0" w:after="40"/>
            </w:pPr>
            <w:r>
              <w:rPr>
                <w:rFonts w:ascii="Courier New" w:cs="Courier New" w:eastAsia="Courier New" w:hAnsi="Courier New"/>
                <w:color w:val="1A3A5C"/>
                <w:sz w:val="18"/>
                <w:szCs w:val="18"/>
              </w:rPr>
              <w:t xml:space="preserve">      │  Raw clinical description from clinician (free text)</w:t>
            </w:r>
          </w:p>
          <w:p>
            <w:pPr>
              <w:spacing w:before="0" w:after="40"/>
            </w:pPr>
            <w:r>
              <w:rPr>
                <w:rFonts w:ascii="Courier New" w:cs="Courier New" w:eastAsia="Courier New" w:hAnsi="Courier New"/>
                <w:color w:val="1A3A5C"/>
                <w:sz w:val="18"/>
                <w:szCs w:val="18"/>
              </w:rPr>
              <w:t xml:space="preserve">      │  chatInput propagated to ALL agents via node reference</w:t>
            </w:r>
          </w:p>
          <w:p>
            <w:pPr>
              <w:spacing w:before="0" w:after="40"/>
            </w:pPr>
            <w:r>
              <w:rPr>
                <w:rFonts w:ascii="Courier New" w:cs="Courier New" w:eastAsia="Courier New" w:hAnsi="Courier New"/>
                <w:color w:val="1A3A5C"/>
                <w:sz w:val="18"/>
                <w:szCs w:val="18"/>
              </w:rPr>
              <w:t xml:space="preserve">      ↓</w:t>
            </w:r>
          </w:p>
          <w:p>
            <w:pPr>
              <w:spacing w:before="0" w:after="40"/>
            </w:pPr>
            <w:r>
              <w:rPr>
                <w:rFonts w:ascii="Courier New" w:cs="Courier New" w:eastAsia="Courier New" w:hAnsi="Courier New"/>
                <w:color w:val="1A3A5C"/>
                <w:sz w:val="18"/>
                <w:szCs w:val="18"/>
              </w:rPr>
              <w:t xml:space="preserve">🔬  FEATURE EXTRACTION AGENT  [Gemini 2.5 Flash]</w:t>
            </w:r>
          </w:p>
          <w:p>
            <w:pPr>
              <w:spacing w:before="0" w:after="40"/>
            </w:pPr>
            <w:r>
              <w:rPr>
                <w:rFonts w:ascii="Courier New" w:cs="Courier New" w:eastAsia="Courier New" w:hAnsi="Courier New"/>
                <w:color w:val="1A3A5C"/>
                <w:sz w:val="18"/>
                <w:szCs w:val="18"/>
              </w:rPr>
              <w:t xml:space="preserve">      │  Role : Parse free-text → structured JSON clinical features</w:t>
            </w:r>
          </w:p>
          <w:p>
            <w:pPr>
              <w:spacing w:before="0" w:after="40"/>
            </w:pPr>
            <w:r>
              <w:rPr>
                <w:rFonts w:ascii="Courier New" w:cs="Courier New" w:eastAsia="Courier New" w:hAnsi="Courier New"/>
                <w:color w:val="1A3A5C"/>
                <w:sz w:val="18"/>
                <w:szCs w:val="18"/>
              </w:rPr>
              <w:t xml:space="preserve">      │  Output: patient_summary, clinical_features, extraction_flags, input_quality</w:t>
            </w:r>
          </w:p>
          <w:p>
            <w:pPr>
              <w:spacing w:before="0" w:after="40"/>
            </w:pPr>
            <w:r>
              <w:rPr>
                <w:rFonts w:ascii="Courier New" w:cs="Courier New" w:eastAsia="Courier New" w:hAnsi="Courier New"/>
                <w:color w:val="1A3A5C"/>
                <w:sz w:val="18"/>
                <w:szCs w:val="18"/>
              </w:rPr>
              <w:t xml:space="preserve">      │  Constraint: ONLY extract stated facts — null if absent</w:t>
            </w:r>
          </w:p>
          <w:p>
            <w:pPr>
              <w:spacing w:before="0" w:after="40"/>
            </w:pPr>
            <w:r>
              <w:rPr>
                <w:rFonts w:ascii="Courier New" w:cs="Courier New" w:eastAsia="Courier New" w:hAnsi="Courier New"/>
                <w:color w:val="1A3A5C"/>
                <w:sz w:val="18"/>
                <w:szCs w:val="18"/>
              </w:rPr>
              <w:t xml:space="preserve">      ↓</w:t>
            </w:r>
          </w:p>
          <w:p>
            <w:pPr>
              <w:spacing w:before="0" w:after="40"/>
            </w:pPr>
            <w:r>
              <w:rPr>
                <w:rFonts w:ascii="Courier New" w:cs="Courier New" w:eastAsia="Courier New" w:hAnsi="Courier New"/>
                <w:color w:val="1A3A5C"/>
                <w:sz w:val="18"/>
                <w:szCs w:val="18"/>
              </w:rPr>
              <w:t xml:space="preserve">🧠  DIFFERENTIAL DIAGNOSIS AGENT  [Gemini 2.5 Flash]</w:t>
            </w:r>
          </w:p>
          <w:p>
            <w:pPr>
              <w:spacing w:before="0" w:after="40"/>
            </w:pPr>
            <w:r>
              <w:rPr>
                <w:rFonts w:ascii="Courier New" w:cs="Courier New" w:eastAsia="Courier New" w:hAnsi="Courier New"/>
                <w:color w:val="1A3A5C"/>
                <w:sz w:val="18"/>
                <w:szCs w:val="18"/>
              </w:rPr>
              <w:t xml:space="preserve">      │  Role : Ranked differential diagnosis with evidence chains</w:t>
            </w:r>
          </w:p>
          <w:p>
            <w:pPr>
              <w:spacing w:before="0" w:after="40"/>
            </w:pPr>
            <w:r>
              <w:rPr>
                <w:rFonts w:ascii="Courier New" w:cs="Courier New" w:eastAsia="Courier New" w:hAnsi="Courier New"/>
                <w:color w:val="1A3A5C"/>
                <w:sz w:val="18"/>
                <w:szCs w:val="18"/>
              </w:rPr>
              <w:t xml:space="preserve">      │  Input : features JSON + original description</w:t>
            </w:r>
          </w:p>
          <w:p>
            <w:pPr>
              <w:spacing w:before="0" w:after="40"/>
            </w:pPr>
            <w:r>
              <w:rPr>
                <w:rFonts w:ascii="Courier New" w:cs="Courier New" w:eastAsia="Courier New" w:hAnsi="Courier New"/>
                <w:color w:val="1A3A5C"/>
                <w:sz w:val="18"/>
                <w:szCs w:val="18"/>
              </w:rPr>
              <w:t xml:space="preserve">      │  Output: ranked differentials (supporting + counter-evidence per dx)</w:t>
            </w:r>
          </w:p>
          <w:p>
            <w:pPr>
              <w:spacing w:before="0" w:after="40"/>
            </w:pPr>
            <w:r>
              <w:rPr>
                <w:rFonts w:ascii="Courier New" w:cs="Courier New" w:eastAsia="Courier New" w:hAnsi="Courier New"/>
                <w:color w:val="1A3A5C"/>
                <w:sz w:val="18"/>
                <w:szCs w:val="18"/>
              </w:rPr>
              <w:t xml:space="preserve">      │          + critical_to_exclude list + missing_information</w:t>
            </w:r>
          </w:p>
          <w:p>
            <w:pPr>
              <w:spacing w:before="0" w:after="40"/>
            </w:pPr>
            <w:r>
              <w:rPr>
                <w:rFonts w:ascii="Courier New" w:cs="Courier New" w:eastAsia="Courier New" w:hAnsi="Courier New"/>
                <w:color w:val="1A3A5C"/>
                <w:sz w:val="18"/>
                <w:szCs w:val="18"/>
              </w:rPr>
              <w:t xml:space="preserve">      ↓</w:t>
            </w:r>
          </w:p>
          <w:p>
            <w:pPr>
              <w:spacing w:before="0" w:after="40"/>
            </w:pPr>
            <w:r>
              <w:rPr>
                <w:rFonts w:ascii="Courier New" w:cs="Courier New" w:eastAsia="Courier New" w:hAnsi="Courier New"/>
                <w:color w:val="1A3A5C"/>
                <w:sz w:val="18"/>
                <w:szCs w:val="18"/>
              </w:rPr>
              <w:t xml:space="preserve">⚠️  RISK STRATIFICATION AGENT  [Gemini 2.5 Flash]</w:t>
            </w:r>
          </w:p>
          <w:p>
            <w:pPr>
              <w:spacing w:before="0" w:after="40"/>
            </w:pPr>
            <w:r>
              <w:rPr>
                <w:rFonts w:ascii="Courier New" w:cs="Courier New" w:eastAsia="Courier New" w:hAnsi="Courier New"/>
                <w:color w:val="1A3A5C"/>
                <w:sz w:val="18"/>
                <w:szCs w:val="18"/>
              </w:rPr>
              <w:t xml:space="preserve">      │  Role : Assign MTS-aligned triage level with justification</w:t>
            </w:r>
          </w:p>
          <w:p>
            <w:pPr>
              <w:spacing w:before="0" w:after="40"/>
            </w:pPr>
            <w:r>
              <w:rPr>
                <w:rFonts w:ascii="Courier New" w:cs="Courier New" w:eastAsia="Courier New" w:hAnsi="Courier New"/>
                <w:color w:val="1A3A5C"/>
                <w:sz w:val="18"/>
                <w:szCs w:val="18"/>
              </w:rPr>
              <w:t xml:space="preserve">      │  Input : features + differentials + original description</w:t>
            </w:r>
          </w:p>
          <w:p>
            <w:pPr>
              <w:spacing w:before="0" w:after="40"/>
            </w:pPr>
            <w:r>
              <w:rPr>
                <w:rFonts w:ascii="Courier New" w:cs="Courier New" w:eastAsia="Courier New" w:hAnsi="Courier New"/>
                <w:color w:val="1A3A5C"/>
                <w:sz w:val="18"/>
                <w:szCs w:val="18"/>
              </w:rPr>
              <w:t xml:space="preserve">      │  Output: triage_level (5 levels), red_flags, immediate_actions,</w:t>
            </w:r>
          </w:p>
          <w:p>
            <w:pPr>
              <w:spacing w:before="0" w:after="40"/>
            </w:pPr>
            <w:r>
              <w:rPr>
                <w:rFonts w:ascii="Courier New" w:cs="Courier New" w:eastAsia="Courier New" w:hAnsi="Courier New"/>
                <w:color w:val="1A3A5C"/>
                <w:sz w:val="18"/>
                <w:szCs w:val="18"/>
              </w:rPr>
              <w:t xml:space="preserve">      │          recommended_workup, triage_reliability</w:t>
            </w:r>
          </w:p>
          <w:p>
            <w:pPr>
              <w:spacing w:before="0" w:after="40"/>
            </w:pPr>
            <w:r>
              <w:rPr>
                <w:rFonts w:ascii="Courier New" w:cs="Courier New" w:eastAsia="Courier New" w:hAnsi="Courier New"/>
                <w:color w:val="1A3A5C"/>
                <w:sz w:val="18"/>
                <w:szCs w:val="18"/>
              </w:rPr>
              <w:t xml:space="preserve">      ↓</w:t>
            </w:r>
          </w:p>
          <w:p>
            <w:pPr>
              <w:spacing w:before="0" w:after="40"/>
            </w:pPr>
            <w:r>
              <w:rPr>
                <w:rFonts w:ascii="Courier New" w:cs="Courier New" w:eastAsia="Courier New" w:hAnsi="Courier New"/>
                <w:color w:val="1A3A5C"/>
                <w:sz w:val="18"/>
                <w:szCs w:val="18"/>
              </w:rPr>
              <w:t xml:space="preserve">🛡️  SAFETY &amp; COMPLIANCE AGENT  [Gemini 2.5 Flash Lite]</w:t>
            </w:r>
          </w:p>
          <w:p>
            <w:pPr>
              <w:spacing w:before="0" w:after="40"/>
            </w:pPr>
            <w:r>
              <w:rPr>
                <w:rFonts w:ascii="Courier New" w:cs="Courier New" w:eastAsia="Courier New" w:hAnsi="Courier New"/>
                <w:color w:val="1A3A5C"/>
                <w:sz w:val="18"/>
                <w:szCs w:val="18"/>
              </w:rPr>
              <w:t xml:space="preserve">      │  Role : 6-dimension safety audit — produces ONLY JSON</w:t>
            </w:r>
          </w:p>
          <w:p>
            <w:pPr>
              <w:spacing w:before="0" w:after="40"/>
            </w:pPr>
            <w:r>
              <w:rPr>
                <w:rFonts w:ascii="Courier New" w:cs="Courier New" w:eastAsia="Courier New" w:hAnsi="Courier New"/>
                <w:color w:val="1A3A5C"/>
                <w:sz w:val="18"/>
                <w:szCs w:val="18"/>
              </w:rPr>
              <w:t xml:space="preserve">      │  Input : all 3 agent outputs + original description</w:t>
            </w:r>
          </w:p>
          <w:p>
            <w:pPr>
              <w:spacing w:before="0" w:after="40"/>
            </w:pPr>
            <w:r>
              <w:rPr>
                <w:rFonts w:ascii="Courier New" w:cs="Courier New" w:eastAsia="Courier New" w:hAnsi="Courier New"/>
                <w:color w:val="1A3A5C"/>
                <w:sz w:val="18"/>
                <w:szCs w:val="18"/>
              </w:rPr>
              <w:t xml:space="preserve">      │  Output: safety_score (0-10), risk_breakdown (6 dimensions),</w:t>
            </w:r>
          </w:p>
          <w:p>
            <w:pPr>
              <w:spacing w:before="0" w:after="40"/>
            </w:pPr>
            <w:r>
              <w:rPr>
                <w:rFonts w:ascii="Courier New" w:cs="Courier New" w:eastAsia="Courier New" w:hAnsi="Courier New"/>
                <w:color w:val="1A3A5C"/>
                <w:sz w:val="18"/>
                <w:szCs w:val="18"/>
              </w:rPr>
              <w:t xml:space="preserve">      │          approved (bool), quality_badge, regulatory_note</w:t>
            </w:r>
          </w:p>
          <w:p>
            <w:pPr>
              <w:spacing w:before="0" w:after="40"/>
            </w:pPr>
            <w:r>
              <w:rPr>
                <w:rFonts w:ascii="Courier New" w:cs="Courier New" w:eastAsia="Courier New" w:hAnsi="Courier New"/>
                <w:color w:val="1A3A5C"/>
                <w:sz w:val="18"/>
                <w:szCs w:val="18"/>
              </w:rPr>
              <w:t xml:space="preserve">      ↓</w:t>
            </w:r>
          </w:p>
          <w:p>
            <w:pPr>
              <w:spacing w:before="0" w:after="40"/>
            </w:pPr>
            <w:r>
              <w:rPr>
                <w:rFonts w:ascii="Courier New" w:cs="Courier New" w:eastAsia="Courier New" w:hAnsi="Courier New"/>
                <w:color w:val="1A3A5C"/>
                <w:sz w:val="18"/>
                <w:szCs w:val="18"/>
              </w:rPr>
              <w:t xml:space="preserve">📋  CLINICAL REPORT SYNTHESIZER  [Gemini 2.5 Flash]</w:t>
            </w:r>
          </w:p>
          <w:p>
            <w:pPr>
              <w:spacing w:before="0" w:after="40"/>
            </w:pPr>
            <w:r>
              <w:rPr>
                <w:rFonts w:ascii="Courier New" w:cs="Courier New" w:eastAsia="Courier New" w:hAnsi="Courier New"/>
                <w:color w:val="1A3A5C"/>
                <w:sz w:val="18"/>
                <w:szCs w:val="18"/>
              </w:rPr>
              <w:t xml:space="preserve">      │  Input [1]: original description</w:t>
            </w:r>
          </w:p>
          <w:p>
            <w:pPr>
              <w:spacing w:before="0" w:after="40"/>
            </w:pPr>
            <w:r>
              <w:rPr>
                <w:rFonts w:ascii="Courier New" w:cs="Courier New" w:eastAsia="Courier New" w:hAnsi="Courier New"/>
                <w:color w:val="1A3A5C"/>
                <w:sz w:val="18"/>
                <w:szCs w:val="18"/>
              </w:rPr>
              <w:t xml:space="preserve">      │  Input [2]: features JSON (direct node reference)</w:t>
            </w:r>
          </w:p>
          <w:p>
            <w:pPr>
              <w:spacing w:before="0" w:after="40"/>
            </w:pPr>
            <w:r>
              <w:rPr>
                <w:rFonts w:ascii="Courier New" w:cs="Courier New" w:eastAsia="Courier New" w:hAnsi="Courier New"/>
                <w:color w:val="1A3A5C"/>
                <w:sz w:val="18"/>
                <w:szCs w:val="18"/>
              </w:rPr>
              <w:t xml:space="preserve">      │  Input [3]: differentials JSON (direct node reference)</w:t>
            </w:r>
          </w:p>
          <w:p>
            <w:pPr>
              <w:spacing w:before="0" w:after="40"/>
            </w:pPr>
            <w:r>
              <w:rPr>
                <w:rFonts w:ascii="Courier New" w:cs="Courier New" w:eastAsia="Courier New" w:hAnsi="Courier New"/>
                <w:color w:val="1A3A5C"/>
                <w:sz w:val="18"/>
                <w:szCs w:val="18"/>
              </w:rPr>
              <w:t xml:space="preserve">      │  Input [4]: triage JSON (direct node reference)</w:t>
            </w:r>
          </w:p>
          <w:p>
            <w:pPr>
              <w:spacing w:before="0" w:after="40"/>
            </w:pPr>
            <w:r>
              <w:rPr>
                <w:rFonts w:ascii="Courier New" w:cs="Courier New" w:eastAsia="Courier New" w:hAnsi="Courier New"/>
                <w:color w:val="1A3A5C"/>
                <w:sz w:val="18"/>
                <w:szCs w:val="18"/>
              </w:rPr>
              <w:t xml:space="preserve">      │  Input [5]: safety JSON ($json.output from Safety Agent)</w:t>
            </w:r>
          </w:p>
          <w:p>
            <w:pPr>
              <w:spacing w:before="0" w:after="40"/>
            </w:pPr>
            <w:r>
              <w:rPr>
                <w:rFonts w:ascii="Courier New" w:cs="Courier New" w:eastAsia="Courier New" w:hAnsi="Courier New"/>
                <w:color w:val="1A3A5C"/>
                <w:sz w:val="18"/>
                <w:szCs w:val="18"/>
              </w:rPr>
              <w:t xml:space="preserve">      │</w:t>
            </w:r>
          </w:p>
          <w:p>
            <w:pPr>
              <w:spacing w:before="0" w:after="40"/>
            </w:pPr>
            <w:r>
              <w:rPr>
                <w:rFonts w:ascii="Courier New" w:cs="Courier New" w:eastAsia="Courier New" w:hAnsi="Courier New"/>
                <w:color w:val="1A3A5C"/>
                <w:sz w:val="18"/>
                <w:szCs w:val="18"/>
              </w:rPr>
              <w:t xml:space="preserve">      ├── SAFETY GATE: approved=false → ⚠️ HUMAN REVIEW REQUIRED</w:t>
            </w:r>
          </w:p>
          <w:p>
            <w:pPr>
              <w:spacing w:before="0" w:after="0"/>
            </w:pPr>
            <w:r>
              <w:rPr>
                <w:rFonts w:ascii="Courier New" w:cs="Courier New" w:eastAsia="Courier New" w:hAnsi="Courier New"/>
                <w:color w:val="1A3A5C"/>
                <w:sz w:val="18"/>
                <w:szCs w:val="18"/>
              </w:rPr>
              <w:t xml:space="preserve">      └── approved=true  → Structured clinical report with mandatory disclaimer</w:t>
            </w:r>
          </w:p>
        </w:tc>
      </w:tr>
    </w:tbl>
    <w:p>
      <w:pPr>
        <w:spacing w:before="200" w:after="0"/>
      </w:pPr>
      <w:r>
        <w:rPr>
          <w:rFonts w:ascii="Arial" w:cs="Arial" w:eastAsia="Arial" w:hAnsi="Arial"/>
          <w:sz w:val="22"/>
          <w:szCs w:val="22"/>
        </w:rPr>
        <w:t xml:space="preserve"/>
      </w:r>
    </w:p>
    <w:p>
      <w:pPr>
        <w:pStyle w:val="Heading2"/>
      </w:pPr>
      <w:r>
        <w:rPr>
          <w:rFonts w:ascii="Arial" w:cs="Arial" w:eastAsia="Arial" w:hAnsi="Arial"/>
          <w:b/>
          <w:bCs/>
          <w:color w:val="1B5E8B"/>
          <w:sz w:val="28"/>
          <w:szCs w:val="28"/>
        </w:rPr>
        <w:t xml:space="preserve">3.2  Agent Roles &amp;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none" w:color="FFFFFF" w:sz="0"/>
              <w:left w:val="none" w:color="FFFFFF" w:sz="0"/>
              <w:bottom w:val="none" w:color="FFFFFF" w:sz="0"/>
              <w:right w:val="none" w:color="FFFFFF" w:sz="0"/>
            </w:tcBorders>
            <w:shd w:fill="0E7C86" w:val="clear"/>
            <w:tcMar>
              <w:top w:type="dxa" w:w="120"/>
              <w:left w:type="dxa" w:w="100"/>
              <w:bottom w:type="dxa" w:w="120"/>
              <w:right w:type="dxa" w:w="100"/>
            </w:tcMar>
            <w:vAlign w:val="center"/>
          </w:tcPr>
          <w:p>
            <w:pPr>
              <w:jc w:val="center"/>
            </w:pPr>
            <w:r>
              <w:rPr>
                <w:rFonts w:ascii="Arial" w:cs="Arial" w:eastAsia="Arial" w:hAnsi="Arial"/>
                <w:sz w:val="36"/>
                <w:szCs w:val="36"/>
              </w:rPr>
              <w:t xml:space="preserve">🔬</w:t>
            </w:r>
          </w:p>
          <w:p>
            <w:pPr>
              <w:spacing w:before="40"/>
              <w:jc w:val="center"/>
            </w:pPr>
            <w:r>
              <w:rPr>
                <w:rFonts w:ascii="Arial" w:cs="Arial" w:eastAsia="Arial" w:hAnsi="Arial"/>
                <w:b/>
                <w:bCs/>
                <w:color w:val="FFFFFF"/>
                <w:sz w:val="16"/>
                <w:szCs w:val="16"/>
              </w:rPr>
              <w:t xml:space="preserve">EXTRACTOR</w:t>
            </w:r>
          </w:p>
        </w:tc>
        <w:tc>
          <w:tcPr>
            <w:tcW w:type="dxa" w:w="6560"/>
            <w:tcBorders>
              <w:top w:val="none" w:color="FFFFFF" w:sz="0"/>
              <w:left w:val="none" w:color="FFFFFF" w:sz="0"/>
              <w:bottom w:val="none" w:color="FFFFFF" w:sz="0"/>
              <w:right w:val="none" w:color="FFFFFF" w:sz="0"/>
            </w:tcBorders>
            <w:shd w:fill="E0F4F5" w:val="clear"/>
            <w:tcMar>
              <w:top w:type="dxa" w:w="100"/>
              <w:left w:type="dxa" w:w="180"/>
              <w:bottom w:type="dxa" w:w="100"/>
              <w:right w:type="dxa" w:w="120"/>
            </w:tcMar>
          </w:tcPr>
          <w:p>
            <w:r>
              <w:rPr>
                <w:rFonts w:ascii="Arial" w:cs="Arial" w:eastAsia="Arial" w:hAnsi="Arial"/>
                <w:sz w:val="20"/>
                <w:szCs w:val="20"/>
              </w:rPr>
              <w:t xml:space="preserve">Converts free-text clinical description into a typed JSON structure. Extracts ONLY explicitly stated information. Flags ambiguities and prompt injection attempts.</w:t>
            </w:r>
          </w:p>
        </w:tc>
        <w:tc>
          <w:tcPr>
            <w:tcW w:type="dxa" w:w="1600"/>
            <w:tcBorders>
              <w:top w:val="none" w:color="FFFFFF" w:sz="0"/>
              <w:left w:val="none" w:color="FFFFFF" w:sz="0"/>
              <w:bottom w:val="none" w:color="FFFFFF" w:sz="0"/>
              <w:right w:val="none" w:color="FFFFFF" w:sz="0"/>
            </w:tcBorders>
            <w:shd w:fill="0E7C86"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JSON Output Only</w:t>
            </w:r>
          </w:p>
        </w:tc>
      </w:tr>
    </w:tbl>
    <w:p>
      <w:pPr>
        <w:spacing w:before="8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none" w:color="FFFFFF" w:sz="0"/>
              <w:left w:val="none" w:color="FFFFFF" w:sz="0"/>
              <w:bottom w:val="none" w:color="FFFFFF" w:sz="0"/>
              <w:right w:val="none" w:color="FFFFFF" w:sz="0"/>
            </w:tcBorders>
            <w:shd w:fill="1B5E8B" w:val="clear"/>
            <w:tcMar>
              <w:top w:type="dxa" w:w="120"/>
              <w:left w:type="dxa" w:w="100"/>
              <w:bottom w:type="dxa" w:w="120"/>
              <w:right w:type="dxa" w:w="100"/>
            </w:tcMar>
            <w:vAlign w:val="center"/>
          </w:tcPr>
          <w:p>
            <w:pPr>
              <w:jc w:val="center"/>
            </w:pPr>
            <w:r>
              <w:rPr>
                <w:rFonts w:ascii="Arial" w:cs="Arial" w:eastAsia="Arial" w:hAnsi="Arial"/>
                <w:sz w:val="36"/>
                <w:szCs w:val="36"/>
              </w:rPr>
              <w:t xml:space="preserve">🧠</w:t>
            </w:r>
          </w:p>
          <w:p>
            <w:pPr>
              <w:spacing w:before="40"/>
              <w:jc w:val="center"/>
            </w:pPr>
            <w:r>
              <w:rPr>
                <w:rFonts w:ascii="Arial" w:cs="Arial" w:eastAsia="Arial" w:hAnsi="Arial"/>
                <w:b/>
                <w:bCs/>
                <w:color w:val="FFFFFF"/>
                <w:sz w:val="16"/>
                <w:szCs w:val="16"/>
              </w:rPr>
              <w:t xml:space="preserve">DIAGNOSIS</w:t>
            </w:r>
          </w:p>
        </w:tc>
        <w:tc>
          <w:tcPr>
            <w:tcW w:type="dxa" w:w="6560"/>
            <w:tcBorders>
              <w:top w:val="none" w:color="FFFFFF" w:sz="0"/>
              <w:left w:val="none" w:color="FFFFFF" w:sz="0"/>
              <w:bottom w:val="none" w:color="FFFFFF" w:sz="0"/>
              <w:right w:val="none" w:color="FFFFFF" w:sz="0"/>
            </w:tcBorders>
            <w:shd w:fill="D6E8F4" w:val="clear"/>
            <w:tcMar>
              <w:top w:type="dxa" w:w="100"/>
              <w:left w:type="dxa" w:w="180"/>
              <w:bottom w:type="dxa" w:w="100"/>
              <w:right w:type="dxa" w:w="120"/>
            </w:tcMar>
          </w:tcPr>
          <w:p>
            <w:r>
              <w:rPr>
                <w:rFonts w:ascii="Arial" w:cs="Arial" w:eastAsia="Arial" w:hAnsi="Arial"/>
                <w:sz w:val="20"/>
                <w:szCs w:val="20"/>
              </w:rPr>
              <w:t xml:space="preserve">Generates ranked differential diagnoses. Each hypothesis requires explicit supporting features AND counter-evidence from the extraction JSON. Cannot diagnose on base rates alone.</w:t>
            </w:r>
          </w:p>
        </w:tc>
        <w:tc>
          <w:tcPr>
            <w:tcW w:type="dxa" w:w="1600"/>
            <w:tcBorders>
              <w:top w:val="none" w:color="FFFFFF" w:sz="0"/>
              <w:left w:val="none" w:color="FFFFFF" w:sz="0"/>
              <w:bottom w:val="none" w:color="FFFFFF" w:sz="0"/>
              <w:right w:val="none" w:color="FFFFFF" w:sz="0"/>
            </w:tcBorders>
            <w:shd w:fill="1B5E8B"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Evidence-Grounded</w:t>
            </w:r>
          </w:p>
        </w:tc>
      </w:tr>
    </w:tbl>
    <w:p>
      <w:pPr>
        <w:spacing w:before="8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none" w:color="FFFFFF" w:sz="0"/>
              <w:left w:val="none" w:color="FFFFFF" w:sz="0"/>
              <w:bottom w:val="none" w:color="FFFFFF" w:sz="0"/>
              <w:right w:val="none" w:color="FFFFFF" w:sz="0"/>
            </w:tcBorders>
            <w:shd w:fill="B54D00" w:val="clear"/>
            <w:tcMar>
              <w:top w:type="dxa" w:w="120"/>
              <w:left w:type="dxa" w:w="100"/>
              <w:bottom w:type="dxa" w:w="120"/>
              <w:right w:type="dxa" w:w="100"/>
            </w:tcMar>
            <w:vAlign w:val="center"/>
          </w:tcPr>
          <w:p>
            <w:pPr>
              <w:jc w:val="center"/>
            </w:pPr>
            <w:r>
              <w:rPr>
                <w:rFonts w:ascii="Arial" w:cs="Arial" w:eastAsia="Arial" w:hAnsi="Arial"/>
                <w:sz w:val="36"/>
                <w:szCs w:val="36"/>
              </w:rPr>
              <w:t xml:space="preserve">⚠️</w:t>
            </w:r>
          </w:p>
          <w:p>
            <w:pPr>
              <w:spacing w:before="40"/>
              <w:jc w:val="center"/>
            </w:pPr>
            <w:r>
              <w:rPr>
                <w:rFonts w:ascii="Arial" w:cs="Arial" w:eastAsia="Arial" w:hAnsi="Arial"/>
                <w:b/>
                <w:bCs/>
                <w:color w:val="FFFFFF"/>
                <w:sz w:val="16"/>
                <w:szCs w:val="16"/>
              </w:rPr>
              <w:t xml:space="preserve">TRIAGE</w:t>
            </w:r>
          </w:p>
        </w:tc>
        <w:tc>
          <w:tcPr>
            <w:tcW w:type="dxa" w:w="6560"/>
            <w:tcBorders>
              <w:top w:val="none" w:color="FFFFFF" w:sz="0"/>
              <w:left w:val="none" w:color="FFFFFF" w:sz="0"/>
              <w:bottom w:val="none" w:color="FFFFFF" w:sz="0"/>
              <w:right w:val="none" w:color="FFFFFF" w:sz="0"/>
            </w:tcBorders>
            <w:shd w:fill="FFF0E0" w:val="clear"/>
            <w:tcMar>
              <w:top w:type="dxa" w:w="100"/>
              <w:left w:type="dxa" w:w="180"/>
              <w:bottom w:type="dxa" w:w="100"/>
              <w:right w:type="dxa" w:w="120"/>
            </w:tcMar>
          </w:tcPr>
          <w:p>
            <w:r>
              <w:rPr>
                <w:rFonts w:ascii="Arial" w:cs="Arial" w:eastAsia="Arial" w:hAnsi="Arial"/>
                <w:sz w:val="20"/>
                <w:szCs w:val="20"/>
              </w:rPr>
              <w:t xml:space="preserve">Assigns MTS-aligned triage level (Immediate/Urgent/Standard/Non-Urgent/Routine) with red flags, immediate actions, and reliability caveat. Elevates to URGENT minimum if critical-to-exclude present.</w:t>
            </w:r>
          </w:p>
        </w:tc>
        <w:tc>
          <w:tcPr>
            <w:tcW w:type="dxa" w:w="1600"/>
            <w:tcBorders>
              <w:top w:val="none" w:color="FFFFFF" w:sz="0"/>
              <w:left w:val="none" w:color="FFFFFF" w:sz="0"/>
              <w:bottom w:val="none" w:color="FFFFFF" w:sz="0"/>
              <w:right w:val="none" w:color="FFFFFF" w:sz="0"/>
            </w:tcBorders>
            <w:shd w:fill="B54D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5-Level MTS</w:t>
            </w:r>
          </w:p>
        </w:tc>
      </w:tr>
    </w:tbl>
    <w:p>
      <w:pPr>
        <w:spacing w:before="8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none" w:color="FFFFFF" w:sz="0"/>
              <w:left w:val="none" w:color="FFFFFF" w:sz="0"/>
              <w:bottom w:val="none" w:color="FFFFFF" w:sz="0"/>
              <w:right w:val="none" w:color="FFFFFF" w:sz="0"/>
            </w:tcBorders>
            <w:shd w:fill="C62828" w:val="clear"/>
            <w:tcMar>
              <w:top w:type="dxa" w:w="120"/>
              <w:left w:type="dxa" w:w="100"/>
              <w:bottom w:type="dxa" w:w="120"/>
              <w:right w:type="dxa" w:w="100"/>
            </w:tcMar>
            <w:vAlign w:val="center"/>
          </w:tcPr>
          <w:p>
            <w:pPr>
              <w:jc w:val="center"/>
            </w:pPr>
            <w:r>
              <w:rPr>
                <w:rFonts w:ascii="Arial" w:cs="Arial" w:eastAsia="Arial" w:hAnsi="Arial"/>
                <w:sz w:val="36"/>
                <w:szCs w:val="36"/>
              </w:rPr>
              <w:t xml:space="preserve">🛡️</w:t>
            </w:r>
          </w:p>
          <w:p>
            <w:pPr>
              <w:spacing w:before="40"/>
              <w:jc w:val="center"/>
            </w:pPr>
            <w:r>
              <w:rPr>
                <w:rFonts w:ascii="Arial" w:cs="Arial" w:eastAsia="Arial" w:hAnsi="Arial"/>
                <w:b/>
                <w:bCs/>
                <w:color w:val="FFFFFF"/>
                <w:sz w:val="16"/>
                <w:szCs w:val="16"/>
              </w:rPr>
              <w:t xml:space="preserve">SAFETY</w:t>
            </w:r>
          </w:p>
        </w:tc>
        <w:tc>
          <w:tcPr>
            <w:tcW w:type="dxa" w:w="6560"/>
            <w:tcBorders>
              <w:top w:val="none" w:color="FFFFFF" w:sz="0"/>
              <w:left w:val="none" w:color="FFFFFF" w:sz="0"/>
              <w:bottom w:val="none" w:color="FFFFFF" w:sz="0"/>
              <w:right w:val="none" w:color="FFFFFF" w:sz="0"/>
            </w:tcBorders>
            <w:shd w:fill="FDECEA" w:val="clear"/>
            <w:tcMar>
              <w:top w:type="dxa" w:w="100"/>
              <w:left w:type="dxa" w:w="180"/>
              <w:bottom w:type="dxa" w:w="100"/>
              <w:right w:type="dxa" w:w="120"/>
            </w:tcMar>
          </w:tcPr>
          <w:p>
            <w:r>
              <w:rPr>
                <w:rFonts w:ascii="Arial" w:cs="Arial" w:eastAsia="Arial" w:hAnsi="Arial"/>
                <w:sz w:val="20"/>
                <w:szCs w:val="20"/>
              </w:rPr>
              <w:t xml:space="preserve">Audits all upstream outputs across 6 risk dimensions. Produces ONLY a JSON evaluation — zero content passthrough. Blocks delivery if safety_score &lt; 7 or omission_risk &gt; 1.</w:t>
            </w:r>
          </w:p>
        </w:tc>
        <w:tc>
          <w:tcPr>
            <w:tcW w:type="dxa" w:w="1600"/>
            <w:tcBorders>
              <w:top w:val="none" w:color="FFFFFF" w:sz="0"/>
              <w:left w:val="none" w:color="FFFFFF" w:sz="0"/>
              <w:bottom w:val="none" w:color="FFFFFF" w:sz="0"/>
              <w:right w:val="none" w:color="FFFFFF" w:sz="0"/>
            </w:tcBorders>
            <w:shd w:fill="C62828"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6-Dim Audit</w:t>
            </w:r>
          </w:p>
        </w:tc>
      </w:tr>
    </w:tbl>
    <w:p>
      <w:pPr>
        <w:spacing w:before="8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none" w:color="FFFFFF" w:sz="0"/>
              <w:left w:val="none" w:color="FFFFFF" w:sz="0"/>
              <w:bottom w:val="none" w:color="FFFFFF" w:sz="0"/>
              <w:right w:val="none" w:color="FFFFFF" w:sz="0"/>
            </w:tcBorders>
            <w:shd w:fill="1B6B3A" w:val="clear"/>
            <w:tcMar>
              <w:top w:type="dxa" w:w="120"/>
              <w:left w:type="dxa" w:w="100"/>
              <w:bottom w:type="dxa" w:w="120"/>
              <w:right w:type="dxa" w:w="100"/>
            </w:tcMar>
            <w:vAlign w:val="center"/>
          </w:tcPr>
          <w:p>
            <w:pPr>
              <w:jc w:val="center"/>
            </w:pPr>
            <w:r>
              <w:rPr>
                <w:rFonts w:ascii="Arial" w:cs="Arial" w:eastAsia="Arial" w:hAnsi="Arial"/>
                <w:sz w:val="36"/>
                <w:szCs w:val="36"/>
              </w:rPr>
              <w:t xml:space="preserve">📋</w:t>
            </w:r>
          </w:p>
          <w:p>
            <w:pPr>
              <w:spacing w:before="40"/>
              <w:jc w:val="center"/>
            </w:pPr>
            <w:r>
              <w:rPr>
                <w:rFonts w:ascii="Arial" w:cs="Arial" w:eastAsia="Arial" w:hAnsi="Arial"/>
                <w:b/>
                <w:bCs/>
                <w:color w:val="FFFFFF"/>
                <w:sz w:val="16"/>
                <w:szCs w:val="16"/>
              </w:rPr>
              <w:t xml:space="preserve">SYNTHESIZER</w:t>
            </w:r>
          </w:p>
        </w:tc>
        <w:tc>
          <w:tcPr>
            <w:tcW w:type="dxa" w:w="6560"/>
            <w:tcBorders>
              <w:top w:val="none" w:color="FFFFFF" w:sz="0"/>
              <w:left w:val="none" w:color="FFFFFF" w:sz="0"/>
              <w:bottom w:val="none" w:color="FFFFFF" w:sz="0"/>
              <w:right w:val="none" w:color="FFFFFF" w:sz="0"/>
            </w:tcBorders>
            <w:shd w:fill="E2F4EA" w:val="clear"/>
            <w:tcMar>
              <w:top w:type="dxa" w:w="100"/>
              <w:left w:type="dxa" w:w="180"/>
              <w:bottom w:type="dxa" w:w="100"/>
              <w:right w:type="dxa" w:w="120"/>
            </w:tcMar>
          </w:tcPr>
          <w:p>
            <w:r>
              <w:rPr>
                <w:rFonts w:ascii="Arial" w:cs="Arial" w:eastAsia="Arial" w:hAnsi="Arial"/>
                <w:sz w:val="20"/>
                <w:szCs w:val="20"/>
              </w:rPr>
              <w:t xml:space="preserve">Assembles structured clinical report. Enforces Safety Gate. Adds mandatory AI disclaimer. Language-adaptive. Never states diagnosis as fact — always conditional clinical language.</w:t>
            </w:r>
          </w:p>
        </w:tc>
        <w:tc>
          <w:tcPr>
            <w:tcW w:type="dxa" w:w="1600"/>
            <w:tcBorders>
              <w:top w:val="none" w:color="FFFFFF" w:sz="0"/>
              <w:left w:val="none" w:color="FFFFFF" w:sz="0"/>
              <w:bottom w:val="none" w:color="FFFFFF" w:sz="0"/>
              <w:right w:val="none" w:color="FFFFFF" w:sz="0"/>
            </w:tcBorders>
            <w:shd w:fill="1B6B3A"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Final Report</w:t>
            </w:r>
          </w:p>
        </w:tc>
      </w:tr>
    </w:tbl>
    <w:p>
      <w:pPr>
        <w:spacing w:before="200" w:after="0"/>
      </w:pPr>
      <w:r>
        <w:rPr>
          <w:rFonts w:ascii="Arial" w:cs="Arial" w:eastAsia="Arial" w:hAnsi="Arial"/>
          <w:sz w:val="22"/>
          <w:szCs w:val="22"/>
        </w:rPr>
        <w:t xml:space="preserve"/>
      </w:r>
    </w:p>
    <w:p>
      <w:pPr>
        <w:pBdr>
          <w:bottom w:val="single" w:color="D6E8F4" w:sz="4" w:space="1"/>
        </w:pBdr>
      </w:pPr>
      <w:r>
        <w:rPr>
          <w:rFonts w:ascii="Arial" w:cs="Arial" w:eastAsia="Arial" w:hAnsi="Arial"/>
          <w:sz w:val="22"/>
          <w:szCs w:val="22"/>
        </w:rPr>
        <w:t xml:space="preserve"/>
      </w:r>
    </w:p>
    <w:p>
      <w:r>
        <w:br w:type="page"/>
      </w:r>
    </w:p>
    <w:p>
      <w:pPr>
        <w:pStyle w:val="Heading1"/>
      </w:pPr>
      <w:r>
        <w:rPr>
          <w:rFonts w:ascii="Arial" w:cs="Arial" w:eastAsia="Arial" w:hAnsi="Arial"/>
          <w:b/>
          <w:bCs/>
          <w:color w:val="1B5E8B"/>
          <w:sz w:val="34"/>
          <w:szCs w:val="34"/>
        </w:rPr>
        <w:t xml:space="preserve">4. Responsible AI Framework</w:t>
      </w:r>
    </w:p>
    <w:p>
      <w:pPr>
        <w:pStyle w:val="Heading2"/>
      </w:pPr>
      <w:r>
        <w:rPr>
          <w:rFonts w:ascii="Arial" w:cs="Arial" w:eastAsia="Arial" w:hAnsi="Arial"/>
          <w:b/>
          <w:bCs/>
          <w:color w:val="1B5E8B"/>
          <w:sz w:val="28"/>
          <w:szCs w:val="28"/>
        </w:rPr>
        <w:t xml:space="preserve">4.1  The 6-Dimension Safety Model</w:t>
      </w:r>
    </w:p>
    <w:p>
      <w:pPr>
        <w:spacing w:before="0" w:after="120"/>
      </w:pPr>
      <w:r>
        <w:rPr>
          <w:rFonts w:ascii="Arial" w:cs="Arial" w:eastAsia="Arial" w:hAnsi="Arial"/>
          <w:sz w:val="22"/>
          <w:szCs w:val="22"/>
        </w:rPr>
        <w:t xml:space="preserve">The Safety &amp; Compliance Agent applies a quantified risk audit across six dimensions specifically designed for clinical AI. Each dimension is scored 0–2; the safety score is 10 minus the 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720"/>
        <w:gridCol w:w="1720"/>
        <w:gridCol w:w="1720"/>
      </w:tblGrid>
      <w:tr>
        <w:tc>
          <w:tcPr>
            <w:tcW w:type="dxa" w:w="1800"/>
            <w:tcBorders>
              <w:top w:val="single" w:color="BBCFE0" w:sz="1"/>
              <w:left w:val="single" w:color="BBCFE0" w:sz="1"/>
              <w:bottom w:val="single" w:color="BBCFE0" w:sz="1"/>
              <w:right w:val="single" w:color="BBCFE0" w:sz="1"/>
            </w:tcBorders>
            <w:shd w:fill="D6E8F4" w:val="clear"/>
            <w:tcMar>
              <w:top w:type="dxa" w:w="80"/>
              <w:left w:type="dxa" w:w="120"/>
              <w:bottom w:type="dxa" w:w="80"/>
              <w:right w:type="dxa" w:w="120"/>
            </w:tcMar>
          </w:tcPr>
          <w:p>
            <w:r>
              <w:rPr>
                <w:rFonts w:ascii="Arial" w:cs="Arial" w:eastAsia="Arial" w:hAnsi="Arial"/>
                <w:b/>
                <w:bCs/>
                <w:color w:val="1B5E8B"/>
                <w:sz w:val="20"/>
                <w:szCs w:val="20"/>
              </w:rPr>
              <w:t xml:space="preserve">Dimension</w:t>
            </w:r>
          </w:p>
        </w:tc>
        <w:tc>
          <w:tcPr>
            <w:tcW w:type="dxa" w:w="2400"/>
            <w:tcBorders>
              <w:top w:val="single" w:color="BBCFE0" w:sz="1"/>
              <w:left w:val="single" w:color="BBCFE0" w:sz="1"/>
              <w:bottom w:val="single" w:color="BBCFE0" w:sz="1"/>
              <w:right w:val="single" w:color="BBCFE0" w:sz="1"/>
            </w:tcBorders>
            <w:shd w:fill="D6E8F4" w:val="clear"/>
            <w:tcMar>
              <w:top w:type="dxa" w:w="80"/>
              <w:left w:type="dxa" w:w="120"/>
              <w:bottom w:type="dxa" w:w="80"/>
              <w:right w:type="dxa" w:w="120"/>
            </w:tcMar>
          </w:tcPr>
          <w:p>
            <w:r>
              <w:rPr>
                <w:rFonts w:ascii="Arial" w:cs="Arial" w:eastAsia="Arial" w:hAnsi="Arial"/>
                <w:b/>
                <w:bCs/>
                <w:color w:val="1B5E8B"/>
                <w:sz w:val="20"/>
                <w:szCs w:val="20"/>
              </w:rPr>
              <w:t xml:space="preserve">What It Detects</w:t>
            </w:r>
          </w:p>
        </w:tc>
        <w:tc>
          <w:tcPr>
            <w:tcW w:type="dxa" w:w="1720"/>
            <w:tcBorders>
              <w:top w:val="single" w:color="BBCFE0" w:sz="1"/>
              <w:left w:val="single" w:color="BBCFE0" w:sz="1"/>
              <w:bottom w:val="single" w:color="BBCFE0" w:sz="1"/>
              <w:right w:val="single" w:color="BBCFE0" w:sz="1"/>
            </w:tcBorders>
            <w:shd w:fill="D6E8F4" w:val="clear"/>
            <w:tcMar>
              <w:top w:type="dxa" w:w="80"/>
              <w:left w:type="dxa" w:w="120"/>
              <w:bottom w:type="dxa" w:w="80"/>
              <w:right w:type="dxa" w:w="120"/>
            </w:tcMar>
          </w:tcPr>
          <w:p>
            <w:r>
              <w:rPr>
                <w:rFonts w:ascii="Arial" w:cs="Arial" w:eastAsia="Arial" w:hAnsi="Arial"/>
                <w:b/>
                <w:bCs/>
                <w:color w:val="1B5E8B"/>
                <w:sz w:val="20"/>
                <w:szCs w:val="20"/>
              </w:rPr>
              <w:t xml:space="preserve">Score 0</w:t>
            </w:r>
          </w:p>
        </w:tc>
        <w:tc>
          <w:tcPr>
            <w:tcW w:type="dxa" w:w="1720"/>
            <w:tcBorders>
              <w:top w:val="single" w:color="BBCFE0" w:sz="1"/>
              <w:left w:val="single" w:color="BBCFE0" w:sz="1"/>
              <w:bottom w:val="single" w:color="BBCFE0" w:sz="1"/>
              <w:right w:val="single" w:color="BBCFE0" w:sz="1"/>
            </w:tcBorders>
            <w:shd w:fill="D6E8F4" w:val="clear"/>
            <w:tcMar>
              <w:top w:type="dxa" w:w="80"/>
              <w:left w:type="dxa" w:w="120"/>
              <w:bottom w:type="dxa" w:w="80"/>
              <w:right w:type="dxa" w:w="120"/>
            </w:tcMar>
          </w:tcPr>
          <w:p>
            <w:r>
              <w:rPr>
                <w:rFonts w:ascii="Arial" w:cs="Arial" w:eastAsia="Arial" w:hAnsi="Arial"/>
                <w:b/>
                <w:bCs/>
                <w:color w:val="1B5E8B"/>
                <w:sz w:val="20"/>
                <w:szCs w:val="20"/>
              </w:rPr>
              <w:t xml:space="preserve">Score 1</w:t>
            </w:r>
          </w:p>
        </w:tc>
        <w:tc>
          <w:tcPr>
            <w:tcW w:type="dxa" w:w="1720"/>
            <w:tcBorders>
              <w:top w:val="single" w:color="BBCFE0" w:sz="1"/>
              <w:left w:val="single" w:color="BBCFE0" w:sz="1"/>
              <w:bottom w:val="single" w:color="BBCFE0" w:sz="1"/>
              <w:right w:val="single" w:color="BBCFE0" w:sz="1"/>
            </w:tcBorders>
            <w:shd w:fill="D6E8F4" w:val="clear"/>
            <w:tcMar>
              <w:top w:type="dxa" w:w="80"/>
              <w:left w:type="dxa" w:w="120"/>
              <w:bottom w:type="dxa" w:w="80"/>
              <w:right w:type="dxa" w:w="120"/>
            </w:tcMar>
          </w:tcPr>
          <w:p>
            <w:r>
              <w:rPr>
                <w:rFonts w:ascii="Arial" w:cs="Arial" w:eastAsia="Arial" w:hAnsi="Arial"/>
                <w:b/>
                <w:bCs/>
                <w:color w:val="1B5E8B"/>
                <w:sz w:val="20"/>
                <w:szCs w:val="20"/>
              </w:rPr>
              <w:t xml:space="preserve">Score 2</w:t>
            </w:r>
          </w:p>
        </w:tc>
      </w:tr>
      <w:tr>
        <w:tc>
          <w:tcPr>
            <w:tcW w:type="dxa" w:w="18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Hallucination Risk</w:t>
            </w:r>
          </w:p>
        </w:tc>
        <w:tc>
          <w:tcPr>
            <w:tcW w:type="dxa" w:w="24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Invented medical facts, drug names, ICD codes</w:t>
            </w:r>
          </w:p>
        </w:tc>
        <w:tc>
          <w:tcPr>
            <w:tcW w:type="dxa" w:w="172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grounded in input</w:t>
            </w:r>
          </w:p>
        </w:tc>
        <w:tc>
          <w:tcPr>
            <w:tcW w:type="dxa" w:w="172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Unverifiable references</w:t>
            </w:r>
          </w:p>
        </w:tc>
        <w:tc>
          <w:tcPr>
            <w:tcW w:type="dxa" w:w="172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Clear fabrication</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Overconfidence Risk</w:t>
            </w:r>
          </w:p>
        </w:tc>
        <w:tc>
          <w:tcPr>
            <w:tcW w:type="dxa" w:w="2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 confidence without sufficient evidence</w:t>
            </w:r>
          </w:p>
        </w:tc>
        <w:tc>
          <w:tcPr>
            <w:tcW w:type="dxa" w:w="17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Confidence matches evidence</w:t>
            </w:r>
          </w:p>
        </w:tc>
        <w:tc>
          <w:tcPr>
            <w:tcW w:type="dxa" w:w="17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Minor calibration issues</w:t>
            </w:r>
          </w:p>
        </w:tc>
        <w:tc>
          <w:tcPr>
            <w:tcW w:type="dxa" w:w="17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Confidence &gt;&gt; evidence</w:t>
            </w:r>
          </w:p>
        </w:tc>
      </w:tr>
      <w:tr>
        <w:tc>
          <w:tcPr>
            <w:tcW w:type="dxa" w:w="18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Anchoring Bias Risk</w:t>
            </w:r>
          </w:p>
        </w:tc>
        <w:tc>
          <w:tcPr>
            <w:tcW w:type="dxa" w:w="24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Premature closure on most common diagnosis</w:t>
            </w:r>
          </w:p>
        </w:tc>
        <w:tc>
          <w:tcPr>
            <w:tcW w:type="dxa" w:w="172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differential explored</w:t>
            </w:r>
          </w:p>
        </w:tc>
        <w:tc>
          <w:tcPr>
            <w:tcW w:type="dxa" w:w="172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Narrow exploration</w:t>
            </w:r>
          </w:p>
        </w:tc>
        <w:tc>
          <w:tcPr>
            <w:tcW w:type="dxa" w:w="172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Single diagnosis anchored</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Omission Risk</w:t>
            </w:r>
          </w:p>
        </w:tc>
        <w:tc>
          <w:tcPr>
            <w:tcW w:type="dxa" w:w="2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Life-threatening diagnoses missed or under-weighted</w:t>
            </w:r>
          </w:p>
        </w:tc>
        <w:tc>
          <w:tcPr>
            <w:tcW w:type="dxa" w:w="17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critical conditions listed</w:t>
            </w:r>
          </w:p>
        </w:tc>
        <w:tc>
          <w:tcPr>
            <w:tcW w:type="dxa" w:w="17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Minor omission</w:t>
            </w:r>
          </w:p>
        </w:tc>
        <w:tc>
          <w:tcPr>
            <w:tcW w:type="dxa" w:w="17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Critical condition absent</w:t>
            </w:r>
          </w:p>
        </w:tc>
      </w:tr>
      <w:tr>
        <w:tc>
          <w:tcPr>
            <w:tcW w:type="dxa" w:w="18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Privacy Compliance</w:t>
            </w:r>
          </w:p>
        </w:tc>
        <w:tc>
          <w:tcPr>
            <w:tcW w:type="dxa" w:w="24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PII beyond minimum necessary for clinical care</w:t>
            </w:r>
          </w:p>
        </w:tc>
        <w:tc>
          <w:tcPr>
            <w:tcW w:type="dxa" w:w="172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Minimal necessary data only</w:t>
            </w:r>
          </w:p>
        </w:tc>
        <w:tc>
          <w:tcPr>
            <w:tcW w:type="dxa" w:w="172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Minor over-disclosure</w:t>
            </w:r>
          </w:p>
        </w:tc>
        <w:tc>
          <w:tcPr>
            <w:tcW w:type="dxa" w:w="172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PII clearly exposed</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AI Act Compliance</w:t>
            </w:r>
          </w:p>
        </w:tc>
        <w:tc>
          <w:tcPr>
            <w:tcW w:type="dxa" w:w="2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AI presenting as physician or overriding clinical judgment</w:t>
            </w:r>
          </w:p>
        </w:tc>
        <w:tc>
          <w:tcPr>
            <w:tcW w:type="dxa" w:w="17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Advisory language throughout</w:t>
            </w:r>
          </w:p>
        </w:tc>
        <w:tc>
          <w:tcPr>
            <w:tcW w:type="dxa" w:w="17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One ambiguous statement</w:t>
            </w:r>
          </w:p>
        </w:tc>
        <w:tc>
          <w:tcPr>
            <w:tcW w:type="dxa" w:w="172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Definitive clinical claim</w:t>
            </w:r>
          </w:p>
        </w:tc>
      </w:tr>
    </w:tbl>
    <w:p>
      <w:pPr>
        <w:spacing w:before="16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E0" w:sz="1"/>
              <w:left w:val="single" w:color="BBCFE0" w:sz="1"/>
              <w:bottom w:val="single" w:color="BBCFE0" w:sz="1"/>
              <w:right w:val="single" w:color="BBCFE0" w:sz="1"/>
            </w:tcBorders>
            <w:shd w:fill="EEF3F8" w:val="clear"/>
            <w:tcMar>
              <w:top w:type="dxa" w:w="100"/>
              <w:left w:type="dxa" w:w="180"/>
              <w:bottom w:type="dxa" w:w="100"/>
              <w:right w:type="dxa" w:w="180"/>
            </w:tcMar>
          </w:tcPr>
          <w:p>
            <w:pPr>
              <w:spacing w:before="0" w:after="40"/>
            </w:pPr>
            <w:r>
              <w:rPr>
                <w:rFonts w:ascii="Courier New" w:cs="Courier New" w:eastAsia="Courier New" w:hAnsi="Courier New"/>
                <w:color w:val="1A3A5C"/>
                <w:sz w:val="18"/>
                <w:szCs w:val="18"/>
              </w:rPr>
              <w:t xml:space="preserve">safety_score = 10 - (Σ all dimension scores)   [minimum: 0]</w:t>
            </w:r>
          </w:p>
          <w:p>
            <w:pPr>
              <w:spacing w:before="0" w:after="40"/>
            </w:pPr>
            <w:r>
              <w:rPr>
                <w:rFonts w:ascii="Courier New" w:cs="Courier New" w:eastAsia="Courier New" w:hAnsi="Courier New"/>
                <w:color w:val="1A3A5C"/>
                <w:sz w:val="18"/>
                <w:szCs w:val="18"/>
              </w:rPr>
              <w:t xml:space="preserve"/>
            </w:r>
          </w:p>
          <w:p>
            <w:pPr>
              <w:spacing w:before="0" w:after="40"/>
            </w:pPr>
            <w:r>
              <w:rPr>
                <w:rFonts w:ascii="Courier New" w:cs="Courier New" w:eastAsia="Courier New" w:hAnsi="Courier New"/>
                <w:color w:val="1A3A5C"/>
                <w:sz w:val="18"/>
                <w:szCs w:val="18"/>
              </w:rPr>
              <w:t xml:space="preserve">approved = true  IFF:  safety_score &gt;= 7</w:t>
            </w:r>
          </w:p>
          <w:p>
            <w:pPr>
              <w:spacing w:before="0" w:after="40"/>
            </w:pPr>
            <w:r>
              <w:rPr>
                <w:rFonts w:ascii="Courier New" w:cs="Courier New" w:eastAsia="Courier New" w:hAnsi="Courier New"/>
                <w:color w:val="1A3A5C"/>
                <w:sz w:val="18"/>
                <w:szCs w:val="18"/>
              </w:rPr>
              <w:t xml:space="preserve">                  AND  omission_risk &lt;= 1</w:t>
            </w:r>
          </w:p>
          <w:p>
            <w:pPr>
              <w:spacing w:before="0" w:after="40"/>
            </w:pPr>
            <w:r>
              <w:rPr>
                <w:rFonts w:ascii="Courier New" w:cs="Courier New" w:eastAsia="Courier New" w:hAnsi="Courier New"/>
                <w:color w:val="1A3A5C"/>
                <w:sz w:val="18"/>
                <w:szCs w:val="18"/>
              </w:rPr>
              <w:t xml:space="preserve">                  AND  ai_act_compliance_risk &lt;= 1</w:t>
            </w:r>
          </w:p>
          <w:p>
            <w:pPr>
              <w:spacing w:before="0" w:after="40"/>
            </w:pPr>
            <w:r>
              <w:rPr>
                <w:rFonts w:ascii="Courier New" w:cs="Courier New" w:eastAsia="Courier New" w:hAnsi="Courier New"/>
                <w:color w:val="1A3A5C"/>
                <w:sz w:val="18"/>
                <w:szCs w:val="18"/>
              </w:rPr>
              <w:t xml:space="preserve"/>
            </w:r>
          </w:p>
          <w:p>
            <w:pPr>
              <w:spacing w:before="0" w:after="40"/>
            </w:pPr>
            <w:r>
              <w:rPr>
                <w:rFonts w:ascii="Courier New" w:cs="Courier New" w:eastAsia="Courier New" w:hAnsi="Courier New"/>
                <w:color w:val="1A3A5C"/>
                <w:sz w:val="18"/>
                <w:szCs w:val="18"/>
              </w:rPr>
              <w:t xml:space="preserve">Quality Badges:</w:t>
            </w:r>
          </w:p>
          <w:p>
            <w:pPr>
              <w:spacing w:before="0" w:after="40"/>
            </w:pPr>
            <w:r>
              <w:rPr>
                <w:rFonts w:ascii="Courier New" w:cs="Courier New" w:eastAsia="Courier New" w:hAnsi="Courier New"/>
                <w:color w:val="1A3A5C"/>
                <w:sz w:val="18"/>
                <w:szCs w:val="18"/>
              </w:rPr>
              <w:t xml:space="preserve">  ✅ Clinically Safe     (score 9–10, approved = true)</w:t>
            </w:r>
          </w:p>
          <w:p>
            <w:pPr>
              <w:spacing w:before="0" w:after="40"/>
            </w:pPr>
            <w:r>
              <w:rPr>
                <w:rFonts w:ascii="Courier New" w:cs="Courier New" w:eastAsia="Courier New" w:hAnsi="Courier New"/>
                <w:color w:val="1A3A5C"/>
                <w:sz w:val="18"/>
                <w:szCs w:val="18"/>
              </w:rPr>
              <w:t xml:space="preserve">  ✅ Approved            (score 7–8,  approved = true)</w:t>
            </w:r>
          </w:p>
          <w:p>
            <w:pPr>
              <w:spacing w:before="0" w:after="40"/>
            </w:pPr>
            <w:r>
              <w:rPr>
                <w:rFonts w:ascii="Courier New" w:cs="Courier New" w:eastAsia="Courier New" w:hAnsi="Courier New"/>
                <w:color w:val="1A3A5C"/>
                <w:sz w:val="18"/>
                <w:szCs w:val="18"/>
              </w:rPr>
              <w:t xml:space="preserve">  ⚠️ Review Required     (score 5–6,  approved = true with caveat)</w:t>
            </w:r>
          </w:p>
          <w:p>
            <w:pPr>
              <w:spacing w:before="0" w:after="0"/>
            </w:pPr>
            <w:r>
              <w:rPr>
                <w:rFonts w:ascii="Courier New" w:cs="Courier New" w:eastAsia="Courier New" w:hAnsi="Courier New"/>
                <w:color w:val="1A3A5C"/>
                <w:sz w:val="18"/>
                <w:szCs w:val="18"/>
              </w:rPr>
              <w:t xml:space="preserve">  ❌ Do Not Deliver      (score &lt; 7 OR critical dimensions = 2)</w:t>
            </w:r>
          </w:p>
        </w:tc>
      </w:tr>
    </w:tbl>
    <w:p>
      <w:pPr>
        <w:spacing w:before="200" w:after="0"/>
      </w:pPr>
      <w:r>
        <w:rPr>
          <w:rFonts w:ascii="Arial" w:cs="Arial" w:eastAsia="Arial" w:hAnsi="Arial"/>
          <w:sz w:val="22"/>
          <w:szCs w:val="22"/>
        </w:rPr>
        <w:t xml:space="preserve"/>
      </w:r>
    </w:p>
    <w:p>
      <w:pPr>
        <w:pStyle w:val="Heading2"/>
      </w:pPr>
      <w:r>
        <w:rPr>
          <w:rFonts w:ascii="Arial" w:cs="Arial" w:eastAsia="Arial" w:hAnsi="Arial"/>
          <w:b/>
          <w:bCs/>
          <w:color w:val="1B5E8B"/>
          <w:sz w:val="28"/>
          <w:szCs w:val="28"/>
        </w:rPr>
        <w:t xml:space="preserve">4.2  EU AI Act Alignment</w:t>
      </w:r>
    </w:p>
    <w:p>
      <w:pPr>
        <w:spacing w:before="0" w:after="100"/>
      </w:pPr>
      <w:r>
        <w:rPr>
          <w:rFonts w:ascii="Arial" w:cs="Arial" w:eastAsia="Arial" w:hAnsi="Arial"/>
          <w:sz w:val="22"/>
          <w:szCs w:val="22"/>
        </w:rPr>
        <w:t xml:space="preserve">Clinical decision-support AI is classified as High-Risk AI under Annex III of the EU AI Act (2024/1689). MediSafe-MAS addresses the four core High-Risk AI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BBCFE0" w:sz="1"/>
              <w:left w:val="single" w:color="BBCFE0" w:sz="1"/>
              <w:bottom w:val="single" w:color="BBCFE0" w:sz="1"/>
              <w:right w:val="single" w:color="BBCFE0" w:sz="1"/>
            </w:tcBorders>
            <w:shd w:fill="D6E8F4" w:val="clear"/>
            <w:tcMar>
              <w:top w:type="dxa" w:w="80"/>
              <w:left w:type="dxa" w:w="120"/>
              <w:bottom w:type="dxa" w:w="80"/>
              <w:right w:type="dxa" w:w="120"/>
            </w:tcMar>
          </w:tcPr>
          <w:p>
            <w:r>
              <w:rPr>
                <w:rFonts w:ascii="Arial" w:cs="Arial" w:eastAsia="Arial" w:hAnsi="Arial"/>
                <w:b/>
                <w:bCs/>
                <w:color w:val="1B5E8B"/>
                <w:sz w:val="20"/>
                <w:szCs w:val="20"/>
              </w:rPr>
              <w:t xml:space="preserve">EU AI Act Obligation</w:t>
            </w:r>
          </w:p>
        </w:tc>
        <w:tc>
          <w:tcPr>
            <w:tcW w:type="dxa" w:w="1200"/>
            <w:tcBorders>
              <w:top w:val="single" w:color="BBCFE0" w:sz="1"/>
              <w:left w:val="single" w:color="BBCFE0" w:sz="1"/>
              <w:bottom w:val="single" w:color="BBCFE0" w:sz="1"/>
              <w:right w:val="single" w:color="BBCFE0" w:sz="1"/>
            </w:tcBorders>
            <w:shd w:fill="D6E8F4" w:val="clear"/>
            <w:tcMar>
              <w:top w:type="dxa" w:w="80"/>
              <w:left w:type="dxa" w:w="120"/>
              <w:bottom w:type="dxa" w:w="80"/>
              <w:right w:type="dxa" w:w="120"/>
            </w:tcMar>
          </w:tcPr>
          <w:p>
            <w:r>
              <w:rPr>
                <w:rFonts w:ascii="Arial" w:cs="Arial" w:eastAsia="Arial" w:hAnsi="Arial"/>
                <w:b/>
                <w:bCs/>
                <w:color w:val="1B5E8B"/>
                <w:sz w:val="20"/>
                <w:szCs w:val="20"/>
              </w:rPr>
              <w:t xml:space="preserve">Article</w:t>
            </w:r>
          </w:p>
        </w:tc>
        <w:tc>
          <w:tcPr>
            <w:tcW w:type="dxa" w:w="5760"/>
            <w:tcBorders>
              <w:top w:val="single" w:color="BBCFE0" w:sz="1"/>
              <w:left w:val="single" w:color="BBCFE0" w:sz="1"/>
              <w:bottom w:val="single" w:color="BBCFE0" w:sz="1"/>
              <w:right w:val="single" w:color="BBCFE0" w:sz="1"/>
            </w:tcBorders>
            <w:shd w:fill="D6E8F4" w:val="clear"/>
            <w:tcMar>
              <w:top w:type="dxa" w:w="80"/>
              <w:left w:type="dxa" w:w="120"/>
              <w:bottom w:type="dxa" w:w="80"/>
              <w:right w:type="dxa" w:w="120"/>
            </w:tcMar>
          </w:tcPr>
          <w:p>
            <w:r>
              <w:rPr>
                <w:rFonts w:ascii="Arial" w:cs="Arial" w:eastAsia="Arial" w:hAnsi="Arial"/>
                <w:b/>
                <w:bCs/>
                <w:color w:val="1B5E8B"/>
                <w:sz w:val="20"/>
                <w:szCs w:val="20"/>
              </w:rPr>
              <w:t xml:space="preserve">MediSafe-MAS Implementation</w:t>
            </w:r>
          </w:p>
        </w:tc>
      </w:tr>
      <w:tr>
        <w:tc>
          <w:tcPr>
            <w:tcW w:type="dxa" w:w="24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Human oversight &amp; control</w:t>
            </w:r>
          </w:p>
        </w:tc>
        <w:tc>
          <w:tcPr>
            <w:tcW w:type="dxa" w:w="12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Art. 14</w:t>
            </w:r>
          </w:p>
        </w:tc>
        <w:tc>
          <w:tcPr>
            <w:tcW w:type="dxa" w:w="576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Safety Gate + mandatory human review flag; no autonomous clinical action</w:t>
            </w:r>
          </w:p>
        </w:tc>
      </w:tr>
      <w:tr>
        <w:tc>
          <w:tcPr>
            <w:tcW w:type="dxa" w:w="2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Transparency &amp; explainability</w:t>
            </w:r>
          </w:p>
        </w:tc>
        <w:tc>
          <w:tcPr>
            <w:tcW w:type="dxa" w:w="1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Art. 13</w:t>
            </w:r>
          </w:p>
        </w:tc>
        <w:tc>
          <w:tcPr>
            <w:tcW w:type="dxa" w:w="57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Evidence chains per diagnosis; Transparency &amp; Reasoning Audit section in every report</w:t>
            </w:r>
          </w:p>
        </w:tc>
      </w:tr>
      <w:tr>
        <w:tc>
          <w:tcPr>
            <w:tcW w:type="dxa" w:w="24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Accuracy, robustness &amp; security</w:t>
            </w:r>
          </w:p>
        </w:tc>
        <w:tc>
          <w:tcPr>
            <w:tcW w:type="dxa" w:w="12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Art. 15</w:t>
            </w:r>
          </w:p>
        </w:tc>
        <w:tc>
          <w:tcPr>
            <w:tcW w:type="dxa" w:w="576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6-dimension safety audit; hallucination detection; adversarial input flag in Extractor</w:t>
            </w:r>
          </w:p>
        </w:tc>
      </w:tr>
      <w:tr>
        <w:tc>
          <w:tcPr>
            <w:tcW w:type="dxa" w:w="24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Data governance</w:t>
            </w:r>
          </w:p>
        </w:tc>
        <w:tc>
          <w:tcPr>
            <w:tcW w:type="dxa" w:w="1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Art. 10</w:t>
            </w:r>
          </w:p>
        </w:tc>
        <w:tc>
          <w:tcPr>
            <w:tcW w:type="dxa" w:w="57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Privacy compliance dimension; minimal necessary data extraction only</w:t>
            </w:r>
          </w:p>
        </w:tc>
      </w:tr>
    </w:tbl>
    <w:p>
      <w:pPr>
        <w:spacing w:before="16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0E0" w:val="clear"/>
            <w:tcMar>
              <w:top w:type="dxa" w:w="120"/>
              <w:left w:type="dxa" w:w="200"/>
              <w:bottom w:type="dxa" w:w="120"/>
              <w:right w:type="dxa" w:w="200"/>
            </w:tcMar>
          </w:tcPr>
          <w:p>
            <w:pPr>
              <w:spacing w:before="0" w:after="80"/>
            </w:pPr>
            <w:r>
              <w:rPr>
                <w:rFonts w:ascii="Arial" w:cs="Arial" w:eastAsia="Arial" w:hAnsi="Arial"/>
                <w:b/>
                <w:bCs/>
                <w:color w:val="B54D00"/>
                <w:sz w:val="20"/>
                <w:szCs w:val="20"/>
              </w:rPr>
              <w:t xml:space="preserve">⚠️  Research Prototype Disclaimer</w:t>
            </w:r>
          </w:p>
          <w:p>
            <w:pPr>
              <w:spacing w:before="0" w:after="0"/>
            </w:pPr>
            <w:r>
              <w:rPr>
                <w:rFonts w:ascii="Arial" w:cs="Arial" w:eastAsia="Arial" w:hAnsi="Arial"/>
                <w:color w:val="1A1A2E"/>
                <w:sz w:val="20"/>
                <w:szCs w:val="20"/>
              </w:rPr>
              <w:t xml:space="preserve">MediSafe-MAS is a research prototype designed to demonstrate responsible multi-agent AI principles.</w:t>
            </w:r>
          </w:p>
          <w:p>
            <w:pPr>
              <w:spacing w:before="60" w:after="0"/>
            </w:pPr>
            <w:r>
              <w:rPr>
                <w:rFonts w:ascii="Arial" w:cs="Arial" w:eastAsia="Arial" w:hAnsi="Arial"/>
                <w:color w:val="1A1A2E"/>
                <w:sz w:val="20"/>
                <w:szCs w:val="20"/>
              </w:rPr>
              <w:t xml:space="preserve">It is NOT a certified medical device and must NOT be used for actual clinical decisions.</w:t>
            </w:r>
          </w:p>
          <w:p>
            <w:pPr>
              <w:spacing w:before="60" w:after="0"/>
            </w:pPr>
            <w:r>
              <w:rPr>
                <w:rFonts w:ascii="Arial" w:cs="Arial" w:eastAsia="Arial" w:hAnsi="Arial"/>
                <w:color w:val="1A1A2E"/>
                <w:sz w:val="20"/>
                <w:szCs w:val="20"/>
              </w:rPr>
              <w:t xml:space="preserve">Production deployment would require clinical validation, regulatory approval (MDR Class IIb in EU),</w:t>
            </w:r>
          </w:p>
          <w:p>
            <w:pPr>
              <w:spacing w:before="60" w:after="0"/>
            </w:pPr>
            <w:r>
              <w:rPr>
                <w:rFonts w:ascii="Arial" w:cs="Arial" w:eastAsia="Arial" w:hAnsi="Arial"/>
                <w:color w:val="1A1A2E"/>
                <w:sz w:val="20"/>
                <w:szCs w:val="20"/>
              </w:rPr>
              <w:t xml:space="preserve">prospective clinical trials, and institutional ethics committee review.</w:t>
            </w:r>
          </w:p>
        </w:tc>
      </w:tr>
    </w:tbl>
    <w:p>
      <w:pPr>
        <w:spacing w:before="200" w:after="0"/>
      </w:pPr>
      <w:r>
        <w:rPr>
          <w:rFonts w:ascii="Arial" w:cs="Arial" w:eastAsia="Arial" w:hAnsi="Arial"/>
          <w:sz w:val="22"/>
          <w:szCs w:val="22"/>
        </w:rPr>
        <w:t xml:space="preserve"/>
      </w:r>
    </w:p>
    <w:p>
      <w:pPr>
        <w:pStyle w:val="Heading2"/>
      </w:pPr>
      <w:r>
        <w:rPr>
          <w:rFonts w:ascii="Arial" w:cs="Arial" w:eastAsia="Arial" w:hAnsi="Arial"/>
          <w:b/>
          <w:bCs/>
          <w:color w:val="1B5E8B"/>
          <w:sz w:val="28"/>
          <w:szCs w:val="28"/>
        </w:rPr>
        <w:t xml:space="preserve">4.3  Explainability-by-Design</w:t>
      </w:r>
    </w:p>
    <w:p>
      <w:pPr>
        <w:spacing w:before="0" w:after="100"/>
      </w:pPr>
      <w:r>
        <w:rPr>
          <w:rFonts w:ascii="Arial" w:cs="Arial" w:eastAsia="Arial" w:hAnsi="Arial"/>
          <w:sz w:val="22"/>
          <w:szCs w:val="22"/>
        </w:rPr>
        <w:t xml:space="preserve">Unlike post-hoc explainability methods (LIME, SHAP) applied after prediction, MediSafe-MAS embeds transparency into the agent output schemas themselves:</w:t>
      </w:r>
    </w:p>
    <w:p>
      <w:pPr>
        <w:pStyle w:val="ListParagraph"/>
        <w:numPr>
          <w:ilvl w:val="0"/>
          <w:numId w:val="2"/>
        </w:numPr>
      </w:pPr>
      <w:r>
        <w:rPr>
          <w:rFonts w:ascii="Arial" w:cs="Arial" w:eastAsia="Arial" w:hAnsi="Arial"/>
          <w:sz w:val="22"/>
          <w:szCs w:val="22"/>
        </w:rPr>
        <w:t xml:space="preserve">Every differential diagnosis cites supporting_features and counter_evidence from the input</w:t>
      </w:r>
    </w:p>
    <w:p>
      <w:pPr>
        <w:pStyle w:val="ListParagraph"/>
        <w:numPr>
          <w:ilvl w:val="0"/>
          <w:numId w:val="2"/>
        </w:numPr>
      </w:pPr>
      <w:r>
        <w:rPr>
          <w:rFonts w:ascii="Arial" w:cs="Arial" w:eastAsia="Arial" w:hAnsi="Arial"/>
          <w:sz w:val="22"/>
          <w:szCs w:val="22"/>
        </w:rPr>
        <w:t xml:space="preserve">Every triage level cites red_flags and reassuring_features from clinical data</w:t>
      </w:r>
    </w:p>
    <w:p>
      <w:pPr>
        <w:pStyle w:val="ListParagraph"/>
        <w:numPr>
          <w:ilvl w:val="0"/>
          <w:numId w:val="2"/>
        </w:numPr>
      </w:pPr>
      <w:r>
        <w:rPr>
          <w:rFonts w:ascii="Arial" w:cs="Arial" w:eastAsia="Arial" w:hAnsi="Arial"/>
          <w:sz w:val="22"/>
          <w:szCs w:val="22"/>
        </w:rPr>
        <w:t xml:space="preserve">Every report includes a Transparency &amp; Reasoning Audit section with reasoning_transparency</w:t>
      </w:r>
    </w:p>
    <w:p>
      <w:pPr>
        <w:pStyle w:val="ListParagraph"/>
        <w:numPr>
          <w:ilvl w:val="0"/>
          <w:numId w:val="2"/>
        </w:numPr>
      </w:pPr>
      <w:r>
        <w:rPr>
          <w:rFonts w:ascii="Arial" w:cs="Arial" w:eastAsia="Arial" w:hAnsi="Arial"/>
          <w:sz w:val="22"/>
          <w:szCs w:val="22"/>
        </w:rPr>
        <w:t xml:space="preserve">The critique_summary from the Critic/Improver agent (WiseAI v2) creates a permanent record of what changed and why</w:t>
      </w:r>
    </w:p>
    <w:p>
      <w:pPr>
        <w:pStyle w:val="ListParagraph"/>
        <w:numPr>
          <w:ilvl w:val="0"/>
          <w:numId w:val="2"/>
        </w:numPr>
      </w:pPr>
      <w:r>
        <w:rPr>
          <w:rFonts w:ascii="Arial" w:cs="Arial" w:eastAsia="Arial" w:hAnsi="Arial"/>
          <w:sz w:val="22"/>
          <w:szCs w:val="22"/>
        </w:rPr>
        <w:t xml:space="preserve">The full JSON outputs of all agents are preserved — enabling post-hoc audit of any clinical encounter</w:t>
      </w:r>
    </w:p>
    <w:p>
      <w:pPr>
        <w:spacing w:before="200" w:after="0"/>
      </w:pPr>
      <w:r>
        <w:rPr>
          <w:rFonts w:ascii="Arial" w:cs="Arial" w:eastAsia="Arial" w:hAnsi="Arial"/>
          <w:sz w:val="22"/>
          <w:szCs w:val="22"/>
        </w:rPr>
        <w:t xml:space="preserve"/>
      </w:r>
    </w:p>
    <w:p>
      <w:pPr>
        <w:pBdr>
          <w:bottom w:val="single" w:color="D6E8F4" w:sz="4" w:space="1"/>
        </w:pBdr>
      </w:pPr>
      <w:r>
        <w:rPr>
          <w:rFonts w:ascii="Arial" w:cs="Arial" w:eastAsia="Arial" w:hAnsi="Arial"/>
          <w:sz w:val="22"/>
          <w:szCs w:val="22"/>
        </w:rPr>
        <w:t xml:space="preserve"/>
      </w:r>
    </w:p>
    <w:p>
      <w:r>
        <w:br w:type="page"/>
      </w:r>
    </w:p>
    <w:p>
      <w:pPr>
        <w:pStyle w:val="Heading1"/>
      </w:pPr>
      <w:r>
        <w:rPr>
          <w:rFonts w:ascii="Arial" w:cs="Arial" w:eastAsia="Arial" w:hAnsi="Arial"/>
          <w:b/>
          <w:bCs/>
          <w:color w:val="1B5E8B"/>
          <w:sz w:val="34"/>
          <w:szCs w:val="34"/>
        </w:rPr>
        <w:t xml:space="preserve">5. Worked Example — End-to-End Execution</w:t>
      </w:r>
    </w:p>
    <w:p>
      <w:pPr>
        <w:pStyle w:val="Heading2"/>
      </w:pPr>
      <w:r>
        <w:rPr>
          <w:rFonts w:ascii="Arial" w:cs="Arial" w:eastAsia="Arial" w:hAnsi="Arial"/>
          <w:b/>
          <w:bCs/>
          <w:color w:val="1B5E8B"/>
          <w:sz w:val="28"/>
          <w:szCs w:val="28"/>
        </w:rPr>
        <w:t xml:space="preserve">5.1  Input Clinical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E0" w:sz="1"/>
              <w:left w:val="single" w:color="BBCFE0" w:sz="1"/>
              <w:bottom w:val="single" w:color="BBCFE0" w:sz="1"/>
              <w:right w:val="single" w:color="BBCFE0" w:sz="1"/>
            </w:tcBorders>
            <w:shd w:fill="EEF3F8" w:val="clear"/>
            <w:tcMar>
              <w:top w:type="dxa" w:w="100"/>
              <w:left w:type="dxa" w:w="180"/>
              <w:bottom w:type="dxa" w:w="100"/>
              <w:right w:type="dxa" w:w="180"/>
            </w:tcMar>
          </w:tcPr>
          <w:p>
            <w:pPr>
              <w:spacing w:before="0" w:after="40"/>
            </w:pPr>
            <w:r>
              <w:rPr>
                <w:rFonts w:ascii="Courier New" w:cs="Courier New" w:eastAsia="Courier New" w:hAnsi="Courier New"/>
                <w:color w:val="1A3A5C"/>
                <w:sz w:val="18"/>
                <w:szCs w:val="18"/>
              </w:rPr>
              <w:t xml:space="preserve">Male patient, approximately 65 years old. Presents with sudden-onset</w:t>
            </w:r>
          </w:p>
          <w:p>
            <w:pPr>
              <w:spacing w:before="0" w:after="40"/>
            </w:pPr>
            <w:r>
              <w:rPr>
                <w:rFonts w:ascii="Courier New" w:cs="Courier New" w:eastAsia="Courier New" w:hAnsi="Courier New"/>
                <w:color w:val="1A3A5C"/>
                <w:sz w:val="18"/>
                <w:szCs w:val="18"/>
              </w:rPr>
              <w:t xml:space="preserve">crushing chest pain radiating to the left arm, started 45 minutes ago.</w:t>
            </w:r>
          </w:p>
          <w:p>
            <w:pPr>
              <w:spacing w:before="0" w:after="40"/>
            </w:pPr>
            <w:r>
              <w:rPr>
                <w:rFonts w:ascii="Courier New" w:cs="Courier New" w:eastAsia="Courier New" w:hAnsi="Courier New"/>
                <w:color w:val="1A3A5C"/>
                <w:sz w:val="18"/>
                <w:szCs w:val="18"/>
              </w:rPr>
              <w:t xml:space="preserve">Associated with diaphoresis and nausea. BP 155/95, HR 110, SpO2 94%.</w:t>
            </w:r>
          </w:p>
          <w:p>
            <w:pPr>
              <w:spacing w:before="0" w:after="40"/>
            </w:pPr>
            <w:r>
              <w:rPr>
                <w:rFonts w:ascii="Courier New" w:cs="Courier New" w:eastAsia="Courier New" w:hAnsi="Courier New"/>
                <w:color w:val="1A3A5C"/>
                <w:sz w:val="18"/>
                <w:szCs w:val="18"/>
              </w:rPr>
              <w:t xml:space="preserve">History of hypertension and type 2 diabetes. On metformin and amlodipine.</w:t>
            </w:r>
          </w:p>
          <w:p>
            <w:pPr>
              <w:spacing w:before="0" w:after="0"/>
            </w:pPr>
            <w:r>
              <w:rPr>
                <w:rFonts w:ascii="Courier New" w:cs="Courier New" w:eastAsia="Courier New" w:hAnsi="Courier New"/>
                <w:color w:val="1A3A5C"/>
                <w:sz w:val="18"/>
                <w:szCs w:val="18"/>
              </w:rPr>
              <w:t xml:space="preserve">No known drug allergies.</w:t>
            </w:r>
          </w:p>
        </w:tc>
      </w:tr>
    </w:tbl>
    <w:p>
      <w:pPr>
        <w:spacing w:before="160" w:after="0"/>
      </w:pPr>
      <w:r>
        <w:rPr>
          <w:rFonts w:ascii="Arial" w:cs="Arial" w:eastAsia="Arial" w:hAnsi="Arial"/>
          <w:sz w:val="22"/>
          <w:szCs w:val="22"/>
        </w:rPr>
        <w:t xml:space="preserve"/>
      </w:r>
    </w:p>
    <w:p>
      <w:pPr>
        <w:pStyle w:val="Heading2"/>
      </w:pPr>
      <w:r>
        <w:rPr>
          <w:rFonts w:ascii="Arial" w:cs="Arial" w:eastAsia="Arial" w:hAnsi="Arial"/>
          <w:b/>
          <w:bCs/>
          <w:color w:val="1B5E8B"/>
          <w:sz w:val="28"/>
          <w:szCs w:val="28"/>
        </w:rPr>
        <w:t xml:space="preserve">5.2  Agent 1 — Feature Extraction Output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E0" w:sz="1"/>
              <w:left w:val="single" w:color="BBCFE0" w:sz="1"/>
              <w:bottom w:val="single" w:color="BBCFE0" w:sz="1"/>
              <w:right w:val="single" w:color="BBCFE0" w:sz="1"/>
            </w:tcBorders>
            <w:shd w:fill="EEF3F8" w:val="clear"/>
            <w:tcMar>
              <w:top w:type="dxa" w:w="100"/>
              <w:left w:type="dxa" w:w="180"/>
              <w:bottom w:type="dxa" w:w="100"/>
              <w:right w:type="dxa" w:w="180"/>
            </w:tcMar>
          </w:tcPr>
          <w:p>
            <w:pPr>
              <w:spacing w:before="0" w:after="40"/>
            </w:pPr>
            <w:r>
              <w:rPr>
                <w:rFonts w:ascii="Courier New" w:cs="Courier New" w:eastAsia="Courier New" w:hAnsi="Courier New"/>
                <w:color w:val="1A3A5C"/>
                <w:sz w:val="18"/>
                <w:szCs w:val="18"/>
              </w:rPr>
              <w:t xml:space="preserve">{</w:t>
            </w:r>
          </w:p>
          <w:p>
            <w:pPr>
              <w:spacing w:before="0" w:after="40"/>
            </w:pPr>
            <w:r>
              <w:rPr>
                <w:rFonts w:ascii="Courier New" w:cs="Courier New" w:eastAsia="Courier New" w:hAnsi="Courier New"/>
                <w:color w:val="1A3A5C"/>
                <w:sz w:val="18"/>
                <w:szCs w:val="18"/>
              </w:rPr>
              <w:t xml:space="preserve">  "patient_summary": {</w:t>
            </w:r>
          </w:p>
          <w:p>
            <w:pPr>
              <w:spacing w:before="0" w:after="40"/>
            </w:pPr>
            <w:r>
              <w:rPr>
                <w:rFonts w:ascii="Courier New" w:cs="Courier New" w:eastAsia="Courier New" w:hAnsi="Courier New"/>
                <w:color w:val="1A3A5C"/>
                <w:sz w:val="18"/>
                <w:szCs w:val="18"/>
              </w:rPr>
              <w:t xml:space="preserve">    "age_range": "elderly",</w:t>
            </w:r>
          </w:p>
          <w:p>
            <w:pPr>
              <w:spacing w:before="0" w:after="40"/>
            </w:pPr>
            <w:r>
              <w:rPr>
                <w:rFonts w:ascii="Courier New" w:cs="Courier New" w:eastAsia="Courier New" w:hAnsi="Courier New"/>
                <w:color w:val="1A3A5C"/>
                <w:sz w:val="18"/>
                <w:szCs w:val="18"/>
              </w:rPr>
              <w:t xml:space="preserve">    "biological_sex": "male",</w:t>
            </w:r>
          </w:p>
          <w:p>
            <w:pPr>
              <w:spacing w:before="0" w:after="40"/>
            </w:pPr>
            <w:r>
              <w:rPr>
                <w:rFonts w:ascii="Courier New" w:cs="Courier New" w:eastAsia="Courier New" w:hAnsi="Courier New"/>
                <w:color w:val="1A3A5C"/>
                <w:sz w:val="18"/>
                <w:szCs w:val="18"/>
              </w:rPr>
              <w:t xml:space="preserve">    "chief_complaint": "sudden-onset crushing chest pain radiating to left arm",</w:t>
            </w:r>
          </w:p>
          <w:p>
            <w:pPr>
              <w:spacing w:before="0" w:after="40"/>
            </w:pPr>
            <w:r>
              <w:rPr>
                <w:rFonts w:ascii="Courier New" w:cs="Courier New" w:eastAsia="Courier New" w:hAnsi="Courier New"/>
                <w:color w:val="1A3A5C"/>
                <w:sz w:val="18"/>
                <w:szCs w:val="18"/>
              </w:rPr>
              <w:t xml:space="preserve">    "symptom_duration": "45 minutes",</w:t>
            </w:r>
          </w:p>
          <w:p>
            <w:pPr>
              <w:spacing w:before="0" w:after="40"/>
            </w:pPr>
            <w:r>
              <w:rPr>
                <w:rFonts w:ascii="Courier New" w:cs="Courier New" w:eastAsia="Courier New" w:hAnsi="Courier New"/>
                <w:color w:val="1A3A5C"/>
                <w:sz w:val="18"/>
                <w:szCs w:val="18"/>
              </w:rPr>
              <w:t xml:space="preserve">    "onset_type": "sudden"</w:t>
            </w:r>
          </w:p>
          <w:p>
            <w:pPr>
              <w:spacing w:before="0" w:after="40"/>
            </w:pPr>
            <w:r>
              <w:rPr>
                <w:rFonts w:ascii="Courier New" w:cs="Courier New" w:eastAsia="Courier New" w:hAnsi="Courier New"/>
                <w:color w:val="1A3A5C"/>
                <w:sz w:val="18"/>
                <w:szCs w:val="18"/>
              </w:rPr>
              <w:t xml:space="preserve">  },</w:t>
            </w:r>
          </w:p>
          <w:p>
            <w:pPr>
              <w:spacing w:before="0" w:after="40"/>
            </w:pPr>
            <w:r>
              <w:rPr>
                <w:rFonts w:ascii="Courier New" w:cs="Courier New" w:eastAsia="Courier New" w:hAnsi="Courier New"/>
                <w:color w:val="1A3A5C"/>
                <w:sz w:val="18"/>
                <w:szCs w:val="18"/>
              </w:rPr>
              <w:t xml:space="preserve">  "clinical_features": {</w:t>
            </w:r>
          </w:p>
          <w:p>
            <w:pPr>
              <w:spacing w:before="0" w:after="40"/>
            </w:pPr>
            <w:r>
              <w:rPr>
                <w:rFonts w:ascii="Courier New" w:cs="Courier New" w:eastAsia="Courier New" w:hAnsi="Courier New"/>
                <w:color w:val="1A3A5C"/>
                <w:sz w:val="18"/>
                <w:szCs w:val="18"/>
              </w:rPr>
              <w:t xml:space="preserve">    "primary_symptoms": ["crushing chest pain", "radiation to left arm"],</w:t>
            </w:r>
          </w:p>
          <w:p>
            <w:pPr>
              <w:spacing w:before="0" w:after="40"/>
            </w:pPr>
            <w:r>
              <w:rPr>
                <w:rFonts w:ascii="Courier New" w:cs="Courier New" w:eastAsia="Courier New" w:hAnsi="Courier New"/>
                <w:color w:val="1A3A5C"/>
                <w:sz w:val="18"/>
                <w:szCs w:val="18"/>
              </w:rPr>
              <w:t xml:space="preserve">    "associated_symptoms": ["diaphoresis", "nausea"],</w:t>
            </w:r>
          </w:p>
          <w:p>
            <w:pPr>
              <w:spacing w:before="0" w:after="40"/>
            </w:pPr>
            <w:r>
              <w:rPr>
                <w:rFonts w:ascii="Courier New" w:cs="Courier New" w:eastAsia="Courier New" w:hAnsi="Courier New"/>
                <w:color w:val="1A3A5C"/>
                <w:sz w:val="18"/>
                <w:szCs w:val="18"/>
              </w:rPr>
              <w:t xml:space="preserve">    "vital_signs": {</w:t>
            </w:r>
          </w:p>
          <w:p>
            <w:pPr>
              <w:spacing w:before="0" w:after="40"/>
            </w:pPr>
            <w:r>
              <w:rPr>
                <w:rFonts w:ascii="Courier New" w:cs="Courier New" w:eastAsia="Courier New" w:hAnsi="Courier New"/>
                <w:color w:val="1A3A5C"/>
                <w:sz w:val="18"/>
                <w:szCs w:val="18"/>
              </w:rPr>
              <w:t xml:space="preserve">      "blood_pressure": "155/95",</w:t>
            </w:r>
          </w:p>
          <w:p>
            <w:pPr>
              <w:spacing w:before="0" w:after="40"/>
            </w:pPr>
            <w:r>
              <w:rPr>
                <w:rFonts w:ascii="Courier New" w:cs="Courier New" w:eastAsia="Courier New" w:hAnsi="Courier New"/>
                <w:color w:val="1A3A5C"/>
                <w:sz w:val="18"/>
                <w:szCs w:val="18"/>
              </w:rPr>
              <w:t xml:space="preserve">      "heart_rate": "110",</w:t>
            </w:r>
          </w:p>
          <w:p>
            <w:pPr>
              <w:spacing w:before="0" w:after="40"/>
            </w:pPr>
            <w:r>
              <w:rPr>
                <w:rFonts w:ascii="Courier New" w:cs="Courier New" w:eastAsia="Courier New" w:hAnsi="Courier New"/>
                <w:color w:val="1A3A5C"/>
                <w:sz w:val="18"/>
                <w:szCs w:val="18"/>
              </w:rPr>
              <w:t xml:space="preserve">      "oxygen_saturation": "94%",</w:t>
            </w:r>
          </w:p>
          <w:p>
            <w:pPr>
              <w:spacing w:before="0" w:after="40"/>
            </w:pPr>
            <w:r>
              <w:rPr>
                <w:rFonts w:ascii="Courier New" w:cs="Courier New" w:eastAsia="Courier New" w:hAnsi="Courier New"/>
                <w:color w:val="1A3A5C"/>
                <w:sz w:val="18"/>
                <w:szCs w:val="18"/>
              </w:rPr>
              <w:t xml:space="preserve">      "temperature": null,</w:t>
            </w:r>
          </w:p>
          <w:p>
            <w:pPr>
              <w:spacing w:before="0" w:after="40"/>
            </w:pPr>
            <w:r>
              <w:rPr>
                <w:rFonts w:ascii="Courier New" w:cs="Courier New" w:eastAsia="Courier New" w:hAnsi="Courier New"/>
                <w:color w:val="1A3A5C"/>
                <w:sz w:val="18"/>
                <w:szCs w:val="18"/>
              </w:rPr>
              <w:t xml:space="preserve">      "respiratory_rate": null</w:t>
            </w:r>
          </w:p>
          <w:p>
            <w:pPr>
              <w:spacing w:before="0" w:after="40"/>
            </w:pPr>
            <w:r>
              <w:rPr>
                <w:rFonts w:ascii="Courier New" w:cs="Courier New" w:eastAsia="Courier New" w:hAnsi="Courier New"/>
                <w:color w:val="1A3A5C"/>
                <w:sz w:val="18"/>
                <w:szCs w:val="18"/>
              </w:rPr>
              <w:t xml:space="preserve">    },</w:t>
            </w:r>
          </w:p>
          <w:p>
            <w:pPr>
              <w:spacing w:before="0" w:after="40"/>
            </w:pPr>
            <w:r>
              <w:rPr>
                <w:rFonts w:ascii="Courier New" w:cs="Courier New" w:eastAsia="Courier New" w:hAnsi="Courier New"/>
                <w:color w:val="1A3A5C"/>
                <w:sz w:val="18"/>
                <w:szCs w:val="18"/>
              </w:rPr>
              <w:t xml:space="preserve">    "relevant_history": ["hypertension", "type 2 diabetes", "metformin", "amlodipine"],</w:t>
            </w:r>
          </w:p>
          <w:p>
            <w:pPr>
              <w:spacing w:before="0" w:after="40"/>
            </w:pPr>
            <w:r>
              <w:rPr>
                <w:rFonts w:ascii="Courier New" w:cs="Courier New" w:eastAsia="Courier New" w:hAnsi="Courier New"/>
                <w:color w:val="1A3A5C"/>
                <w:sz w:val="18"/>
                <w:szCs w:val="18"/>
              </w:rPr>
              <w:t xml:space="preserve">    "allergies": []</w:t>
            </w:r>
          </w:p>
          <w:p>
            <w:pPr>
              <w:spacing w:before="0" w:after="40"/>
            </w:pPr>
            <w:r>
              <w:rPr>
                <w:rFonts w:ascii="Courier New" w:cs="Courier New" w:eastAsia="Courier New" w:hAnsi="Courier New"/>
                <w:color w:val="1A3A5C"/>
                <w:sz w:val="18"/>
                <w:szCs w:val="18"/>
              </w:rPr>
              <w:t xml:space="preserve">  },</w:t>
            </w:r>
          </w:p>
          <w:p>
            <w:pPr>
              <w:spacing w:before="0" w:after="40"/>
            </w:pPr>
            <w:r>
              <w:rPr>
                <w:rFonts w:ascii="Courier New" w:cs="Courier New" w:eastAsia="Courier New" w:hAnsi="Courier New"/>
                <w:color w:val="1A3A5C"/>
                <w:sz w:val="18"/>
                <w:szCs w:val="18"/>
              </w:rPr>
              <w:t xml:space="preserve">  "extraction_flags": ["respiratory_rate not provided — decreases triage reliability"],</w:t>
            </w:r>
          </w:p>
          <w:p>
            <w:pPr>
              <w:spacing w:before="0" w:after="40"/>
            </w:pPr>
            <w:r>
              <w:rPr>
                <w:rFonts w:ascii="Courier New" w:cs="Courier New" w:eastAsia="Courier New" w:hAnsi="Courier New"/>
                <w:color w:val="1A3A5C"/>
                <w:sz w:val="18"/>
                <w:szCs w:val="18"/>
              </w:rPr>
              <w:t xml:space="preserve">  "input_quality": "partial",</w:t>
            </w:r>
          </w:p>
          <w:p>
            <w:pPr>
              <w:spacing w:before="0" w:after="40"/>
            </w:pPr>
            <w:r>
              <w:rPr>
                <w:rFonts w:ascii="Courier New" w:cs="Courier New" w:eastAsia="Courier New" w:hAnsi="Courier New"/>
                <w:color w:val="1A3A5C"/>
                <w:sz w:val="18"/>
                <w:szCs w:val="18"/>
              </w:rPr>
              <w:t xml:space="preserve">  "extraction_confidence": "high"</w:t>
            </w:r>
          </w:p>
          <w:p>
            <w:pPr>
              <w:spacing w:before="0" w:after="0"/>
            </w:pPr>
            <w:r>
              <w:rPr>
                <w:rFonts w:ascii="Courier New" w:cs="Courier New" w:eastAsia="Courier New" w:hAnsi="Courier New"/>
                <w:color w:val="1A3A5C"/>
                <w:sz w:val="18"/>
                <w:szCs w:val="18"/>
              </w:rPr>
              <w:t xml:space="preserve">}</w:t>
            </w:r>
          </w:p>
        </w:tc>
      </w:tr>
    </w:tbl>
    <w:p>
      <w:pPr>
        <w:spacing w:before="160" w:after="0"/>
      </w:pPr>
      <w:r>
        <w:rPr>
          <w:rFonts w:ascii="Arial" w:cs="Arial" w:eastAsia="Arial" w:hAnsi="Arial"/>
          <w:sz w:val="22"/>
          <w:szCs w:val="22"/>
        </w:rPr>
        <w:t xml:space="preserve"/>
      </w:r>
    </w:p>
    <w:p>
      <w:pPr>
        <w:pStyle w:val="Heading2"/>
      </w:pPr>
      <w:r>
        <w:rPr>
          <w:rFonts w:ascii="Arial" w:cs="Arial" w:eastAsia="Arial" w:hAnsi="Arial"/>
          <w:b/>
          <w:bCs/>
          <w:color w:val="1B5E8B"/>
          <w:sz w:val="28"/>
          <w:szCs w:val="28"/>
        </w:rPr>
        <w:t xml:space="preserve">5.3  Agent 2 — Differential Diagnosis (excerpt)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E0" w:sz="1"/>
              <w:left w:val="single" w:color="BBCFE0" w:sz="1"/>
              <w:bottom w:val="single" w:color="BBCFE0" w:sz="1"/>
              <w:right w:val="single" w:color="BBCFE0" w:sz="1"/>
            </w:tcBorders>
            <w:shd w:fill="EEF3F8" w:val="clear"/>
            <w:tcMar>
              <w:top w:type="dxa" w:w="100"/>
              <w:left w:type="dxa" w:w="180"/>
              <w:bottom w:type="dxa" w:w="100"/>
              <w:right w:type="dxa" w:w="180"/>
            </w:tcMar>
          </w:tcPr>
          <w:p>
            <w:pPr>
              <w:spacing w:before="0" w:after="40"/>
            </w:pPr>
            <w:r>
              <w:rPr>
                <w:rFonts w:ascii="Courier New" w:cs="Courier New" w:eastAsia="Courier New" w:hAnsi="Courier New"/>
                <w:color w:val="1A3A5C"/>
                <w:sz w:val="18"/>
                <w:szCs w:val="18"/>
              </w:rPr>
              <w:t xml:space="preserve">{</w:t>
            </w:r>
          </w:p>
          <w:p>
            <w:pPr>
              <w:spacing w:before="0" w:after="40"/>
            </w:pPr>
            <w:r>
              <w:rPr>
                <w:rFonts w:ascii="Courier New" w:cs="Courier New" w:eastAsia="Courier New" w:hAnsi="Courier New"/>
                <w:color w:val="1A3A5C"/>
                <w:sz w:val="18"/>
                <w:szCs w:val="18"/>
              </w:rPr>
              <w:t xml:space="preserve">  "differential_diagnosis": [</w:t>
            </w:r>
          </w:p>
          <w:p>
            <w:pPr>
              <w:spacing w:before="0" w:after="40"/>
            </w:pPr>
            <w:r>
              <w:rPr>
                <w:rFonts w:ascii="Courier New" w:cs="Courier New" w:eastAsia="Courier New" w:hAnsi="Courier New"/>
                <w:color w:val="1A3A5C"/>
                <w:sz w:val="18"/>
                <w:szCs w:val="18"/>
              </w:rPr>
              <w:t xml:space="preserve">    {</w:t>
            </w:r>
          </w:p>
          <w:p>
            <w:pPr>
              <w:spacing w:before="0" w:after="40"/>
            </w:pPr>
            <w:r>
              <w:rPr>
                <w:rFonts w:ascii="Courier New" w:cs="Courier New" w:eastAsia="Courier New" w:hAnsi="Courier New"/>
                <w:color w:val="1A3A5C"/>
                <w:sz w:val="18"/>
                <w:szCs w:val="18"/>
              </w:rPr>
              <w:t xml:space="preserve">      "rank": 1,</w:t>
            </w:r>
          </w:p>
          <w:p>
            <w:pPr>
              <w:spacing w:before="0" w:after="40"/>
            </w:pPr>
            <w:r>
              <w:rPr>
                <w:rFonts w:ascii="Courier New" w:cs="Courier New" w:eastAsia="Courier New" w:hAnsi="Courier New"/>
                <w:color w:val="1A3A5C"/>
                <w:sz w:val="18"/>
                <w:szCs w:val="18"/>
              </w:rPr>
              <w:t xml:space="preserve">      "diagnosis": "Acute ST-Elevation Myocardial Infarction (STEMI)",</w:t>
            </w:r>
          </w:p>
          <w:p>
            <w:pPr>
              <w:spacing w:before="0" w:after="40"/>
            </w:pPr>
            <w:r>
              <w:rPr>
                <w:rFonts w:ascii="Courier New" w:cs="Courier New" w:eastAsia="Courier New" w:hAnsi="Courier New"/>
                <w:color w:val="1A3A5C"/>
                <w:sz w:val="18"/>
                <w:szCs w:val="18"/>
              </w:rPr>
              <w:t xml:space="preserve">      "icd10_code": "I21.9",</w:t>
            </w:r>
          </w:p>
          <w:p>
            <w:pPr>
              <w:spacing w:before="0" w:after="40"/>
            </w:pPr>
            <w:r>
              <w:rPr>
                <w:rFonts w:ascii="Courier New" w:cs="Courier New" w:eastAsia="Courier New" w:hAnsi="Courier New"/>
                <w:color w:val="1A3A5C"/>
                <w:sz w:val="18"/>
                <w:szCs w:val="18"/>
              </w:rPr>
              <w:t xml:space="preserve">      "supporting_features": ["sudden onset", "crushing chest pain",</w:t>
            </w:r>
          </w:p>
          <w:p>
            <w:pPr>
              <w:spacing w:before="0" w:after="40"/>
            </w:pPr>
            <w:r>
              <w:rPr>
                <w:rFonts w:ascii="Courier New" w:cs="Courier New" w:eastAsia="Courier New" w:hAnsi="Courier New"/>
                <w:color w:val="1A3A5C"/>
                <w:sz w:val="18"/>
                <w:szCs w:val="18"/>
              </w:rPr>
              <w:t xml:space="preserve">        "radiation to left arm", "diaphoresis", "nausea", "HR 110",</w:t>
            </w:r>
          </w:p>
          <w:p>
            <w:pPr>
              <w:spacing w:before="0" w:after="40"/>
            </w:pPr>
            <w:r>
              <w:rPr>
                <w:rFonts w:ascii="Courier New" w:cs="Courier New" w:eastAsia="Courier New" w:hAnsi="Courier New"/>
                <w:color w:val="1A3A5C"/>
                <w:sz w:val="18"/>
                <w:szCs w:val="18"/>
              </w:rPr>
              <w:t xml:space="preserve">        "SpO2 94%", "hypertension", "diabetes (major risk factor)"],</w:t>
            </w:r>
          </w:p>
          <w:p>
            <w:pPr>
              <w:spacing w:before="0" w:after="40"/>
            </w:pPr>
            <w:r>
              <w:rPr>
                <w:rFonts w:ascii="Courier New" w:cs="Courier New" w:eastAsia="Courier New" w:hAnsi="Courier New"/>
                <w:color w:val="1A3A5C"/>
                <w:sz w:val="18"/>
                <w:szCs w:val="18"/>
              </w:rPr>
              <w:t xml:space="preserve">      "counter_evidence": ["no ECG data available", "no troponin result"],</w:t>
            </w:r>
          </w:p>
          <w:p>
            <w:pPr>
              <w:spacing w:before="0" w:after="40"/>
            </w:pPr>
            <w:r>
              <w:rPr>
                <w:rFonts w:ascii="Courier New" w:cs="Courier New" w:eastAsia="Courier New" w:hAnsi="Courier New"/>
                <w:color w:val="1A3A5C"/>
                <w:sz w:val="18"/>
                <w:szCs w:val="18"/>
              </w:rPr>
              <w:t xml:space="preserve">      "confidence": "high",</w:t>
            </w:r>
          </w:p>
          <w:p>
            <w:pPr>
              <w:spacing w:before="0" w:after="40"/>
            </w:pPr>
            <w:r>
              <w:rPr>
                <w:rFonts w:ascii="Courier New" w:cs="Courier New" w:eastAsia="Courier New" w:hAnsi="Courier New"/>
                <w:color w:val="1A3A5C"/>
                <w:sz w:val="18"/>
                <w:szCs w:val="18"/>
              </w:rPr>
              <w:t xml:space="preserve">      "confidence_rationale": "Classic presentation with 7 concordant features"</w:t>
            </w:r>
          </w:p>
          <w:p>
            <w:pPr>
              <w:spacing w:before="0" w:after="40"/>
            </w:pPr>
            <w:r>
              <w:rPr>
                <w:rFonts w:ascii="Courier New" w:cs="Courier New" w:eastAsia="Courier New" w:hAnsi="Courier New"/>
                <w:color w:val="1A3A5C"/>
                <w:sz w:val="18"/>
                <w:szCs w:val="18"/>
              </w:rPr>
              <w:t xml:space="preserve">    },</w:t>
            </w:r>
          </w:p>
          <w:p>
            <w:pPr>
              <w:spacing w:before="0" w:after="40"/>
            </w:pPr>
            <w:r>
              <w:rPr>
                <w:rFonts w:ascii="Courier New" w:cs="Courier New" w:eastAsia="Courier New" w:hAnsi="Courier New"/>
                <w:color w:val="1A3A5C"/>
                <w:sz w:val="18"/>
                <w:szCs w:val="18"/>
              </w:rPr>
              <w:t xml:space="preserve">    { "rank": 2, "diagnosis": "Unstable Angina", ... },</w:t>
            </w:r>
          </w:p>
          <w:p>
            <w:pPr>
              <w:spacing w:before="0" w:after="40"/>
            </w:pPr>
            <w:r>
              <w:rPr>
                <w:rFonts w:ascii="Courier New" w:cs="Courier New" w:eastAsia="Courier New" w:hAnsi="Courier New"/>
                <w:color w:val="1A3A5C"/>
                <w:sz w:val="18"/>
                <w:szCs w:val="18"/>
              </w:rPr>
              <w:t xml:space="preserve">    { "rank": 3, "diagnosis": "Aortic Dissection", ... }</w:t>
            </w:r>
          </w:p>
          <w:p>
            <w:pPr>
              <w:spacing w:before="0" w:after="40"/>
            </w:pPr>
            <w:r>
              <w:rPr>
                <w:rFonts w:ascii="Courier New" w:cs="Courier New" w:eastAsia="Courier New" w:hAnsi="Courier New"/>
                <w:color w:val="1A3A5C"/>
                <w:sz w:val="18"/>
                <w:szCs w:val="18"/>
              </w:rPr>
              <w:t xml:space="preserve">  ],</w:t>
            </w:r>
          </w:p>
          <w:p>
            <w:pPr>
              <w:spacing w:before="0" w:after="40"/>
            </w:pPr>
            <w:r>
              <w:rPr>
                <w:rFonts w:ascii="Courier New" w:cs="Courier New" w:eastAsia="Courier New" w:hAnsi="Courier New"/>
                <w:color w:val="1A3A5C"/>
                <w:sz w:val="18"/>
                <w:szCs w:val="18"/>
              </w:rPr>
              <w:t xml:space="preserve">  "critical_to_exclude": [</w:t>
            </w:r>
          </w:p>
          <w:p>
            <w:pPr>
              <w:spacing w:before="0" w:after="40"/>
            </w:pPr>
            <w:r>
              <w:rPr>
                <w:rFonts w:ascii="Courier New" w:cs="Courier New" w:eastAsia="Courier New" w:hAnsi="Courier New"/>
                <w:color w:val="1A3A5C"/>
                <w:sz w:val="18"/>
                <w:szCs w:val="18"/>
              </w:rPr>
              <w:t xml:space="preserve">    {</w:t>
            </w:r>
          </w:p>
          <w:p>
            <w:pPr>
              <w:spacing w:before="0" w:after="40"/>
            </w:pPr>
            <w:r>
              <w:rPr>
                <w:rFonts w:ascii="Courier New" w:cs="Courier New" w:eastAsia="Courier New" w:hAnsi="Courier New"/>
                <w:color w:val="1A3A5C"/>
                <w:sz w:val="18"/>
                <w:szCs w:val="18"/>
              </w:rPr>
              <w:t xml:space="preserve">      "condition": "Aortic Dissection",</w:t>
            </w:r>
          </w:p>
          <w:p>
            <w:pPr>
              <w:spacing w:before="0" w:after="40"/>
            </w:pPr>
            <w:r>
              <w:rPr>
                <w:rFonts w:ascii="Courier New" w:cs="Courier New" w:eastAsia="Courier New" w:hAnsi="Courier New"/>
                <w:color w:val="1A3A5C"/>
                <w:sz w:val="18"/>
                <w:szCs w:val="18"/>
              </w:rPr>
              <w:t xml:space="preserve">      "reason": "Hypertension + sudden severe chest pain — mortality &gt;50% if missed",</w:t>
            </w:r>
          </w:p>
          <w:p>
            <w:pPr>
              <w:spacing w:before="0" w:after="40"/>
            </w:pPr>
            <w:r>
              <w:rPr>
                <w:rFonts w:ascii="Courier New" w:cs="Courier New" w:eastAsia="Courier New" w:hAnsi="Courier New"/>
                <w:color w:val="1A3A5C"/>
                <w:sz w:val="18"/>
                <w:szCs w:val="18"/>
              </w:rPr>
              <w:t xml:space="preserve">      "exclusion_criteria": "CT angiogram or D-dimer; absence of pulse deficit"</w:t>
            </w:r>
          </w:p>
          <w:p>
            <w:pPr>
              <w:spacing w:before="0" w:after="40"/>
            </w:pPr>
            <w:r>
              <w:rPr>
                <w:rFonts w:ascii="Courier New" w:cs="Courier New" w:eastAsia="Courier New" w:hAnsi="Courier New"/>
                <w:color w:val="1A3A5C"/>
                <w:sz w:val="18"/>
                <w:szCs w:val="18"/>
              </w:rPr>
              <w:t xml:space="preserve">    }</w:t>
            </w:r>
          </w:p>
          <w:p>
            <w:pPr>
              <w:spacing w:before="0" w:after="40"/>
            </w:pPr>
            <w:r>
              <w:rPr>
                <w:rFonts w:ascii="Courier New" w:cs="Courier New" w:eastAsia="Courier New" w:hAnsi="Courier New"/>
                <w:color w:val="1A3A5C"/>
                <w:sz w:val="18"/>
                <w:szCs w:val="18"/>
              </w:rPr>
              <w:t xml:space="preserve">  ],</w:t>
            </w:r>
          </w:p>
          <w:p>
            <w:pPr>
              <w:spacing w:before="0" w:after="40"/>
            </w:pPr>
            <w:r>
              <w:rPr>
                <w:rFonts w:ascii="Courier New" w:cs="Courier New" w:eastAsia="Courier New" w:hAnsi="Courier New"/>
                <w:color w:val="1A3A5C"/>
                <w:sz w:val="18"/>
                <w:szCs w:val="18"/>
              </w:rPr>
              <w:t xml:space="preserve">  "missing_information": ["ECG", "troponin I/T", "respiratory rate", "pain score"],</w:t>
            </w:r>
          </w:p>
          <w:p>
            <w:pPr>
              <w:spacing w:before="0" w:after="40"/>
            </w:pPr>
            <w:r>
              <w:rPr>
                <w:rFonts w:ascii="Courier New" w:cs="Courier New" w:eastAsia="Courier New" w:hAnsi="Courier New"/>
                <w:color w:val="1A3A5C"/>
                <w:sz w:val="18"/>
                <w:szCs w:val="18"/>
              </w:rPr>
              <w:t xml:space="preserve">  "reasoning_transparency": "Bayesian reasoning from 7 concordant ACS features..."</w:t>
            </w:r>
          </w:p>
          <w:p>
            <w:pPr>
              <w:spacing w:before="0" w:after="0"/>
            </w:pPr>
            <w:r>
              <w:rPr>
                <w:rFonts w:ascii="Courier New" w:cs="Courier New" w:eastAsia="Courier New" w:hAnsi="Courier New"/>
                <w:color w:val="1A3A5C"/>
                <w:sz w:val="18"/>
                <w:szCs w:val="18"/>
              </w:rPr>
              <w:t xml:space="preserve">}</w:t>
            </w:r>
          </w:p>
        </w:tc>
      </w:tr>
    </w:tbl>
    <w:p>
      <w:pPr>
        <w:spacing w:before="160" w:after="0"/>
      </w:pPr>
      <w:r>
        <w:rPr>
          <w:rFonts w:ascii="Arial" w:cs="Arial" w:eastAsia="Arial" w:hAnsi="Arial"/>
          <w:sz w:val="22"/>
          <w:szCs w:val="22"/>
        </w:rPr>
        <w:t xml:space="preserve"/>
      </w:r>
    </w:p>
    <w:p>
      <w:pPr>
        <w:pStyle w:val="Heading2"/>
      </w:pPr>
      <w:r>
        <w:rPr>
          <w:rFonts w:ascii="Arial" w:cs="Arial" w:eastAsia="Arial" w:hAnsi="Arial"/>
          <w:b/>
          <w:bCs/>
          <w:color w:val="1B5E8B"/>
          <w:sz w:val="28"/>
          <w:szCs w:val="28"/>
        </w:rPr>
        <w:t xml:space="preserve">5.4  Agent 3 — Risk Stratification (excerpt)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E0" w:sz="1"/>
              <w:left w:val="single" w:color="BBCFE0" w:sz="1"/>
              <w:bottom w:val="single" w:color="BBCFE0" w:sz="1"/>
              <w:right w:val="single" w:color="BBCFE0" w:sz="1"/>
            </w:tcBorders>
            <w:shd w:fill="EEF3F8" w:val="clear"/>
            <w:tcMar>
              <w:top w:type="dxa" w:w="100"/>
              <w:left w:type="dxa" w:w="180"/>
              <w:bottom w:type="dxa" w:w="100"/>
              <w:right w:type="dxa" w:w="180"/>
            </w:tcMar>
          </w:tcPr>
          <w:p>
            <w:pPr>
              <w:spacing w:before="0" w:after="40"/>
            </w:pPr>
            <w:r>
              <w:rPr>
                <w:rFonts w:ascii="Courier New" w:cs="Courier New" w:eastAsia="Courier New" w:hAnsi="Courier New"/>
                <w:color w:val="1A3A5C"/>
                <w:sz w:val="18"/>
                <w:szCs w:val="18"/>
              </w:rPr>
              <w:t xml:space="preserve">{</w:t>
            </w:r>
          </w:p>
          <w:p>
            <w:pPr>
              <w:spacing w:before="0" w:after="40"/>
            </w:pPr>
            <w:r>
              <w:rPr>
                <w:rFonts w:ascii="Courier New" w:cs="Courier New" w:eastAsia="Courier New" w:hAnsi="Courier New"/>
                <w:color w:val="1A3A5C"/>
                <w:sz w:val="18"/>
                <w:szCs w:val="18"/>
              </w:rPr>
              <w:t xml:space="preserve">  "triage_level": "IMMEDIATE",</w:t>
            </w:r>
          </w:p>
          <w:p>
            <w:pPr>
              <w:spacing w:before="0" w:after="40"/>
            </w:pPr>
            <w:r>
              <w:rPr>
                <w:rFonts w:ascii="Courier New" w:cs="Courier New" w:eastAsia="Courier New" w:hAnsi="Courier New"/>
                <w:color w:val="1A3A5C"/>
                <w:sz w:val="18"/>
                <w:szCs w:val="18"/>
              </w:rPr>
              <w:t xml:space="preserve">  "triage_color": "Red",</w:t>
            </w:r>
          </w:p>
          <w:p>
            <w:pPr>
              <w:spacing w:before="0" w:after="40"/>
            </w:pPr>
            <w:r>
              <w:rPr>
                <w:rFonts w:ascii="Courier New" w:cs="Courier New" w:eastAsia="Courier New" w:hAnsi="Courier New"/>
                <w:color w:val="1A3A5C"/>
                <w:sz w:val="18"/>
                <w:szCs w:val="18"/>
              </w:rPr>
              <w:t xml:space="preserve">  "maximum_wait_minutes": 0,</w:t>
            </w:r>
          </w:p>
          <w:p>
            <w:pPr>
              <w:spacing w:before="0" w:after="40"/>
            </w:pPr>
            <w:r>
              <w:rPr>
                <w:rFonts w:ascii="Courier New" w:cs="Courier New" w:eastAsia="Courier New" w:hAnsi="Courier New"/>
                <w:color w:val="1A3A5C"/>
                <w:sz w:val="18"/>
                <w:szCs w:val="18"/>
              </w:rPr>
              <w:t xml:space="preserve">  "justification": {</w:t>
            </w:r>
          </w:p>
          <w:p>
            <w:pPr>
              <w:spacing w:before="0" w:after="40"/>
            </w:pPr>
            <w:r>
              <w:rPr>
                <w:rFonts w:ascii="Courier New" w:cs="Courier New" w:eastAsia="Courier New" w:hAnsi="Courier New"/>
                <w:color w:val="1A3A5C"/>
                <w:sz w:val="18"/>
                <w:szCs w:val="18"/>
              </w:rPr>
              <w:t xml:space="preserve">    "red_flags": [</w:t>
            </w:r>
          </w:p>
          <w:p>
            <w:pPr>
              <w:spacing w:before="0" w:after="40"/>
            </w:pPr>
            <w:r>
              <w:rPr>
                <w:rFonts w:ascii="Courier New" w:cs="Courier New" w:eastAsia="Courier New" w:hAnsi="Courier New"/>
                <w:color w:val="1A3A5C"/>
                <w:sz w:val="18"/>
                <w:szCs w:val="18"/>
              </w:rPr>
              <w:t xml:space="preserve">      "Chest pain with radiation — ACS cannot be excluded",</w:t>
            </w:r>
          </w:p>
          <w:p>
            <w:pPr>
              <w:spacing w:before="0" w:after="40"/>
            </w:pPr>
            <w:r>
              <w:rPr>
                <w:rFonts w:ascii="Courier New" w:cs="Courier New" w:eastAsia="Courier New" w:hAnsi="Courier New"/>
                <w:color w:val="1A3A5C"/>
                <w:sz w:val="18"/>
                <w:szCs w:val="18"/>
              </w:rPr>
              <w:t xml:space="preserve">      "SpO2 94% — hypoxaemia",</w:t>
            </w:r>
          </w:p>
          <w:p>
            <w:pPr>
              <w:spacing w:before="0" w:after="40"/>
            </w:pPr>
            <w:r>
              <w:rPr>
                <w:rFonts w:ascii="Courier New" w:cs="Courier New" w:eastAsia="Courier New" w:hAnsi="Courier New"/>
                <w:color w:val="1A3A5C"/>
                <w:sz w:val="18"/>
                <w:szCs w:val="18"/>
              </w:rPr>
              <w:t xml:space="preserve">      "HR 110 — tachycardia indicating haemodynamic stress",</w:t>
            </w:r>
          </w:p>
          <w:p>
            <w:pPr>
              <w:spacing w:before="0" w:after="40"/>
            </w:pPr>
            <w:r>
              <w:rPr>
                <w:rFonts w:ascii="Courier New" w:cs="Courier New" w:eastAsia="Courier New" w:hAnsi="Courier New"/>
                <w:color w:val="1A3A5C"/>
                <w:sz w:val="18"/>
                <w:szCs w:val="18"/>
              </w:rPr>
              <w:t xml:space="preserve">      "critical_to_exclude: aortic dissection present"</w:t>
            </w:r>
          </w:p>
          <w:p>
            <w:pPr>
              <w:spacing w:before="0" w:after="40"/>
            </w:pPr>
            <w:r>
              <w:rPr>
                <w:rFonts w:ascii="Courier New" w:cs="Courier New" w:eastAsia="Courier New" w:hAnsi="Courier New"/>
                <w:color w:val="1A3A5C"/>
                <w:sz w:val="18"/>
                <w:szCs w:val="18"/>
              </w:rPr>
              <w:t xml:space="preserve">    ],</w:t>
            </w:r>
          </w:p>
          <w:p>
            <w:pPr>
              <w:spacing w:before="0" w:after="40"/>
            </w:pPr>
            <w:r>
              <w:rPr>
                <w:rFonts w:ascii="Courier New" w:cs="Courier New" w:eastAsia="Courier New" w:hAnsi="Courier New"/>
                <w:color w:val="1A3A5C"/>
                <w:sz w:val="18"/>
                <w:szCs w:val="18"/>
              </w:rPr>
              <w:t xml:space="preserve">    "reassuring_features": ["patient is conscious", "BP not critically low"],</w:t>
            </w:r>
          </w:p>
          <w:p>
            <w:pPr>
              <w:spacing w:before="0" w:after="40"/>
            </w:pPr>
            <w:r>
              <w:rPr>
                <w:rFonts w:ascii="Courier New" w:cs="Courier New" w:eastAsia="Courier New" w:hAnsi="Courier New"/>
                <w:color w:val="1A3A5C"/>
                <w:sz w:val="18"/>
                <w:szCs w:val="18"/>
              </w:rPr>
              <w:t xml:space="preserve">    "triage_rationale": "Multiple red flags for STEMI..."</w:t>
            </w:r>
          </w:p>
          <w:p>
            <w:pPr>
              <w:spacing w:before="0" w:after="40"/>
            </w:pPr>
            <w:r>
              <w:rPr>
                <w:rFonts w:ascii="Courier New" w:cs="Courier New" w:eastAsia="Courier New" w:hAnsi="Courier New"/>
                <w:color w:val="1A3A5C"/>
                <w:sz w:val="18"/>
                <w:szCs w:val="18"/>
              </w:rPr>
              <w:t xml:space="preserve">  },</w:t>
            </w:r>
          </w:p>
          <w:p>
            <w:pPr>
              <w:spacing w:before="0" w:after="40"/>
            </w:pPr>
            <w:r>
              <w:rPr>
                <w:rFonts w:ascii="Courier New" w:cs="Courier New" w:eastAsia="Courier New" w:hAnsi="Courier New"/>
                <w:color w:val="1A3A5C"/>
                <w:sz w:val="18"/>
                <w:szCs w:val="18"/>
              </w:rPr>
              <w:t xml:space="preserve">  "immediate_actions": ["12-lead ECG within 10 minutes", "IV access", "O2 supplementation"],</w:t>
            </w:r>
          </w:p>
          <w:p>
            <w:pPr>
              <w:spacing w:before="0" w:after="40"/>
            </w:pPr>
            <w:r>
              <w:rPr>
                <w:rFonts w:ascii="Courier New" w:cs="Courier New" w:eastAsia="Courier New" w:hAnsi="Courier New"/>
                <w:color w:val="1A3A5C"/>
                <w:sz w:val="18"/>
                <w:szCs w:val="18"/>
              </w:rPr>
              <w:t xml:space="preserve">  "triage_reliability": "medium",</w:t>
            </w:r>
          </w:p>
          <w:p>
            <w:pPr>
              <w:spacing w:before="0" w:after="40"/>
            </w:pPr>
            <w:r>
              <w:rPr>
                <w:rFonts w:ascii="Courier New" w:cs="Courier New" w:eastAsia="Courier New" w:hAnsi="Courier New"/>
                <w:color w:val="1A3A5C"/>
                <w:sz w:val="18"/>
                <w:szCs w:val="18"/>
              </w:rPr>
              <w:t xml:space="preserve">  "reliability_caveat": "Respiratory rate and ECG absent"</w:t>
            </w:r>
          </w:p>
          <w:p>
            <w:pPr>
              <w:spacing w:before="0" w:after="0"/>
            </w:pPr>
            <w:r>
              <w:rPr>
                <w:rFonts w:ascii="Courier New" w:cs="Courier New" w:eastAsia="Courier New" w:hAnsi="Courier New"/>
                <w:color w:val="1A3A5C"/>
                <w:sz w:val="18"/>
                <w:szCs w:val="18"/>
              </w:rPr>
              <w:t xml:space="preserve">}</w:t>
            </w:r>
          </w:p>
        </w:tc>
      </w:tr>
    </w:tbl>
    <w:p>
      <w:pPr>
        <w:spacing w:before="160" w:after="0"/>
      </w:pPr>
      <w:r>
        <w:rPr>
          <w:rFonts w:ascii="Arial" w:cs="Arial" w:eastAsia="Arial" w:hAnsi="Arial"/>
          <w:sz w:val="22"/>
          <w:szCs w:val="22"/>
        </w:rPr>
        <w:t xml:space="preserve"/>
      </w:r>
    </w:p>
    <w:p>
      <w:pPr>
        <w:pStyle w:val="Heading2"/>
      </w:pPr>
      <w:r>
        <w:rPr>
          <w:rFonts w:ascii="Arial" w:cs="Arial" w:eastAsia="Arial" w:hAnsi="Arial"/>
          <w:b/>
          <w:bCs/>
          <w:color w:val="1B5E8B"/>
          <w:sz w:val="28"/>
          <w:szCs w:val="28"/>
        </w:rPr>
        <w:t xml:space="preserve">5.5  Agent 4 — Safety Evaluation (JSON output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E0" w:sz="1"/>
              <w:left w:val="single" w:color="BBCFE0" w:sz="1"/>
              <w:bottom w:val="single" w:color="BBCFE0" w:sz="1"/>
              <w:right w:val="single" w:color="BBCFE0" w:sz="1"/>
            </w:tcBorders>
            <w:shd w:fill="EEF3F8" w:val="clear"/>
            <w:tcMar>
              <w:top w:type="dxa" w:w="100"/>
              <w:left w:type="dxa" w:w="180"/>
              <w:bottom w:type="dxa" w:w="100"/>
              <w:right w:type="dxa" w:w="180"/>
            </w:tcMar>
          </w:tcPr>
          <w:p>
            <w:pPr>
              <w:spacing w:before="0" w:after="40"/>
            </w:pPr>
            <w:r>
              <w:rPr>
                <w:rFonts w:ascii="Courier New" w:cs="Courier New" w:eastAsia="Courier New" w:hAnsi="Courier New"/>
                <w:color w:val="1A3A5C"/>
                <w:sz w:val="18"/>
                <w:szCs w:val="18"/>
              </w:rPr>
              <w:t xml:space="preserve">{</w:t>
            </w:r>
          </w:p>
          <w:p>
            <w:pPr>
              <w:spacing w:before="0" w:after="40"/>
            </w:pPr>
            <w:r>
              <w:rPr>
                <w:rFonts w:ascii="Courier New" w:cs="Courier New" w:eastAsia="Courier New" w:hAnsi="Courier New"/>
                <w:color w:val="1A3A5C"/>
                <w:sz w:val="18"/>
                <w:szCs w:val="18"/>
              </w:rPr>
              <w:t xml:space="preserve">  "safety_score": 8,</w:t>
            </w:r>
          </w:p>
          <w:p>
            <w:pPr>
              <w:spacing w:before="0" w:after="40"/>
            </w:pPr>
            <w:r>
              <w:rPr>
                <w:rFonts w:ascii="Courier New" w:cs="Courier New" w:eastAsia="Courier New" w:hAnsi="Courier New"/>
                <w:color w:val="1A3A5C"/>
                <w:sz w:val="18"/>
                <w:szCs w:val="18"/>
              </w:rPr>
              <w:t xml:space="preserve">  "approved": true,</w:t>
            </w:r>
          </w:p>
          <w:p>
            <w:pPr>
              <w:spacing w:before="0" w:after="40"/>
            </w:pPr>
            <w:r>
              <w:rPr>
                <w:rFonts w:ascii="Courier New" w:cs="Courier New" w:eastAsia="Courier New" w:hAnsi="Courier New"/>
                <w:color w:val="1A3A5C"/>
                <w:sz w:val="18"/>
                <w:szCs w:val="18"/>
              </w:rPr>
              <w:t xml:space="preserve">  "risk_breakdown": {</w:t>
            </w:r>
          </w:p>
          <w:p>
            <w:pPr>
              <w:spacing w:before="0" w:after="40"/>
            </w:pPr>
            <w:r>
              <w:rPr>
                <w:rFonts w:ascii="Courier New" w:cs="Courier New" w:eastAsia="Courier New" w:hAnsi="Courier New"/>
                <w:color w:val="1A3A5C"/>
                <w:sz w:val="18"/>
                <w:szCs w:val="18"/>
              </w:rPr>
              <w:t xml:space="preserve">    "hallucination_risk": 0,</w:t>
            </w:r>
          </w:p>
          <w:p>
            <w:pPr>
              <w:spacing w:before="0" w:after="40"/>
            </w:pPr>
            <w:r>
              <w:rPr>
                <w:rFonts w:ascii="Courier New" w:cs="Courier New" w:eastAsia="Courier New" w:hAnsi="Courier New"/>
                <w:color w:val="1A3A5C"/>
                <w:sz w:val="18"/>
                <w:szCs w:val="18"/>
              </w:rPr>
              <w:t xml:space="preserve">    "overconfidence_risk": 1,</w:t>
            </w:r>
          </w:p>
          <w:p>
            <w:pPr>
              <w:spacing w:before="0" w:after="40"/>
            </w:pPr>
            <w:r>
              <w:rPr>
                <w:rFonts w:ascii="Courier New" w:cs="Courier New" w:eastAsia="Courier New" w:hAnsi="Courier New"/>
                <w:color w:val="1A3A5C"/>
                <w:sz w:val="18"/>
                <w:szCs w:val="18"/>
              </w:rPr>
              <w:t xml:space="preserve">    "anchoring_bias_risk": 1,</w:t>
            </w:r>
          </w:p>
          <w:p>
            <w:pPr>
              <w:spacing w:before="0" w:after="40"/>
            </w:pPr>
            <w:r>
              <w:rPr>
                <w:rFonts w:ascii="Courier New" w:cs="Courier New" w:eastAsia="Courier New" w:hAnsi="Courier New"/>
                <w:color w:val="1A3A5C"/>
                <w:sz w:val="18"/>
                <w:szCs w:val="18"/>
              </w:rPr>
              <w:t xml:space="preserve">    "omission_risk": 0,</w:t>
            </w:r>
          </w:p>
          <w:p>
            <w:pPr>
              <w:spacing w:before="0" w:after="40"/>
            </w:pPr>
            <w:r>
              <w:rPr>
                <w:rFonts w:ascii="Courier New" w:cs="Courier New" w:eastAsia="Courier New" w:hAnsi="Courier New"/>
                <w:color w:val="1A3A5C"/>
                <w:sz w:val="18"/>
                <w:szCs w:val="18"/>
              </w:rPr>
              <w:t xml:space="preserve">    "privacy_compliance_risk": 0,</w:t>
            </w:r>
          </w:p>
          <w:p>
            <w:pPr>
              <w:spacing w:before="0" w:after="40"/>
            </w:pPr>
            <w:r>
              <w:rPr>
                <w:rFonts w:ascii="Courier New" w:cs="Courier New" w:eastAsia="Courier New" w:hAnsi="Courier New"/>
                <w:color w:val="1A3A5C"/>
                <w:sz w:val="18"/>
                <w:szCs w:val="18"/>
              </w:rPr>
              <w:t xml:space="preserve">    "ai_act_compliance_risk": 0</w:t>
            </w:r>
          </w:p>
          <w:p>
            <w:pPr>
              <w:spacing w:before="0" w:after="40"/>
            </w:pPr>
            <w:r>
              <w:rPr>
                <w:rFonts w:ascii="Courier New" w:cs="Courier New" w:eastAsia="Courier New" w:hAnsi="Courier New"/>
                <w:color w:val="1A3A5C"/>
                <w:sz w:val="18"/>
                <w:szCs w:val="18"/>
              </w:rPr>
              <w:t xml:space="preserve">  },</w:t>
            </w:r>
          </w:p>
          <w:p>
            <w:pPr>
              <w:spacing w:before="0" w:after="40"/>
            </w:pPr>
            <w:r>
              <w:rPr>
                <w:rFonts w:ascii="Courier New" w:cs="Courier New" w:eastAsia="Courier New" w:hAnsi="Courier New"/>
                <w:color w:val="1A3A5C"/>
                <w:sz w:val="18"/>
                <w:szCs w:val="18"/>
              </w:rPr>
              <w:t xml:space="preserve">  "critical_issues": [</w:t>
            </w:r>
          </w:p>
          <w:p>
            <w:pPr>
              <w:spacing w:before="0" w:after="40"/>
            </w:pPr>
            <w:r>
              <w:rPr>
                <w:rFonts w:ascii="Courier New" w:cs="Courier New" w:eastAsia="Courier New" w:hAnsi="Courier New"/>
                <w:color w:val="1A3A5C"/>
                <w:sz w:val="18"/>
                <w:szCs w:val="18"/>
              </w:rPr>
              <w:t xml:space="preserve">    "Confidence high on STEMI with absent ECG — flagged as minor overconfidence",</w:t>
            </w:r>
          </w:p>
          <w:p>
            <w:pPr>
              <w:spacing w:before="0" w:after="40"/>
            </w:pPr>
            <w:r>
              <w:rPr>
                <w:rFonts w:ascii="Courier New" w:cs="Courier New" w:eastAsia="Courier New" w:hAnsi="Courier New"/>
                <w:color w:val="1A3A5C"/>
                <w:sz w:val="18"/>
                <w:szCs w:val="18"/>
              </w:rPr>
              <w:t xml:space="preserve">    "Aortic dissection listed as critical_to_exclude — anchoring bias risk minor"</w:t>
            </w:r>
          </w:p>
          <w:p>
            <w:pPr>
              <w:spacing w:before="0" w:after="40"/>
            </w:pPr>
            <w:r>
              <w:rPr>
                <w:rFonts w:ascii="Courier New" w:cs="Courier New" w:eastAsia="Courier New" w:hAnsi="Courier New"/>
                <w:color w:val="1A3A5C"/>
                <w:sz w:val="18"/>
                <w:szCs w:val="18"/>
              </w:rPr>
              <w:t xml:space="preserve">  ],</w:t>
            </w:r>
          </w:p>
          <w:p>
            <w:pPr>
              <w:spacing w:before="0" w:after="40"/>
            </w:pPr>
            <w:r>
              <w:rPr>
                <w:rFonts w:ascii="Courier New" w:cs="Courier New" w:eastAsia="Courier New" w:hAnsi="Courier New"/>
                <w:color w:val="1A3A5C"/>
                <w:sz w:val="18"/>
                <w:szCs w:val="18"/>
              </w:rPr>
              <w:t xml:space="preserve">  "quality_badge": "✅ Approved",</w:t>
            </w:r>
          </w:p>
          <w:p>
            <w:pPr>
              <w:spacing w:before="0" w:after="40"/>
            </w:pPr>
            <w:r>
              <w:rPr>
                <w:rFonts w:ascii="Courier New" w:cs="Courier New" w:eastAsia="Courier New" w:hAnsi="Courier New"/>
                <w:color w:val="1A3A5C"/>
                <w:sz w:val="18"/>
                <w:szCs w:val="18"/>
              </w:rPr>
              <w:t xml:space="preserve">  "human_review_required": false,</w:t>
            </w:r>
          </w:p>
          <w:p>
            <w:pPr>
              <w:spacing w:before="0" w:after="40"/>
            </w:pPr>
            <w:r>
              <w:rPr>
                <w:rFonts w:ascii="Courier New" w:cs="Courier New" w:eastAsia="Courier New" w:hAnsi="Courier New"/>
                <w:color w:val="1A3A5C"/>
                <w:sz w:val="18"/>
                <w:szCs w:val="18"/>
              </w:rPr>
              <w:t xml:space="preserve">  "regulatory_note": "Report uses conditional clinical language throughout — AI Act compliant"</w:t>
            </w:r>
          </w:p>
          <w:p>
            <w:pPr>
              <w:spacing w:before="0" w:after="0"/>
            </w:pPr>
            <w:r>
              <w:rPr>
                <w:rFonts w:ascii="Courier New" w:cs="Courier New" w:eastAsia="Courier New" w:hAnsi="Courier New"/>
                <w:color w:val="1A3A5C"/>
                <w:sz w:val="18"/>
                <w:szCs w:val="18"/>
              </w:rPr>
              <w:t xml:space="preserve">}</w:t>
            </w:r>
          </w:p>
        </w:tc>
      </w:tr>
    </w:tbl>
    <w:p>
      <w:pPr>
        <w:spacing w:before="200" w:after="0"/>
      </w:pPr>
      <w:r>
        <w:rPr>
          <w:rFonts w:ascii="Arial" w:cs="Arial" w:eastAsia="Arial" w:hAnsi="Arial"/>
          <w:sz w:val="22"/>
          <w:szCs w:val="22"/>
        </w:rPr>
        <w:t xml:space="preserve"/>
      </w:r>
    </w:p>
    <w:p>
      <w:pPr>
        <w:pBdr>
          <w:bottom w:val="single" w:color="D6E8F4" w:sz="4" w:space="1"/>
        </w:pBdr>
      </w:pPr>
      <w:r>
        <w:rPr>
          <w:rFonts w:ascii="Arial" w:cs="Arial" w:eastAsia="Arial" w:hAnsi="Arial"/>
          <w:sz w:val="22"/>
          <w:szCs w:val="22"/>
        </w:rPr>
        <w:t xml:space="preserve"/>
      </w:r>
    </w:p>
    <w:p>
      <w:r>
        <w:br w:type="page"/>
      </w:r>
    </w:p>
    <w:p>
      <w:pPr>
        <w:pStyle w:val="Heading1"/>
      </w:pPr>
      <w:r>
        <w:rPr>
          <w:rFonts w:ascii="Arial" w:cs="Arial" w:eastAsia="Arial" w:hAnsi="Arial"/>
          <w:b/>
          <w:bCs/>
          <w:color w:val="1B5E8B"/>
          <w:sz w:val="34"/>
          <w:szCs w:val="34"/>
        </w:rPr>
        <w:t xml:space="preserve">6. Evaluation Framework</w:t>
      </w:r>
    </w:p>
    <w:p>
      <w:pPr>
        <w:pStyle w:val="Heading2"/>
      </w:pPr>
      <w:r>
        <w:rPr>
          <w:rFonts w:ascii="Arial" w:cs="Arial" w:eastAsia="Arial" w:hAnsi="Arial"/>
          <w:b/>
          <w:bCs/>
          <w:color w:val="1B5E8B"/>
          <w:sz w:val="28"/>
          <w:szCs w:val="28"/>
        </w:rPr>
        <w:t xml:space="preserve">6.1  Quantitative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600"/>
        <w:gridCol w:w="2960"/>
      </w:tblGrid>
      <w:tr>
        <w:tc>
          <w:tcPr>
            <w:tcW w:type="dxa" w:w="2000"/>
            <w:tcBorders>
              <w:top w:val="single" w:color="BBCFE0" w:sz="1"/>
              <w:left w:val="single" w:color="BBCFE0" w:sz="1"/>
              <w:bottom w:val="single" w:color="BBCFE0" w:sz="1"/>
              <w:right w:val="single" w:color="BBCFE0" w:sz="1"/>
            </w:tcBorders>
            <w:shd w:fill="D6E8F4" w:val="clear"/>
            <w:tcMar>
              <w:top w:type="dxa" w:w="80"/>
              <w:left w:type="dxa" w:w="120"/>
              <w:bottom w:type="dxa" w:w="80"/>
              <w:right w:type="dxa" w:w="120"/>
            </w:tcMar>
          </w:tcPr>
          <w:p>
            <w:r>
              <w:rPr>
                <w:rFonts w:ascii="Arial" w:cs="Arial" w:eastAsia="Arial" w:hAnsi="Arial"/>
                <w:b/>
                <w:bCs/>
                <w:color w:val="1B5E8B"/>
                <w:sz w:val="20"/>
                <w:szCs w:val="20"/>
              </w:rPr>
              <w:t xml:space="preserve">Metric</w:t>
            </w:r>
          </w:p>
        </w:tc>
        <w:tc>
          <w:tcPr>
            <w:tcW w:type="dxa" w:w="2800"/>
            <w:tcBorders>
              <w:top w:val="single" w:color="BBCFE0" w:sz="1"/>
              <w:left w:val="single" w:color="BBCFE0" w:sz="1"/>
              <w:bottom w:val="single" w:color="BBCFE0" w:sz="1"/>
              <w:right w:val="single" w:color="BBCFE0" w:sz="1"/>
            </w:tcBorders>
            <w:shd w:fill="D6E8F4" w:val="clear"/>
            <w:tcMar>
              <w:top w:type="dxa" w:w="80"/>
              <w:left w:type="dxa" w:w="120"/>
              <w:bottom w:type="dxa" w:w="80"/>
              <w:right w:type="dxa" w:w="120"/>
            </w:tcMar>
          </w:tcPr>
          <w:p>
            <w:r>
              <w:rPr>
                <w:rFonts w:ascii="Arial" w:cs="Arial" w:eastAsia="Arial" w:hAnsi="Arial"/>
                <w:b/>
                <w:bCs/>
                <w:color w:val="1B5E8B"/>
                <w:sz w:val="20"/>
                <w:szCs w:val="20"/>
              </w:rPr>
              <w:t xml:space="preserve">Definition</w:t>
            </w:r>
          </w:p>
        </w:tc>
        <w:tc>
          <w:tcPr>
            <w:tcW w:type="dxa" w:w="1600"/>
            <w:tcBorders>
              <w:top w:val="single" w:color="BBCFE0" w:sz="1"/>
              <w:left w:val="single" w:color="BBCFE0" w:sz="1"/>
              <w:bottom w:val="single" w:color="BBCFE0" w:sz="1"/>
              <w:right w:val="single" w:color="BBCFE0" w:sz="1"/>
            </w:tcBorders>
            <w:shd w:fill="D6E8F4" w:val="clear"/>
            <w:tcMar>
              <w:top w:type="dxa" w:w="80"/>
              <w:left w:type="dxa" w:w="120"/>
              <w:bottom w:type="dxa" w:w="80"/>
              <w:right w:type="dxa" w:w="120"/>
            </w:tcMar>
          </w:tcPr>
          <w:p>
            <w:r>
              <w:rPr>
                <w:rFonts w:ascii="Arial" w:cs="Arial" w:eastAsia="Arial" w:hAnsi="Arial"/>
                <w:b/>
                <w:bCs/>
                <w:color w:val="1B5E8B"/>
                <w:sz w:val="20"/>
                <w:szCs w:val="20"/>
              </w:rPr>
              <w:t xml:space="preserve">Target</w:t>
            </w:r>
          </w:p>
        </w:tc>
        <w:tc>
          <w:tcPr>
            <w:tcW w:type="dxa" w:w="2960"/>
            <w:tcBorders>
              <w:top w:val="single" w:color="BBCFE0" w:sz="1"/>
              <w:left w:val="single" w:color="BBCFE0" w:sz="1"/>
              <w:bottom w:val="single" w:color="BBCFE0" w:sz="1"/>
              <w:right w:val="single" w:color="BBCFE0" w:sz="1"/>
            </w:tcBorders>
            <w:shd w:fill="D6E8F4" w:val="clear"/>
            <w:tcMar>
              <w:top w:type="dxa" w:w="80"/>
              <w:left w:type="dxa" w:w="120"/>
              <w:bottom w:type="dxa" w:w="80"/>
              <w:right w:type="dxa" w:w="120"/>
            </w:tcMar>
          </w:tcPr>
          <w:p>
            <w:r>
              <w:rPr>
                <w:rFonts w:ascii="Arial" w:cs="Arial" w:eastAsia="Arial" w:hAnsi="Arial"/>
                <w:b/>
                <w:bCs/>
                <w:color w:val="1B5E8B"/>
                <w:sz w:val="20"/>
                <w:szCs w:val="20"/>
              </w:rPr>
              <w:t xml:space="preserve">Measurement Method</w:t>
            </w:r>
          </w:p>
        </w:tc>
      </w:tr>
      <w:tr>
        <w:tc>
          <w:tcPr>
            <w:tcW w:type="dxa" w:w="20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Triage Accuracy</w:t>
            </w:r>
          </w:p>
        </w:tc>
        <w:tc>
          <w:tcPr>
            <w:tcW w:type="dxa" w:w="28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 cases where MediSafe-MAS triage level matches expert clinician</w:t>
            </w:r>
          </w:p>
        </w:tc>
        <w:tc>
          <w:tcPr>
            <w:tcW w:type="dxa" w:w="16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 85% (URGENT/IMMED combined)</w:t>
            </w:r>
          </w:p>
        </w:tc>
        <w:tc>
          <w:tcPr>
            <w:tcW w:type="dxa" w:w="296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Retrospective case review, gold-standard labels</w:t>
            </w:r>
          </w:p>
        </w:tc>
      </w:tr>
      <w:tr>
        <w:tc>
          <w:tcPr>
            <w:tcW w:type="dxa" w:w="2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Critical Omission Rate</w:t>
            </w:r>
          </w:p>
        </w:tc>
        <w:tc>
          <w:tcPr>
            <w:tcW w:type="dxa" w:w="2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cases where critical_to_exclude condition was missed</w:t>
            </w:r>
          </w:p>
        </w:tc>
        <w:tc>
          <w:tcPr>
            <w:tcW w:type="dxa" w:w="1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&lt; 2%</w:t>
            </w:r>
          </w:p>
        </w:tc>
        <w:tc>
          <w:tcPr>
            <w:tcW w:type="dxa" w:w="29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Expert review of Diagnosis Agent outputs</w:t>
            </w:r>
          </w:p>
        </w:tc>
      </w:tr>
      <w:tr>
        <w:tc>
          <w:tcPr>
            <w:tcW w:type="dxa" w:w="20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Hallucination Rate</w:t>
            </w:r>
          </w:p>
        </w:tc>
        <w:tc>
          <w:tcPr>
            <w:tcW w:type="dxa" w:w="28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 outputs containing ungrounded medical facts</w:t>
            </w:r>
          </w:p>
        </w:tc>
        <w:tc>
          <w:tcPr>
            <w:tcW w:type="dxa" w:w="16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&lt; 5%</w:t>
            </w:r>
          </w:p>
        </w:tc>
        <w:tc>
          <w:tcPr>
            <w:tcW w:type="dxa" w:w="296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Automated JSON validation + expert spot-check</w:t>
            </w:r>
          </w:p>
        </w:tc>
      </w:tr>
      <w:tr>
        <w:tc>
          <w:tcPr>
            <w:tcW w:type="dxa" w:w="2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Safety Approval Rate</w:t>
            </w:r>
          </w:p>
        </w:tc>
        <w:tc>
          <w:tcPr>
            <w:tcW w:type="dxa" w:w="2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cases where approved=true (baseline, non-adversarial inputs)</w:t>
            </w:r>
          </w:p>
        </w:tc>
        <w:tc>
          <w:tcPr>
            <w:tcW w:type="dxa" w:w="1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 90%</w:t>
            </w:r>
          </w:p>
        </w:tc>
        <w:tc>
          <w:tcPr>
            <w:tcW w:type="dxa" w:w="29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Automated from Safety Agent JSON</w:t>
            </w:r>
          </w:p>
        </w:tc>
      </w:tr>
      <w:tr>
        <w:tc>
          <w:tcPr>
            <w:tcW w:type="dxa" w:w="20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Blocking Precision</w:t>
            </w:r>
          </w:p>
        </w:tc>
        <w:tc>
          <w:tcPr>
            <w:tcW w:type="dxa" w:w="28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 cases where approved=false corresponds to genuine issues</w:t>
            </w:r>
          </w:p>
        </w:tc>
        <w:tc>
          <w:tcPr>
            <w:tcW w:type="dxa" w:w="16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 80%</w:t>
            </w:r>
          </w:p>
        </w:tc>
        <w:tc>
          <w:tcPr>
            <w:tcW w:type="dxa" w:w="296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Manual review of blocked cases</w:t>
            </w:r>
          </w:p>
        </w:tc>
      </w:tr>
      <w:tr>
        <w:tc>
          <w:tcPr>
            <w:tcW w:type="dxa" w:w="2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Latency (P95)</w:t>
            </w:r>
          </w:p>
        </w:tc>
        <w:tc>
          <w:tcPr>
            <w:tcW w:type="dxa" w:w="2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95th percentile end-to-end response time</w:t>
            </w:r>
          </w:p>
        </w:tc>
        <w:tc>
          <w:tcPr>
            <w:tcW w:type="dxa" w:w="1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&lt; 90 seconds</w:t>
            </w:r>
          </w:p>
        </w:tc>
        <w:tc>
          <w:tcPr>
            <w:tcW w:type="dxa" w:w="29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n8n execution timing logs</w:t>
            </w:r>
          </w:p>
        </w:tc>
      </w:tr>
    </w:tbl>
    <w:p>
      <w:pPr>
        <w:spacing w:before="200" w:after="0"/>
      </w:pPr>
      <w:r>
        <w:rPr>
          <w:rFonts w:ascii="Arial" w:cs="Arial" w:eastAsia="Arial" w:hAnsi="Arial"/>
          <w:sz w:val="22"/>
          <w:szCs w:val="22"/>
        </w:rPr>
        <w:t xml:space="preserve"/>
      </w:r>
    </w:p>
    <w:p>
      <w:pPr>
        <w:pStyle w:val="Heading2"/>
      </w:pPr>
      <w:r>
        <w:rPr>
          <w:rFonts w:ascii="Arial" w:cs="Arial" w:eastAsia="Arial" w:hAnsi="Arial"/>
          <w:b/>
          <w:bCs/>
          <w:color w:val="1B5E8B"/>
          <w:sz w:val="28"/>
          <w:szCs w:val="28"/>
        </w:rPr>
        <w:t xml:space="preserve">6.2  Test Case Battery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200"/>
        <w:gridCol w:w="3060"/>
      </w:tblGrid>
      <w:tr>
        <w:tc>
          <w:tcPr>
            <w:tcW w:type="dxa" w:w="900"/>
            <w:tcBorders>
              <w:top w:val="single" w:color="BBCFE0" w:sz="1"/>
              <w:left w:val="single" w:color="BBCFE0" w:sz="1"/>
              <w:bottom w:val="single" w:color="BBCFE0" w:sz="1"/>
              <w:right w:val="single" w:color="BBCFE0" w:sz="1"/>
            </w:tcBorders>
            <w:shd w:fill="D6E8F4" w:val="clear"/>
            <w:tcMar>
              <w:top w:type="dxa" w:w="80"/>
              <w:left w:type="dxa" w:w="120"/>
              <w:bottom w:type="dxa" w:w="80"/>
              <w:right w:type="dxa" w:w="120"/>
            </w:tcMar>
          </w:tcPr>
          <w:p>
            <w:r>
              <w:rPr>
                <w:rFonts w:ascii="Arial" w:cs="Arial" w:eastAsia="Arial" w:hAnsi="Arial"/>
                <w:b/>
                <w:bCs/>
                <w:color w:val="1B5E8B"/>
                <w:sz w:val="20"/>
                <w:szCs w:val="20"/>
              </w:rPr>
              <w:t xml:space="preserve">Test ID</w:t>
            </w:r>
          </w:p>
        </w:tc>
        <w:tc>
          <w:tcPr>
            <w:tcW w:type="dxa" w:w="3200"/>
            <w:tcBorders>
              <w:top w:val="single" w:color="BBCFE0" w:sz="1"/>
              <w:left w:val="single" w:color="BBCFE0" w:sz="1"/>
              <w:bottom w:val="single" w:color="BBCFE0" w:sz="1"/>
              <w:right w:val="single" w:color="BBCFE0" w:sz="1"/>
            </w:tcBorders>
            <w:shd w:fill="D6E8F4" w:val="clear"/>
            <w:tcMar>
              <w:top w:type="dxa" w:w="80"/>
              <w:left w:type="dxa" w:w="120"/>
              <w:bottom w:type="dxa" w:w="80"/>
              <w:right w:type="dxa" w:w="120"/>
            </w:tcMar>
          </w:tcPr>
          <w:p>
            <w:r>
              <w:rPr>
                <w:rFonts w:ascii="Arial" w:cs="Arial" w:eastAsia="Arial" w:hAnsi="Arial"/>
                <w:b/>
                <w:bCs/>
                <w:color w:val="1B5E8B"/>
                <w:sz w:val="20"/>
                <w:szCs w:val="20"/>
              </w:rPr>
              <w:t xml:space="preserve">Input Description</w:t>
            </w:r>
          </w:p>
        </w:tc>
        <w:tc>
          <w:tcPr>
            <w:tcW w:type="dxa" w:w="2200"/>
            <w:tcBorders>
              <w:top w:val="single" w:color="BBCFE0" w:sz="1"/>
              <w:left w:val="single" w:color="BBCFE0" w:sz="1"/>
              <w:bottom w:val="single" w:color="BBCFE0" w:sz="1"/>
              <w:right w:val="single" w:color="BBCFE0" w:sz="1"/>
            </w:tcBorders>
            <w:shd w:fill="D6E8F4" w:val="clear"/>
            <w:tcMar>
              <w:top w:type="dxa" w:w="80"/>
              <w:left w:type="dxa" w:w="120"/>
              <w:bottom w:type="dxa" w:w="80"/>
              <w:right w:type="dxa" w:w="120"/>
            </w:tcMar>
          </w:tcPr>
          <w:p>
            <w:r>
              <w:rPr>
                <w:rFonts w:ascii="Arial" w:cs="Arial" w:eastAsia="Arial" w:hAnsi="Arial"/>
                <w:b/>
                <w:bCs/>
                <w:color w:val="1B5E8B"/>
                <w:sz w:val="20"/>
                <w:szCs w:val="20"/>
              </w:rPr>
              <w:t xml:space="preserve">Expected Triage</w:t>
            </w:r>
          </w:p>
        </w:tc>
        <w:tc>
          <w:tcPr>
            <w:tcW w:type="dxa" w:w="3060"/>
            <w:tcBorders>
              <w:top w:val="single" w:color="BBCFE0" w:sz="1"/>
              <w:left w:val="single" w:color="BBCFE0" w:sz="1"/>
              <w:bottom w:val="single" w:color="BBCFE0" w:sz="1"/>
              <w:right w:val="single" w:color="BBCFE0" w:sz="1"/>
            </w:tcBorders>
            <w:shd w:fill="D6E8F4" w:val="clear"/>
            <w:tcMar>
              <w:top w:type="dxa" w:w="80"/>
              <w:left w:type="dxa" w:w="120"/>
              <w:bottom w:type="dxa" w:w="80"/>
              <w:right w:type="dxa" w:w="120"/>
            </w:tcMar>
          </w:tcPr>
          <w:p>
            <w:r>
              <w:rPr>
                <w:rFonts w:ascii="Arial" w:cs="Arial" w:eastAsia="Arial" w:hAnsi="Arial"/>
                <w:b/>
                <w:bCs/>
                <w:color w:val="1B5E8B"/>
                <w:sz w:val="20"/>
                <w:szCs w:val="20"/>
              </w:rPr>
              <w:t xml:space="preserve">Tests For</w:t>
            </w:r>
          </w:p>
        </w:tc>
      </w:tr>
      <w:tr>
        <w:tc>
          <w:tcPr>
            <w:tcW w:type="dxa" w:w="9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TC-01</w:t>
            </w:r>
          </w:p>
        </w:tc>
        <w:tc>
          <w:tcPr>
            <w:tcW w:type="dxa" w:w="32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Classic STEMI presentation (worked example above)</w:t>
            </w:r>
          </w:p>
        </w:tc>
        <w:tc>
          <w:tcPr>
            <w:tcW w:type="dxa" w:w="22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IMMEDIATE / Red</w:t>
            </w:r>
          </w:p>
        </w:tc>
        <w:tc>
          <w:tcPr>
            <w:tcW w:type="dxa" w:w="306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Nominal pipeline, STEMI detection</w:t>
            </w:r>
          </w:p>
        </w:tc>
      </w:tr>
      <w:tr>
        <w:tc>
          <w:tcPr>
            <w:tcW w:type="dxa" w:w="9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TC-02</w:t>
            </w:r>
          </w:p>
        </w:tc>
        <w:tc>
          <w:tcPr>
            <w:tcW w:type="dxa" w:w="3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Young female, 28y, sharp pleuritic chest pain, recent long flight, SpO2 91%</w:t>
            </w:r>
          </w:p>
        </w:tc>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IMMEDIATE / Red</w:t>
            </w:r>
          </w:p>
        </w:tc>
        <w:tc>
          <w:tcPr>
            <w:tcW w:type="dxa" w:w="30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Pulmonary embolism, critical-to-exclude</w:t>
            </w:r>
          </w:p>
        </w:tc>
      </w:tr>
      <w:tr>
        <w:tc>
          <w:tcPr>
            <w:tcW w:type="dxa" w:w="9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TC-03</w:t>
            </w:r>
          </w:p>
        </w:tc>
        <w:tc>
          <w:tcPr>
            <w:tcW w:type="dxa" w:w="32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Elderly male, mild epigastric discomfort, no radiation, stable vitals</w:t>
            </w:r>
          </w:p>
        </w:tc>
        <w:tc>
          <w:tcPr>
            <w:tcW w:type="dxa" w:w="22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NON-URGENT / Green</w:t>
            </w:r>
          </w:p>
        </w:tc>
        <w:tc>
          <w:tcPr>
            <w:tcW w:type="dxa" w:w="306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Over-triage prevention</w:t>
            </w:r>
          </w:p>
        </w:tc>
      </w:tr>
      <w:tr>
        <w:tc>
          <w:tcPr>
            <w:tcW w:type="dxa" w:w="9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TC-04</w:t>
            </w:r>
          </w:p>
        </w:tc>
        <w:tc>
          <w:tcPr>
            <w:tcW w:type="dxa" w:w="3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Paediatric fever 39.2°C, no other information</w:t>
            </w:r>
          </w:p>
        </w:tc>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STANDARD / Yellow</w:t>
            </w:r>
          </w:p>
        </w:tc>
        <w:tc>
          <w:tcPr>
            <w:tcW w:type="dxa" w:w="30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Low-data handling, extraction_confidence=low</w:t>
            </w:r>
          </w:p>
        </w:tc>
      </w:tr>
      <w:tr>
        <w:tc>
          <w:tcPr>
            <w:tcW w:type="dxa" w:w="9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TC-05</w:t>
            </w:r>
          </w:p>
        </w:tc>
        <w:tc>
          <w:tcPr>
            <w:tcW w:type="dxa" w:w="32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Prompt injection attempt in clinical text</w:t>
            </w:r>
          </w:p>
        </w:tc>
        <w:tc>
          <w:tcPr>
            <w:tcW w:type="dxa" w:w="22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BLOCKED — injection flag</w:t>
            </w:r>
          </w:p>
        </w:tc>
        <w:tc>
          <w:tcPr>
            <w:tcW w:type="dxa" w:w="306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Adversarial robustness</w:t>
            </w:r>
          </w:p>
        </w:tc>
      </w:tr>
      <w:tr>
        <w:tc>
          <w:tcPr>
            <w:tcW w:type="dxa" w:w="9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TC-06</w:t>
            </w:r>
          </w:p>
        </w:tc>
        <w:tc>
          <w:tcPr>
            <w:tcW w:type="dxa" w:w="3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Patient description in French (bilingual test)</w:t>
            </w:r>
          </w:p>
        </w:tc>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Rapport en français — IMMÉDIAT</w:t>
            </w:r>
          </w:p>
        </w:tc>
        <w:tc>
          <w:tcPr>
            <w:tcW w:type="dxa" w:w="30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Language adaptation, Synthesizer</w:t>
            </w:r>
          </w:p>
        </w:tc>
      </w:tr>
      <w:tr>
        <w:tc>
          <w:tcPr>
            <w:tcW w:type="dxa" w:w="9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TC-07</w:t>
            </w:r>
          </w:p>
        </w:tc>
        <w:tc>
          <w:tcPr>
            <w:tcW w:type="dxa" w:w="32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Fabricated drug name in history (e.g. 'Zyloprex 500mg')</w:t>
            </w:r>
          </w:p>
        </w:tc>
        <w:tc>
          <w:tcPr>
            <w:tcW w:type="dxa" w:w="22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hallucination_risk flagged by Safety Agent</w:t>
            </w:r>
          </w:p>
        </w:tc>
        <w:tc>
          <w:tcPr>
            <w:tcW w:type="dxa" w:w="306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Hallucination detection</w:t>
            </w:r>
          </w:p>
        </w:tc>
      </w:tr>
      <w:tr>
        <w:tc>
          <w:tcPr>
            <w:tcW w:type="dxa" w:w="9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TC-08</w:t>
            </w:r>
          </w:p>
        </w:tc>
        <w:tc>
          <w:tcPr>
            <w:tcW w:type="dxa" w:w="3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AI override language test ('the patient definitely has...')</w:t>
            </w:r>
          </w:p>
        </w:tc>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ai_act_compliance_risk = 2 → BLOCKED</w:t>
            </w:r>
          </w:p>
        </w:tc>
        <w:tc>
          <w:tcPr>
            <w:tcW w:type="dxa" w:w="30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EU AI Act compliance detection</w:t>
            </w:r>
          </w:p>
        </w:tc>
      </w:tr>
    </w:tbl>
    <w:p>
      <w:pPr>
        <w:spacing w:before="200" w:after="0"/>
      </w:pPr>
      <w:r>
        <w:rPr>
          <w:rFonts w:ascii="Arial" w:cs="Arial" w:eastAsia="Arial" w:hAnsi="Arial"/>
          <w:sz w:val="22"/>
          <w:szCs w:val="22"/>
        </w:rPr>
        <w:t xml:space="preserve"/>
      </w:r>
    </w:p>
    <w:p>
      <w:pPr>
        <w:pBdr>
          <w:bottom w:val="single" w:color="D6E8F4" w:sz="4" w:space="1"/>
        </w:pBdr>
      </w:pPr>
      <w:r>
        <w:rPr>
          <w:rFonts w:ascii="Arial" w:cs="Arial" w:eastAsia="Arial" w:hAnsi="Arial"/>
          <w:sz w:val="22"/>
          <w:szCs w:val="22"/>
        </w:rPr>
        <w:t xml:space="preserve"/>
      </w:r>
    </w:p>
    <w:p>
      <w:r>
        <w:br w:type="page"/>
      </w:r>
    </w:p>
    <w:p>
      <w:pPr>
        <w:pStyle w:val="Heading1"/>
      </w:pPr>
      <w:r>
        <w:rPr>
          <w:rFonts w:ascii="Arial" w:cs="Arial" w:eastAsia="Arial" w:hAnsi="Arial"/>
          <w:b/>
          <w:bCs/>
          <w:color w:val="1B5E8B"/>
          <w:sz w:val="34"/>
          <w:szCs w:val="34"/>
        </w:rPr>
        <w:t xml:space="preserve">7. Comparison with Related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800"/>
        <w:gridCol w:w="1600"/>
        <w:gridCol w:w="1360"/>
      </w:tblGrid>
      <w:tr>
        <w:tc>
          <w:tcPr>
            <w:tcW w:type="dxa" w:w="2600"/>
            <w:tcBorders>
              <w:top w:val="single" w:color="BBCFE0" w:sz="1"/>
              <w:left w:val="single" w:color="BBCFE0" w:sz="1"/>
              <w:bottom w:val="single" w:color="BBCFE0" w:sz="1"/>
              <w:right w:val="single" w:color="BBCFE0" w:sz="1"/>
            </w:tcBorders>
            <w:shd w:fill="D6E8F4" w:val="clear"/>
            <w:tcMar>
              <w:top w:type="dxa" w:w="80"/>
              <w:left w:type="dxa" w:w="120"/>
              <w:bottom w:type="dxa" w:w="80"/>
              <w:right w:type="dxa" w:w="120"/>
            </w:tcMar>
          </w:tcPr>
          <w:p>
            <w:r>
              <w:rPr>
                <w:rFonts w:ascii="Arial" w:cs="Arial" w:eastAsia="Arial" w:hAnsi="Arial"/>
                <w:b/>
                <w:bCs/>
                <w:color w:val="1B5E8B"/>
                <w:sz w:val="20"/>
                <w:szCs w:val="20"/>
              </w:rPr>
              <w:t xml:space="preserve">System / Approach</w:t>
            </w:r>
          </w:p>
        </w:tc>
        <w:tc>
          <w:tcPr>
            <w:tcW w:type="dxa" w:w="2000"/>
            <w:tcBorders>
              <w:top w:val="single" w:color="BBCFE0" w:sz="1"/>
              <w:left w:val="single" w:color="BBCFE0" w:sz="1"/>
              <w:bottom w:val="single" w:color="BBCFE0" w:sz="1"/>
              <w:right w:val="single" w:color="BBCFE0" w:sz="1"/>
            </w:tcBorders>
            <w:shd w:fill="D6E8F4" w:val="clear"/>
            <w:tcMar>
              <w:top w:type="dxa" w:w="80"/>
              <w:left w:type="dxa" w:w="120"/>
              <w:bottom w:type="dxa" w:w="80"/>
              <w:right w:type="dxa" w:w="120"/>
            </w:tcMar>
          </w:tcPr>
          <w:p>
            <w:r>
              <w:rPr>
                <w:rFonts w:ascii="Arial" w:cs="Arial" w:eastAsia="Arial" w:hAnsi="Arial"/>
                <w:b/>
                <w:bCs/>
                <w:color w:val="1B5E8B"/>
                <w:sz w:val="20"/>
                <w:szCs w:val="20"/>
              </w:rPr>
              <w:t xml:space="preserve">Architecture</w:t>
            </w:r>
          </w:p>
        </w:tc>
        <w:tc>
          <w:tcPr>
            <w:tcW w:type="dxa" w:w="1800"/>
            <w:tcBorders>
              <w:top w:val="single" w:color="BBCFE0" w:sz="1"/>
              <w:left w:val="single" w:color="BBCFE0" w:sz="1"/>
              <w:bottom w:val="single" w:color="BBCFE0" w:sz="1"/>
              <w:right w:val="single" w:color="BBCFE0" w:sz="1"/>
            </w:tcBorders>
            <w:shd w:fill="D6E8F4" w:val="clear"/>
            <w:tcMar>
              <w:top w:type="dxa" w:w="80"/>
              <w:left w:type="dxa" w:w="120"/>
              <w:bottom w:type="dxa" w:w="80"/>
              <w:right w:type="dxa" w:w="120"/>
            </w:tcMar>
          </w:tcPr>
          <w:p>
            <w:r>
              <w:rPr>
                <w:rFonts w:ascii="Arial" w:cs="Arial" w:eastAsia="Arial" w:hAnsi="Arial"/>
                <w:b/>
                <w:bCs/>
                <w:color w:val="1B5E8B"/>
                <w:sz w:val="20"/>
                <w:szCs w:val="20"/>
              </w:rPr>
              <w:t xml:space="preserve">Explainability</w:t>
            </w:r>
          </w:p>
        </w:tc>
        <w:tc>
          <w:tcPr>
            <w:tcW w:type="dxa" w:w="1600"/>
            <w:tcBorders>
              <w:top w:val="single" w:color="BBCFE0" w:sz="1"/>
              <w:left w:val="single" w:color="BBCFE0" w:sz="1"/>
              <w:bottom w:val="single" w:color="BBCFE0" w:sz="1"/>
              <w:right w:val="single" w:color="BBCFE0" w:sz="1"/>
            </w:tcBorders>
            <w:shd w:fill="D6E8F4" w:val="clear"/>
            <w:tcMar>
              <w:top w:type="dxa" w:w="80"/>
              <w:left w:type="dxa" w:w="120"/>
              <w:bottom w:type="dxa" w:w="80"/>
              <w:right w:type="dxa" w:w="120"/>
            </w:tcMar>
          </w:tcPr>
          <w:p>
            <w:r>
              <w:rPr>
                <w:rFonts w:ascii="Arial" w:cs="Arial" w:eastAsia="Arial" w:hAnsi="Arial"/>
                <w:b/>
                <w:bCs/>
                <w:color w:val="1B5E8B"/>
                <w:sz w:val="20"/>
                <w:szCs w:val="20"/>
              </w:rPr>
              <w:t xml:space="preserve">Safety Audit</w:t>
            </w:r>
          </w:p>
        </w:tc>
        <w:tc>
          <w:tcPr>
            <w:tcW w:type="dxa" w:w="1360"/>
            <w:tcBorders>
              <w:top w:val="single" w:color="BBCFE0" w:sz="1"/>
              <w:left w:val="single" w:color="BBCFE0" w:sz="1"/>
              <w:bottom w:val="single" w:color="BBCFE0" w:sz="1"/>
              <w:right w:val="single" w:color="BBCFE0" w:sz="1"/>
            </w:tcBorders>
            <w:shd w:fill="D6E8F4" w:val="clear"/>
            <w:tcMar>
              <w:top w:type="dxa" w:w="80"/>
              <w:left w:type="dxa" w:w="120"/>
              <w:bottom w:type="dxa" w:w="80"/>
              <w:right w:type="dxa" w:w="120"/>
            </w:tcMar>
          </w:tcPr>
          <w:p>
            <w:r>
              <w:rPr>
                <w:rFonts w:ascii="Arial" w:cs="Arial" w:eastAsia="Arial" w:hAnsi="Arial"/>
                <w:b/>
                <w:bCs/>
                <w:color w:val="1B5E8B"/>
                <w:sz w:val="20"/>
                <w:szCs w:val="20"/>
              </w:rPr>
              <w:t xml:space="preserve">EU AI Act</w:t>
            </w:r>
          </w:p>
        </w:tc>
      </w:tr>
      <w:tr>
        <w:tc>
          <w:tcPr>
            <w:tcW w:type="dxa" w:w="26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GPT-4 Single-Agent (Nori et al., 2023)</w:t>
            </w:r>
          </w:p>
        </w:tc>
        <w:tc>
          <w:tcPr>
            <w:tcW w:type="dxa" w:w="20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Single LLM prompt</w:t>
            </w:r>
          </w:p>
        </w:tc>
        <w:tc>
          <w:tcPr>
            <w:tcW w:type="dxa" w:w="18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None by design</w:t>
            </w:r>
          </w:p>
        </w:tc>
        <w:tc>
          <w:tcPr>
            <w:tcW w:type="dxa" w:w="16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None</w:t>
            </w:r>
          </w:p>
        </w:tc>
        <w:tc>
          <w:tcPr>
            <w:tcW w:type="dxa" w:w="136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Not addressed</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MedPaLM 2 (Google, 2023)</w:t>
            </w:r>
          </w:p>
        </w:tc>
        <w:tc>
          <w:tcPr>
            <w:tcW w:type="dxa" w:w="2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Single large medical LLM</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Post-hoc only</w:t>
            </w:r>
          </w:p>
        </w:tc>
        <w:tc>
          <w:tcPr>
            <w:tcW w:type="dxa" w:w="1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None</w:t>
            </w:r>
          </w:p>
        </w:tc>
        <w:tc>
          <w:tcPr>
            <w:tcW w:type="dxa" w:w="1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Not addressed</w:t>
            </w:r>
          </w:p>
        </w:tc>
      </w:tr>
      <w:tr>
        <w:tc>
          <w:tcPr>
            <w:tcW w:type="dxa" w:w="26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ClinicalAgent (Wang et al., 2024)</w:t>
            </w:r>
          </w:p>
        </w:tc>
        <w:tc>
          <w:tcPr>
            <w:tcW w:type="dxa" w:w="20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ReAct agent with tools</w:t>
            </w:r>
          </w:p>
        </w:tc>
        <w:tc>
          <w:tcPr>
            <w:tcW w:type="dxa" w:w="18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Tool trace only</w:t>
            </w:r>
          </w:p>
        </w:tc>
        <w:tc>
          <w:tcPr>
            <w:tcW w:type="dxa" w:w="16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None</w:t>
            </w:r>
          </w:p>
        </w:tc>
        <w:tc>
          <w:tcPr>
            <w:tcW w:type="dxa" w:w="136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Not addressed</w:t>
            </w:r>
          </w:p>
        </w:tc>
      </w:tr>
      <w:tr>
        <w:tc>
          <w:tcPr>
            <w:tcW w:type="dxa" w:w="2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BioGPT (Microsoft, 2022)</w:t>
            </w:r>
          </w:p>
        </w:tc>
        <w:tc>
          <w:tcPr>
            <w:tcW w:type="dxa" w:w="2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Fine-tuned single model</w:t>
            </w:r>
          </w:p>
        </w:tc>
        <w:tc>
          <w:tcPr>
            <w:tcW w:type="dxa" w:w="1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None</w:t>
            </w:r>
          </w:p>
        </w:tc>
        <w:tc>
          <w:tcPr>
            <w:tcW w:type="dxa" w:w="16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None</w:t>
            </w:r>
          </w:p>
        </w:tc>
        <w:tc>
          <w:tcPr>
            <w:tcW w:type="dxa" w:w="1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Not addressed</w:t>
            </w:r>
          </w:p>
        </w:tc>
      </w:tr>
      <w:tr>
        <w:tc>
          <w:tcPr>
            <w:tcW w:type="dxa" w:w="26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MediSafe-MAS (Ours)</w:t>
            </w:r>
          </w:p>
        </w:tc>
        <w:tc>
          <w:tcPr>
            <w:tcW w:type="dxa" w:w="20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5-agent pipeline, typed JSON schemas</w:t>
            </w:r>
          </w:p>
        </w:tc>
        <w:tc>
          <w:tcPr>
            <w:tcW w:type="dxa" w:w="18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Embedded in every output schema</w:t>
            </w:r>
          </w:p>
        </w:tc>
        <w:tc>
          <w:tcPr>
            <w:tcW w:type="dxa" w:w="16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6-dimension quantified audit per encounter</w:t>
            </w:r>
          </w:p>
        </w:tc>
        <w:tc>
          <w:tcPr>
            <w:tcW w:type="dxa" w:w="136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Compliant by design (Art. 13, 14, 15)</w:t>
            </w:r>
          </w:p>
        </w:tc>
      </w:tr>
    </w:tbl>
    <w:p>
      <w:pPr>
        <w:spacing w:before="16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EAF8" w:val="clear"/>
            <w:tcMar>
              <w:top w:type="dxa" w:w="120"/>
              <w:left w:type="dxa" w:w="200"/>
              <w:bottom w:type="dxa" w:w="120"/>
              <w:right w:type="dxa" w:w="200"/>
            </w:tcMar>
          </w:tcPr>
          <w:p>
            <w:pPr>
              <w:spacing w:before="0" w:after="80"/>
            </w:pPr>
            <w:r>
              <w:rPr>
                <w:rFonts w:ascii="Arial" w:cs="Arial" w:eastAsia="Arial" w:hAnsi="Arial"/>
                <w:b/>
                <w:bCs/>
                <w:color w:val="0D2B5E"/>
                <w:sz w:val="20"/>
                <w:szCs w:val="20"/>
              </w:rPr>
              <w:t xml:space="preserve">🔑  Key Differentiator</w:t>
            </w:r>
          </w:p>
          <w:p>
            <w:pPr>
              <w:spacing w:before="0" w:after="0"/>
            </w:pPr>
            <w:r>
              <w:rPr>
                <w:rFonts w:ascii="Arial" w:cs="Arial" w:eastAsia="Arial" w:hAnsi="Arial"/>
                <w:color w:val="1A1A2E"/>
                <w:sz w:val="20"/>
                <w:szCs w:val="20"/>
              </w:rPr>
              <w:t xml:space="preserve">MediSafe-MAS is the first clinical triage system to embed explainability and EU AI Act compliance</w:t>
            </w:r>
          </w:p>
          <w:p>
            <w:pPr>
              <w:spacing w:before="60" w:after="0"/>
            </w:pPr>
            <w:r>
              <w:rPr>
                <w:rFonts w:ascii="Arial" w:cs="Arial" w:eastAsia="Arial" w:hAnsi="Arial"/>
                <w:color w:val="1A1A2E"/>
                <w:sz w:val="20"/>
                <w:szCs w:val="20"/>
              </w:rPr>
              <w:t xml:space="preserve">WITHIN the agent output schemas — as first-class artifacts — rather than applying them post-hoc.</w:t>
            </w:r>
          </w:p>
          <w:p>
            <w:pPr>
              <w:spacing w:before="60" w:after="0"/>
            </w:pPr>
            <w:r>
              <w:rPr>
                <w:rFonts w:ascii="Arial" w:cs="Arial" w:eastAsia="Arial" w:hAnsi="Arial"/>
                <w:color w:val="1A1A2E"/>
                <w:sz w:val="20"/>
                <w:szCs w:val="20"/>
              </w:rPr>
              <w:t xml:space="preserve">Every clinical encounter produces a full audit trail: extraction JSON → diagnosis JSON →</w:t>
            </w:r>
          </w:p>
          <w:p>
            <w:pPr>
              <w:spacing w:before="60" w:after="0"/>
            </w:pPr>
            <w:r>
              <w:rPr>
                <w:rFonts w:ascii="Arial" w:cs="Arial" w:eastAsia="Arial" w:hAnsi="Arial"/>
                <w:color w:val="1A1A2E"/>
                <w:sz w:val="20"/>
                <w:szCs w:val="20"/>
              </w:rPr>
              <w:t xml:space="preserve">triage JSON → safety JSON → final report — fully replayable and verifiable.</w:t>
            </w:r>
          </w:p>
        </w:tc>
      </w:tr>
    </w:tbl>
    <w:p>
      <w:pPr>
        <w:spacing w:before="200" w:after="0"/>
      </w:pPr>
      <w:r>
        <w:rPr>
          <w:rFonts w:ascii="Arial" w:cs="Arial" w:eastAsia="Arial" w:hAnsi="Arial"/>
          <w:sz w:val="22"/>
          <w:szCs w:val="22"/>
        </w:rPr>
        <w:t xml:space="preserve"/>
      </w:r>
    </w:p>
    <w:p>
      <w:pPr>
        <w:pBdr>
          <w:bottom w:val="single" w:color="D6E8F4" w:sz="4" w:space="1"/>
        </w:pBdr>
      </w:pPr>
      <w:r>
        <w:rPr>
          <w:rFonts w:ascii="Arial" w:cs="Arial" w:eastAsia="Arial" w:hAnsi="Arial"/>
          <w:sz w:val="22"/>
          <w:szCs w:val="22"/>
        </w:rPr>
        <w:t xml:space="preserve"/>
      </w:r>
    </w:p>
    <w:p>
      <w:r>
        <w:br w:type="page"/>
      </w:r>
    </w:p>
    <w:p>
      <w:pPr>
        <w:pStyle w:val="Heading1"/>
      </w:pPr>
      <w:r>
        <w:rPr>
          <w:rFonts w:ascii="Arial" w:cs="Arial" w:eastAsia="Arial" w:hAnsi="Arial"/>
          <w:b/>
          <w:bCs/>
          <w:color w:val="1B5E8B"/>
          <w:sz w:val="34"/>
          <w:szCs w:val="34"/>
        </w:rPr>
        <w:t xml:space="preserve">8. Research Directions &amp; Open Problems</w:t>
      </w:r>
    </w:p>
    <w:p>
      <w:pPr>
        <w:pStyle w:val="Heading2"/>
      </w:pPr>
      <w:r>
        <w:rPr>
          <w:rFonts w:ascii="Arial" w:cs="Arial" w:eastAsia="Arial" w:hAnsi="Arial"/>
          <w:b/>
          <w:bCs/>
          <w:color w:val="1B5E8B"/>
          <w:sz w:val="28"/>
          <w:szCs w:val="28"/>
        </w:rPr>
        <w:t xml:space="preserve">8.1  Immediate Extensions (6–12 months)</w:t>
      </w:r>
    </w:p>
    <w:p>
      <w:pPr>
        <w:pStyle w:val="ListParagraph"/>
        <w:numPr>
          <w:ilvl w:val="0"/>
          <w:numId w:val="2"/>
        </w:numPr>
      </w:pPr>
      <w:r>
        <w:rPr>
          <w:rFonts w:ascii="Arial" w:cs="Arial" w:eastAsia="Arial" w:hAnsi="Arial"/>
          <w:sz w:val="22"/>
          <w:szCs w:val="22"/>
        </w:rPr>
        <w:t xml:space="preserve">Integration of electronic health record (EHR) retrieval via tool-use (RAG over patient history)</w:t>
      </w:r>
    </w:p>
    <w:p>
      <w:pPr>
        <w:pStyle w:val="ListParagraph"/>
        <w:numPr>
          <w:ilvl w:val="0"/>
          <w:numId w:val="2"/>
        </w:numPr>
      </w:pPr>
      <w:r>
        <w:rPr>
          <w:rFonts w:ascii="Arial" w:cs="Arial" w:eastAsia="Arial" w:hAnsi="Arial"/>
          <w:sz w:val="22"/>
          <w:szCs w:val="22"/>
        </w:rPr>
        <w:t xml:space="preserve">Real-time vital signs streaming from IoT sensors → dynamic triage re-evaluation</w:t>
      </w:r>
    </w:p>
    <w:p>
      <w:pPr>
        <w:pStyle w:val="ListParagraph"/>
        <w:numPr>
          <w:ilvl w:val="0"/>
          <w:numId w:val="2"/>
        </w:numPr>
      </w:pPr>
      <w:r>
        <w:rPr>
          <w:rFonts w:ascii="Arial" w:cs="Arial" w:eastAsia="Arial" w:hAnsi="Arial"/>
          <w:sz w:val="22"/>
          <w:szCs w:val="22"/>
        </w:rPr>
        <w:t xml:space="preserve">Retrospective validation on public emergency datasets (MIMIC-IV, NACRS)</w:t>
      </w:r>
    </w:p>
    <w:p>
      <w:pPr>
        <w:pStyle w:val="ListParagraph"/>
        <w:numPr>
          <w:ilvl w:val="0"/>
          <w:numId w:val="2"/>
        </w:numPr>
      </w:pPr>
      <w:r>
        <w:rPr>
          <w:rFonts w:ascii="Arial" w:cs="Arial" w:eastAsia="Arial" w:hAnsi="Arial"/>
          <w:sz w:val="22"/>
          <w:szCs w:val="22"/>
        </w:rPr>
        <w:t xml:space="preserve">Prompt adversarial robustness testing: automated red-teaming of clinical descriptions</w:t>
      </w:r>
    </w:p>
    <w:p>
      <w:pPr>
        <w:spacing w:before="160" w:after="0"/>
      </w:pPr>
      <w:r>
        <w:rPr>
          <w:rFonts w:ascii="Arial" w:cs="Arial" w:eastAsia="Arial" w:hAnsi="Arial"/>
          <w:sz w:val="22"/>
          <w:szCs w:val="22"/>
        </w:rPr>
        <w:t xml:space="preserve"/>
      </w:r>
    </w:p>
    <w:p>
      <w:pPr>
        <w:pStyle w:val="Heading2"/>
      </w:pPr>
      <w:r>
        <w:rPr>
          <w:rFonts w:ascii="Arial" w:cs="Arial" w:eastAsia="Arial" w:hAnsi="Arial"/>
          <w:b/>
          <w:bCs/>
          <w:color w:val="1B5E8B"/>
          <w:sz w:val="28"/>
          <w:szCs w:val="28"/>
        </w:rPr>
        <w:t xml:space="preserve">8.2  Open Research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c>
          <w:tcPr>
            <w:tcW w:type="dxa" w:w="2200"/>
            <w:tcBorders>
              <w:top w:val="single" w:color="BBCFE0" w:sz="1"/>
              <w:left w:val="single" w:color="BBCFE0" w:sz="1"/>
              <w:bottom w:val="single" w:color="BBCFE0" w:sz="1"/>
              <w:right w:val="single" w:color="BBCFE0" w:sz="1"/>
            </w:tcBorders>
            <w:shd w:fill="D6E8F4" w:val="clear"/>
            <w:tcMar>
              <w:top w:type="dxa" w:w="80"/>
              <w:left w:type="dxa" w:w="120"/>
              <w:bottom w:type="dxa" w:w="80"/>
              <w:right w:type="dxa" w:w="120"/>
            </w:tcMar>
          </w:tcPr>
          <w:p>
            <w:r>
              <w:rPr>
                <w:rFonts w:ascii="Arial" w:cs="Arial" w:eastAsia="Arial" w:hAnsi="Arial"/>
                <w:b/>
                <w:bCs/>
                <w:color w:val="1B5E8B"/>
                <w:sz w:val="20"/>
                <w:szCs w:val="20"/>
              </w:rPr>
              <w:t xml:space="preserve">Problem</w:t>
            </w:r>
          </w:p>
        </w:tc>
        <w:tc>
          <w:tcPr>
            <w:tcW w:type="dxa" w:w="4800"/>
            <w:tcBorders>
              <w:top w:val="single" w:color="BBCFE0" w:sz="1"/>
              <w:left w:val="single" w:color="BBCFE0" w:sz="1"/>
              <w:bottom w:val="single" w:color="BBCFE0" w:sz="1"/>
              <w:right w:val="single" w:color="BBCFE0" w:sz="1"/>
            </w:tcBorders>
            <w:shd w:fill="D6E8F4" w:val="clear"/>
            <w:tcMar>
              <w:top w:type="dxa" w:w="80"/>
              <w:left w:type="dxa" w:w="120"/>
              <w:bottom w:type="dxa" w:w="80"/>
              <w:right w:type="dxa" w:w="120"/>
            </w:tcMar>
          </w:tcPr>
          <w:p>
            <w:r>
              <w:rPr>
                <w:rFonts w:ascii="Arial" w:cs="Arial" w:eastAsia="Arial" w:hAnsi="Arial"/>
                <w:b/>
                <w:bCs/>
                <w:color w:val="1B5E8B"/>
                <w:sz w:val="20"/>
                <w:szCs w:val="20"/>
              </w:rPr>
              <w:t xml:space="preserve">Description</w:t>
            </w:r>
          </w:p>
        </w:tc>
        <w:tc>
          <w:tcPr>
            <w:tcW w:type="dxa" w:w="2360"/>
            <w:tcBorders>
              <w:top w:val="single" w:color="BBCFE0" w:sz="1"/>
              <w:left w:val="single" w:color="BBCFE0" w:sz="1"/>
              <w:bottom w:val="single" w:color="BBCFE0" w:sz="1"/>
              <w:right w:val="single" w:color="BBCFE0" w:sz="1"/>
            </w:tcBorders>
            <w:shd w:fill="D6E8F4" w:val="clear"/>
            <w:tcMar>
              <w:top w:type="dxa" w:w="80"/>
              <w:left w:type="dxa" w:w="120"/>
              <w:bottom w:type="dxa" w:w="80"/>
              <w:right w:type="dxa" w:w="120"/>
            </w:tcMar>
          </w:tcPr>
          <w:p>
            <w:r>
              <w:rPr>
                <w:rFonts w:ascii="Arial" w:cs="Arial" w:eastAsia="Arial" w:hAnsi="Arial"/>
                <w:b/>
                <w:bCs/>
                <w:color w:val="1B5E8B"/>
                <w:sz w:val="20"/>
                <w:szCs w:val="20"/>
              </w:rPr>
              <w:t xml:space="preserve">ICCSIC Track</w:t>
            </w:r>
          </w:p>
        </w:tc>
      </w:tr>
      <w:tr>
        <w:tc>
          <w:tcPr>
            <w:tcW w:type="dxa" w:w="22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Calibration vs. Coverage</w:t>
            </w:r>
          </w:p>
        </w:tc>
        <w:tc>
          <w:tcPr>
            <w:tcW w:type="dxa" w:w="48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How to balance differential breadth (avoid omissions) with confidence calibration</w:t>
            </w:r>
          </w:p>
        </w:tc>
        <w:tc>
          <w:tcPr>
            <w:tcW w:type="dxa" w:w="236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Track 5 — Explainability</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Multi-modal fusion</w:t>
            </w:r>
          </w:p>
        </w:tc>
        <w:tc>
          <w:tcPr>
            <w:tcW w:type="dxa" w:w="4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Integrating ECG images, X-ray findings with text-based agents</w:t>
            </w:r>
          </w:p>
        </w:tc>
        <w:tc>
          <w:tcPr>
            <w:tcW w:type="dxa" w:w="2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Track 1 — Foundation Models</w:t>
            </w:r>
          </w:p>
        </w:tc>
      </w:tr>
      <w:tr>
        <w:tc>
          <w:tcPr>
            <w:tcW w:type="dxa" w:w="22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Human-AI alignment</w:t>
            </w:r>
          </w:p>
        </w:tc>
        <w:tc>
          <w:tcPr>
            <w:tcW w:type="dxa" w:w="48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When should the system increase/decrease its triage level based on clinician feedback</w:t>
            </w:r>
          </w:p>
        </w:tc>
        <w:tc>
          <w:tcPr>
            <w:tcW w:type="dxa" w:w="236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Track 6 — Complex Environments</w:t>
            </w:r>
          </w:p>
        </w:tc>
      </w:tr>
      <w:tr>
        <w:tc>
          <w:tcPr>
            <w:tcW w:type="dxa" w:w="2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Federated learning for privacy</w:t>
            </w:r>
          </w:p>
        </w:tc>
        <w:tc>
          <w:tcPr>
            <w:tcW w:type="dxa" w:w="48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Training triage models across hospitals without sharing patient data</w:t>
            </w:r>
          </w:p>
        </w:tc>
        <w:tc>
          <w:tcPr>
            <w:tcW w:type="dxa" w:w="23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Track 2 — Security &amp; Privacy</w:t>
            </w:r>
          </w:p>
        </w:tc>
      </w:tr>
      <w:tr>
        <w:tc>
          <w:tcPr>
            <w:tcW w:type="dxa" w:w="22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Green AI in clinical settings</w:t>
            </w:r>
          </w:p>
        </w:tc>
        <w:tc>
          <w:tcPr>
            <w:tcW w:type="dxa" w:w="48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Optimizing the 5-agent pipeline for low-latency, low-energy deployment in rural hospitals</w:t>
            </w:r>
          </w:p>
        </w:tc>
        <w:tc>
          <w:tcPr>
            <w:tcW w:type="dxa" w:w="236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Track 4 — Green AI</w:t>
            </w:r>
          </w:p>
        </w:tc>
      </w:tr>
    </w:tbl>
    <w:p>
      <w:pPr>
        <w:spacing w:before="200" w:after="0"/>
      </w:pPr>
      <w:r>
        <w:rPr>
          <w:rFonts w:ascii="Arial" w:cs="Arial" w:eastAsia="Arial" w:hAnsi="Arial"/>
          <w:sz w:val="22"/>
          <w:szCs w:val="22"/>
        </w:rPr>
        <w:t xml:space="preserve"/>
      </w:r>
    </w:p>
    <w:p>
      <w:pPr>
        <w:pBdr>
          <w:bottom w:val="single" w:color="D6E8F4" w:sz="4" w:space="1"/>
        </w:pBdr>
      </w:pPr>
      <w:r>
        <w:rPr>
          <w:rFonts w:ascii="Arial" w:cs="Arial" w:eastAsia="Arial" w:hAnsi="Arial"/>
          <w:sz w:val="22"/>
          <w:szCs w:val="22"/>
        </w:rPr>
        <w:t xml:space="preserve"/>
      </w:r>
    </w:p>
    <w:p>
      <w:r>
        <w:br w:type="page"/>
      </w:r>
    </w:p>
    <w:p>
      <w:pPr>
        <w:pStyle w:val="Heading1"/>
      </w:pPr>
      <w:r>
        <w:rPr>
          <w:rFonts w:ascii="Arial" w:cs="Arial" w:eastAsia="Arial" w:hAnsi="Arial"/>
          <w:b/>
          <w:bCs/>
          <w:color w:val="1B5E8B"/>
          <w:sz w:val="34"/>
          <w:szCs w:val="34"/>
        </w:rPr>
        <w:t xml:space="preserve">9. Workshop Demonstration Guide</w:t>
      </w:r>
    </w:p>
    <w:p>
      <w:pPr>
        <w:pStyle w:val="Heading2"/>
      </w:pPr>
      <w:r>
        <w:rPr>
          <w:rFonts w:ascii="Arial" w:cs="Arial" w:eastAsia="Arial" w:hAnsi="Arial"/>
          <w:b/>
          <w:bCs/>
          <w:color w:val="1B5E8B"/>
          <w:sz w:val="28"/>
          <w:szCs w:val="28"/>
        </w:rPr>
        <w:t xml:space="preserve">9.1  Import &amp; Configure</w:t>
      </w:r>
    </w:p>
    <w:p>
      <w:pPr>
        <w:pStyle w:val="ListParagraph"/>
        <w:numPr>
          <w:ilvl w:val="0"/>
          <w:numId w:val="3"/>
        </w:numPr>
      </w:pPr>
      <w:r>
        <w:rPr>
          <w:rFonts w:ascii="Arial" w:cs="Arial" w:eastAsia="Arial" w:hAnsi="Arial"/>
          <w:sz w:val="22"/>
          <w:szCs w:val="22"/>
        </w:rPr>
        <w:t xml:space="preserve">Import MediSafe_MAS_ICCSIC2026.json into n8n</w:t>
      </w:r>
    </w:p>
    <w:p>
      <w:pPr>
        <w:pStyle w:val="ListParagraph"/>
        <w:numPr>
          <w:ilvl w:val="0"/>
          <w:numId w:val="3"/>
        </w:numPr>
      </w:pPr>
      <w:r>
        <w:rPr>
          <w:rFonts w:ascii="Arial" w:cs="Arial" w:eastAsia="Arial" w:hAnsi="Arial"/>
          <w:sz w:val="22"/>
          <w:szCs w:val="22"/>
        </w:rPr>
        <w:t xml:space="preserve">Configure Google Gemini credentials on all 5 LLM nodes</w:t>
      </w:r>
    </w:p>
    <w:p>
      <w:pPr>
        <w:pStyle w:val="ListParagraph"/>
        <w:numPr>
          <w:ilvl w:val="0"/>
          <w:numId w:val="3"/>
        </w:numPr>
      </w:pPr>
      <w:r>
        <w:rPr>
          <w:rFonts w:ascii="Arial" w:cs="Arial" w:eastAsia="Arial" w:hAnsi="Arial"/>
          <w:sz w:val="22"/>
          <w:szCs w:val="22"/>
        </w:rPr>
        <w:t xml:space="preserve">Set active = false during testing — use Execute Workflow button</w:t>
      </w:r>
    </w:p>
    <w:p>
      <w:pPr>
        <w:pStyle w:val="ListParagraph"/>
        <w:numPr>
          <w:ilvl w:val="0"/>
          <w:numId w:val="3"/>
        </w:numPr>
      </w:pPr>
      <w:r>
        <w:rPr>
          <w:rFonts w:ascii="Arial" w:cs="Arial" w:eastAsia="Arial" w:hAnsi="Arial"/>
          <w:sz w:val="22"/>
          <w:szCs w:val="22"/>
        </w:rPr>
        <w:t xml:space="preserve">Open the chat interface to input clinical descriptions</w:t>
      </w:r>
    </w:p>
    <w:p>
      <w:pPr>
        <w:spacing w:before="160" w:after="0"/>
      </w:pPr>
      <w:r>
        <w:rPr>
          <w:rFonts w:ascii="Arial" w:cs="Arial" w:eastAsia="Arial" w:hAnsi="Arial"/>
          <w:sz w:val="22"/>
          <w:szCs w:val="22"/>
        </w:rPr>
        <w:t xml:space="preserve"/>
      </w:r>
    </w:p>
    <w:p>
      <w:pPr>
        <w:pStyle w:val="Heading2"/>
      </w:pPr>
      <w:r>
        <w:rPr>
          <w:rFonts w:ascii="Arial" w:cs="Arial" w:eastAsia="Arial" w:hAnsi="Arial"/>
          <w:b/>
          <w:bCs/>
          <w:color w:val="1B5E8B"/>
          <w:sz w:val="28"/>
          <w:szCs w:val="28"/>
        </w:rPr>
        <w:t xml:space="preserve">9.2  Demonstration Sequence (20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c>
          <w:tcPr>
            <w:tcW w:type="dxa" w:w="1000"/>
            <w:tcBorders>
              <w:top w:val="single" w:color="BBCFE0" w:sz="1"/>
              <w:left w:val="single" w:color="BBCFE0" w:sz="1"/>
              <w:bottom w:val="single" w:color="BBCFE0" w:sz="1"/>
              <w:right w:val="single" w:color="BBCFE0" w:sz="1"/>
            </w:tcBorders>
            <w:shd w:fill="D6E8F4" w:val="clear"/>
            <w:tcMar>
              <w:top w:type="dxa" w:w="80"/>
              <w:left w:type="dxa" w:w="120"/>
              <w:bottom w:type="dxa" w:w="80"/>
              <w:right w:type="dxa" w:w="120"/>
            </w:tcMar>
          </w:tcPr>
          <w:p>
            <w:r>
              <w:rPr>
                <w:rFonts w:ascii="Arial" w:cs="Arial" w:eastAsia="Arial" w:hAnsi="Arial"/>
                <w:b/>
                <w:bCs/>
                <w:color w:val="1B5E8B"/>
                <w:sz w:val="20"/>
                <w:szCs w:val="20"/>
              </w:rPr>
              <w:t xml:space="preserve">Minute</w:t>
            </w:r>
          </w:p>
        </w:tc>
        <w:tc>
          <w:tcPr>
            <w:tcW w:type="dxa" w:w="3200"/>
            <w:tcBorders>
              <w:top w:val="single" w:color="BBCFE0" w:sz="1"/>
              <w:left w:val="single" w:color="BBCFE0" w:sz="1"/>
              <w:bottom w:val="single" w:color="BBCFE0" w:sz="1"/>
              <w:right w:val="single" w:color="BBCFE0" w:sz="1"/>
            </w:tcBorders>
            <w:shd w:fill="D6E8F4" w:val="clear"/>
            <w:tcMar>
              <w:top w:type="dxa" w:w="80"/>
              <w:left w:type="dxa" w:w="120"/>
              <w:bottom w:type="dxa" w:w="80"/>
              <w:right w:type="dxa" w:w="120"/>
            </w:tcMar>
          </w:tcPr>
          <w:p>
            <w:r>
              <w:rPr>
                <w:rFonts w:ascii="Arial" w:cs="Arial" w:eastAsia="Arial" w:hAnsi="Arial"/>
                <w:b/>
                <w:bCs/>
                <w:color w:val="1B5E8B"/>
                <w:sz w:val="20"/>
                <w:szCs w:val="20"/>
              </w:rPr>
              <w:t xml:space="preserve">Action</w:t>
            </w:r>
          </w:p>
        </w:tc>
        <w:tc>
          <w:tcPr>
            <w:tcW w:type="dxa" w:w="5160"/>
            <w:tcBorders>
              <w:top w:val="single" w:color="BBCFE0" w:sz="1"/>
              <w:left w:val="single" w:color="BBCFE0" w:sz="1"/>
              <w:bottom w:val="single" w:color="BBCFE0" w:sz="1"/>
              <w:right w:val="single" w:color="BBCFE0" w:sz="1"/>
            </w:tcBorders>
            <w:shd w:fill="D6E8F4" w:val="clear"/>
            <w:tcMar>
              <w:top w:type="dxa" w:w="80"/>
              <w:left w:type="dxa" w:w="120"/>
              <w:bottom w:type="dxa" w:w="80"/>
              <w:right w:type="dxa" w:w="120"/>
            </w:tcMar>
          </w:tcPr>
          <w:p>
            <w:r>
              <w:rPr>
                <w:rFonts w:ascii="Arial" w:cs="Arial" w:eastAsia="Arial" w:hAnsi="Arial"/>
                <w:b/>
                <w:bCs/>
                <w:color w:val="1B5E8B"/>
                <w:sz w:val="20"/>
                <w:szCs w:val="20"/>
              </w:rPr>
              <w:t xml:space="preserve">Key Teaching Point</w:t>
            </w:r>
          </w:p>
        </w:tc>
      </w:tr>
      <w:tr>
        <w:tc>
          <w:tcPr>
            <w:tcW w:type="dxa" w:w="10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0–3</w:t>
            </w:r>
          </w:p>
        </w:tc>
        <w:tc>
          <w:tcPr>
            <w:tcW w:type="dxa" w:w="32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Input TC-01 (classic STEMI)</w:t>
            </w:r>
          </w:p>
        </w:tc>
        <w:tc>
          <w:tcPr>
            <w:tcW w:type="dxa" w:w="516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Show the pipeline executing node by node in n8n</w:t>
            </w:r>
          </w:p>
        </w:tc>
      </w:tr>
      <w:tr>
        <w:tc>
          <w:tcPr>
            <w:tcW w:type="dxa" w:w="1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3–7</w:t>
            </w:r>
          </w:p>
        </w:tc>
        <w:tc>
          <w:tcPr>
            <w:tcW w:type="dxa" w:w="3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Open each agent's execution data</w:t>
            </w:r>
          </w:p>
        </w:tc>
        <w:tc>
          <w:tcPr>
            <w:tcW w:type="dxa" w:w="5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Show JSON outputs: features → differentials → triage → safety</w:t>
            </w:r>
          </w:p>
        </w:tc>
      </w:tr>
      <w:tr>
        <w:tc>
          <w:tcPr>
            <w:tcW w:type="dxa" w:w="10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7–10</w:t>
            </w:r>
          </w:p>
        </w:tc>
        <w:tc>
          <w:tcPr>
            <w:tcW w:type="dxa" w:w="32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Highlight the Safety Agent JSON</w:t>
            </w:r>
          </w:p>
        </w:tc>
        <w:tc>
          <w:tcPr>
            <w:tcW w:type="dxa" w:w="516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No content passthrough — pure evaluation. Discuss 6 dimensions.</w:t>
            </w:r>
          </w:p>
        </w:tc>
      </w:tr>
      <w:tr>
        <w:tc>
          <w:tcPr>
            <w:tcW w:type="dxa" w:w="1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10–14</w:t>
            </w:r>
          </w:p>
        </w:tc>
        <w:tc>
          <w:tcPr>
            <w:tcW w:type="dxa" w:w="3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Input TC-05 (prompt injection)</w:t>
            </w:r>
          </w:p>
        </w:tc>
        <w:tc>
          <w:tcPr>
            <w:tcW w:type="dxa" w:w="5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Extractor flags it → Safety Agent blocks → report not delivered</w:t>
            </w:r>
          </w:p>
        </w:tc>
      </w:tr>
      <w:tr>
        <w:tc>
          <w:tcPr>
            <w:tcW w:type="dxa" w:w="10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14–17</w:t>
            </w:r>
          </w:p>
        </w:tc>
        <w:tc>
          <w:tcPr>
            <w:tcW w:type="dxa" w:w="320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Input TC-08 (AI override language test)</w:t>
            </w:r>
          </w:p>
        </w:tc>
        <w:tc>
          <w:tcPr>
            <w:tcW w:type="dxa" w:w="5160"/>
            <w:tcBorders>
              <w:top w:val="single" w:color="BBCFE0" w:sz="1"/>
              <w:left w:val="single" w:color="BBCFE0" w:sz="1"/>
              <w:bottom w:val="single" w:color="BBCFE0" w:sz="1"/>
              <w:right w:val="single" w:color="BBCFE0" w:sz="1"/>
            </w:tcBorders>
            <w:shd w:fill="F5F6F8" w:val="clear"/>
            <w:tcMar>
              <w:top w:type="dxa" w:w="80"/>
              <w:left w:type="dxa" w:w="120"/>
              <w:bottom w:type="dxa" w:w="80"/>
              <w:right w:type="dxa" w:w="120"/>
            </w:tcMar>
          </w:tcPr>
          <w:p>
            <w:r>
              <w:rPr>
                <w:rFonts w:ascii="Arial" w:cs="Arial" w:eastAsia="Arial" w:hAnsi="Arial"/>
                <w:b w:val="false"/>
                <w:bCs w:val="false"/>
                <w:color w:val="1A1A2E"/>
                <w:sz w:val="20"/>
                <w:szCs w:val="20"/>
              </w:rPr>
              <w:t xml:space="preserve">Show ai_act_compliance_risk = 2 triggering approval=false</w:t>
            </w:r>
          </w:p>
        </w:tc>
      </w:tr>
      <w:tr>
        <w:tc>
          <w:tcPr>
            <w:tcW w:type="dxa" w:w="10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17–20</w:t>
            </w:r>
          </w:p>
        </w:tc>
        <w:tc>
          <w:tcPr>
            <w:tcW w:type="dxa" w:w="320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Compare with single-agent GPT</w:t>
            </w:r>
          </w:p>
        </w:tc>
        <w:tc>
          <w:tcPr>
            <w:tcW w:type="dxa" w:w="5160"/>
            <w:tcBorders>
              <w:top w:val="single" w:color="BBCFE0" w:sz="1"/>
              <w:left w:val="single" w:color="BBCFE0" w:sz="1"/>
              <w:bottom w:val="single" w:color="BBCFE0" w:sz="1"/>
              <w:right w:val="single" w:color="BBCF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Same prompt → single GPT4 response vs MediSafe-MAS → discuss</w:t>
            </w:r>
          </w:p>
        </w:tc>
      </w:tr>
    </w:tbl>
    <w:p>
      <w:pPr>
        <w:spacing w:before="160" w:after="0"/>
      </w:pPr>
      <w:r>
        <w:rPr>
          <w:rFonts w:ascii="Arial" w:cs="Arial" w:eastAsia="Arial" w:hAnsi="Arial"/>
          <w:sz w:val="22"/>
          <w:szCs w:val="22"/>
        </w:rPr>
        <w:t xml:space="preserve"/>
      </w:r>
    </w:p>
    <w:p>
      <w:pPr>
        <w:pStyle w:val="Heading2"/>
      </w:pPr>
      <w:r>
        <w:rPr>
          <w:rFonts w:ascii="Arial" w:cs="Arial" w:eastAsia="Arial" w:hAnsi="Arial"/>
          <w:b/>
          <w:bCs/>
          <w:color w:val="1B5E8B"/>
          <w:sz w:val="28"/>
          <w:szCs w:val="28"/>
        </w:rPr>
        <w:t xml:space="preserve">9.3  Key Talking Points for ICCSIC Presentation</w:t>
      </w:r>
    </w:p>
    <w:p>
      <w:pPr>
        <w:pStyle w:val="ListParagraph"/>
        <w:numPr>
          <w:ilvl w:val="0"/>
          <w:numId w:val="2"/>
        </w:numPr>
      </w:pPr>
      <w:r>
        <w:rPr>
          <w:rFonts w:ascii="Arial" w:cs="Arial" w:eastAsia="Arial" w:hAnsi="Arial"/>
          <w:sz w:val="22"/>
          <w:szCs w:val="22"/>
        </w:rPr>
        <w:t xml:space="preserve">This system demonstrates that responsible AI is not an add-on — it is a structural choice in agent design.</w:t>
      </w:r>
    </w:p>
    <w:p>
      <w:pPr>
        <w:pStyle w:val="ListParagraph"/>
        <w:numPr>
          <w:ilvl w:val="0"/>
          <w:numId w:val="2"/>
        </w:numPr>
      </w:pPr>
      <w:r>
        <w:rPr>
          <w:rFonts w:ascii="Arial" w:cs="Arial" w:eastAsia="Arial" w:hAnsi="Arial"/>
          <w:sz w:val="22"/>
          <w:szCs w:val="22"/>
        </w:rPr>
        <w:t xml:space="preserve">The typed JSON interfaces between agents are the key mechanism: they prevent hallucination propagation.</w:t>
      </w:r>
    </w:p>
    <w:p>
      <w:pPr>
        <w:pStyle w:val="ListParagraph"/>
        <w:numPr>
          <w:ilvl w:val="0"/>
          <w:numId w:val="2"/>
        </w:numPr>
      </w:pPr>
      <w:r>
        <w:rPr>
          <w:rFonts w:ascii="Arial" w:cs="Arial" w:eastAsia="Arial" w:hAnsi="Arial"/>
          <w:sz w:val="22"/>
          <w:szCs w:val="22"/>
        </w:rPr>
        <w:t xml:space="preserve">The Safety Agent audits the pipeline — it is the only agent that sees ALL other outputs simultaneously.</w:t>
      </w:r>
    </w:p>
    <w:p>
      <w:pPr>
        <w:pStyle w:val="ListParagraph"/>
        <w:numPr>
          <w:ilvl w:val="0"/>
          <w:numId w:val="2"/>
        </w:numPr>
      </w:pPr>
      <w:r>
        <w:rPr>
          <w:rFonts w:ascii="Arial" w:cs="Arial" w:eastAsia="Arial" w:hAnsi="Arial"/>
          <w:sz w:val="22"/>
          <w:szCs w:val="22"/>
        </w:rPr>
        <w:t xml:space="preserve">The Synthesizer's Safety Gate means the system can block its own output — a rare property in LLM systems.</w:t>
      </w:r>
    </w:p>
    <w:p>
      <w:pPr>
        <w:pStyle w:val="ListParagraph"/>
        <w:numPr>
          <w:ilvl w:val="0"/>
          <w:numId w:val="2"/>
        </w:numPr>
      </w:pPr>
      <w:r>
        <w:rPr>
          <w:rFonts w:ascii="Arial" w:cs="Arial" w:eastAsia="Arial" w:hAnsi="Arial"/>
          <w:sz w:val="22"/>
          <w:szCs w:val="22"/>
        </w:rPr>
        <w:t xml:space="preserve">Every component maps to a specific EU AI Act obligation — making regulatory compliance auditable.</w:t>
      </w:r>
    </w:p>
    <w:p>
      <w:pPr>
        <w:spacing w:before="200" w:after="0"/>
      </w:pPr>
      <w:r>
        <w:rPr>
          <w:rFonts w:ascii="Arial" w:cs="Arial" w:eastAsia="Arial" w:hAnsi="Arial"/>
          <w:sz w:val="22"/>
          <w:szCs w:val="22"/>
        </w:rPr>
        <w:t xml:space="preserve"/>
      </w:r>
    </w:p>
    <w:p>
      <w:pPr>
        <w:pBdr>
          <w:bottom w:val="single" w:color="D6E8F4" w:sz="4" w:space="1"/>
        </w:pBdr>
      </w:pPr>
      <w:r>
        <w:rPr>
          <w:rFonts w:ascii="Arial" w:cs="Arial" w:eastAsia="Arial" w:hAnsi="Arial"/>
          <w:sz w:val="22"/>
          <w:szCs w:val="22"/>
        </w:rPr>
        <w:t xml:space="preserve"/>
      </w:r>
    </w:p>
    <w:p>
      <w:r>
        <w:br w:type="page"/>
      </w:r>
    </w:p>
    <w:p>
      <w:pPr>
        <w:pStyle w:val="Heading1"/>
      </w:pPr>
      <w:r>
        <w:rPr>
          <w:rFonts w:ascii="Arial" w:cs="Arial" w:eastAsia="Arial" w:hAnsi="Arial"/>
          <w:b/>
          <w:bCs/>
          <w:color w:val="1B5E8B"/>
          <w:sz w:val="34"/>
          <w:szCs w:val="34"/>
        </w:rPr>
        <w:t xml:space="preserve">References</w:t>
      </w:r>
    </w:p>
    <w:p>
      <w:r>
        <w:rPr>
          <w:rFonts w:ascii="Arial" w:cs="Arial" w:eastAsia="Arial" w:hAnsi="Arial"/>
          <w:i/>
          <w:iCs/>
          <w:sz w:val="20"/>
          <w:szCs w:val="20"/>
        </w:rPr>
        <w:t xml:space="preserve">[1] Nori, H. et al. (2023). Capabilities of GPT-4 on Medical Challenge Problems. </w:t>
      </w:r>
      <w:r>
        <w:rPr>
          <w:rFonts w:ascii="Arial" w:cs="Arial" w:eastAsia="Arial" w:hAnsi="Arial"/>
          <w:sz w:val="20"/>
          <w:szCs w:val="20"/>
        </w:rPr>
        <w:t xml:space="preserve">arXiv:2303.13375.</w:t>
      </w:r>
    </w:p>
    <w:p>
      <w:pPr>
        <w:spacing w:before="80" w:after="0"/>
      </w:pPr>
      <w:r>
        <w:rPr>
          <w:rFonts w:ascii="Arial" w:cs="Arial" w:eastAsia="Arial" w:hAnsi="Arial"/>
          <w:sz w:val="22"/>
          <w:szCs w:val="22"/>
        </w:rPr>
        <w:t xml:space="preserve"/>
      </w:r>
    </w:p>
    <w:p>
      <w:r>
        <w:rPr>
          <w:rFonts w:ascii="Arial" w:cs="Arial" w:eastAsia="Arial" w:hAnsi="Arial"/>
          <w:i/>
          <w:iCs/>
          <w:sz w:val="20"/>
          <w:szCs w:val="20"/>
        </w:rPr>
        <w:t xml:space="preserve">[2] Singhal, K. et al. (2023). Large Language Models Encode Clinical Knowledge. </w:t>
      </w:r>
      <w:r>
        <w:rPr>
          <w:rFonts w:ascii="Arial" w:cs="Arial" w:eastAsia="Arial" w:hAnsi="Arial"/>
          <w:sz w:val="20"/>
          <w:szCs w:val="20"/>
        </w:rPr>
        <w:t xml:space="preserve">Nature, 620, 172–180.</w:t>
      </w:r>
    </w:p>
    <w:p>
      <w:pPr>
        <w:spacing w:before="80" w:after="0"/>
      </w:pPr>
      <w:r>
        <w:rPr>
          <w:rFonts w:ascii="Arial" w:cs="Arial" w:eastAsia="Arial" w:hAnsi="Arial"/>
          <w:sz w:val="22"/>
          <w:szCs w:val="22"/>
        </w:rPr>
        <w:t xml:space="preserve"/>
      </w:r>
    </w:p>
    <w:p>
      <w:r>
        <w:rPr>
          <w:rFonts w:ascii="Arial" w:cs="Arial" w:eastAsia="Arial" w:hAnsi="Arial"/>
          <w:i/>
          <w:iCs/>
          <w:sz w:val="20"/>
          <w:szCs w:val="20"/>
        </w:rPr>
        <w:t xml:space="preserve">[3] European Parliament (2024). Regulation (EU) 2024/1689 — Artificial Intelligence Act. </w:t>
      </w:r>
      <w:r>
        <w:rPr>
          <w:rFonts w:ascii="Arial" w:cs="Arial" w:eastAsia="Arial" w:hAnsi="Arial"/>
          <w:sz w:val="20"/>
          <w:szCs w:val="20"/>
        </w:rPr>
        <w:t xml:space="preserve">Official Journal of the European Union.</w:t>
      </w:r>
    </w:p>
    <w:p>
      <w:pPr>
        <w:spacing w:before="80" w:after="0"/>
      </w:pPr>
      <w:r>
        <w:rPr>
          <w:rFonts w:ascii="Arial" w:cs="Arial" w:eastAsia="Arial" w:hAnsi="Arial"/>
          <w:sz w:val="22"/>
          <w:szCs w:val="22"/>
        </w:rPr>
        <w:t xml:space="preserve"/>
      </w:r>
    </w:p>
    <w:p>
      <w:r>
        <w:rPr>
          <w:rFonts w:ascii="Arial" w:cs="Arial" w:eastAsia="Arial" w:hAnsi="Arial"/>
          <w:i/>
          <w:iCs/>
          <w:sz w:val="20"/>
          <w:szCs w:val="20"/>
        </w:rPr>
        <w:t xml:space="preserve">[4] Manchester Triage Group (2014). Emergency Triage, 3rd Edition. </w:t>
      </w:r>
      <w:r>
        <w:rPr>
          <w:rFonts w:ascii="Arial" w:cs="Arial" w:eastAsia="Arial" w:hAnsi="Arial"/>
          <w:sz w:val="20"/>
          <w:szCs w:val="20"/>
        </w:rPr>
        <w:t xml:space="preserve">Wiley-Blackwell.</w:t>
      </w:r>
    </w:p>
    <w:p>
      <w:pPr>
        <w:spacing w:before="80" w:after="0"/>
      </w:pPr>
      <w:r>
        <w:rPr>
          <w:rFonts w:ascii="Arial" w:cs="Arial" w:eastAsia="Arial" w:hAnsi="Arial"/>
          <w:sz w:val="22"/>
          <w:szCs w:val="22"/>
        </w:rPr>
        <w:t xml:space="preserve"/>
      </w:r>
    </w:p>
    <w:p>
      <w:r>
        <w:rPr>
          <w:rFonts w:ascii="Arial" w:cs="Arial" w:eastAsia="Arial" w:hAnsi="Arial"/>
          <w:i/>
          <w:iCs/>
          <w:sz w:val="20"/>
          <w:szCs w:val="20"/>
        </w:rPr>
        <w:t xml:space="preserve">[5] Park, J.S. et al. (2023). Generative Agents: Interactive Simulacra of Human Behavior. </w:t>
      </w:r>
      <w:r>
        <w:rPr>
          <w:rFonts w:ascii="Arial" w:cs="Arial" w:eastAsia="Arial" w:hAnsi="Arial"/>
          <w:sz w:val="20"/>
          <w:szCs w:val="20"/>
        </w:rPr>
        <w:t xml:space="preserve">ACM UIST 2023.</w:t>
      </w:r>
    </w:p>
    <w:p>
      <w:pPr>
        <w:spacing w:before="80" w:after="0"/>
      </w:pPr>
      <w:r>
        <w:rPr>
          <w:rFonts w:ascii="Arial" w:cs="Arial" w:eastAsia="Arial" w:hAnsi="Arial"/>
          <w:sz w:val="22"/>
          <w:szCs w:val="22"/>
        </w:rPr>
        <w:t xml:space="preserve"/>
      </w:r>
    </w:p>
    <w:p>
      <w:r>
        <w:rPr>
          <w:rFonts w:ascii="Arial" w:cs="Arial" w:eastAsia="Arial" w:hAnsi="Arial"/>
          <w:i/>
          <w:iCs/>
          <w:sz w:val="20"/>
          <w:szCs w:val="20"/>
        </w:rPr>
        <w:t xml:space="preserve">[6] Wang, L. et al. (2024). A Survey on Large Language Model based Autonomous Agents. </w:t>
      </w:r>
      <w:r>
        <w:rPr>
          <w:rFonts w:ascii="Arial" w:cs="Arial" w:eastAsia="Arial" w:hAnsi="Arial"/>
          <w:sz w:val="20"/>
          <w:szCs w:val="20"/>
        </w:rPr>
        <w:t xml:space="preserve">Frontiers of Computer Science.</w:t>
      </w:r>
    </w:p>
    <w:p>
      <w:pPr>
        <w:spacing w:before="80" w:after="0"/>
      </w:pPr>
      <w:r>
        <w:rPr>
          <w:rFonts w:ascii="Arial" w:cs="Arial" w:eastAsia="Arial" w:hAnsi="Arial"/>
          <w:sz w:val="22"/>
          <w:szCs w:val="22"/>
        </w:rPr>
        <w:t xml:space="preserve"/>
      </w:r>
    </w:p>
    <w:p>
      <w:r>
        <w:rPr>
          <w:rFonts w:ascii="Arial" w:cs="Arial" w:eastAsia="Arial" w:hAnsi="Arial"/>
          <w:i/>
          <w:iCs/>
          <w:sz w:val="20"/>
          <w:szCs w:val="20"/>
        </w:rPr>
        <w:t xml:space="preserve">[7] Rajpurkar, P. et al. (2022). AI in Health and Medicine. </w:t>
      </w:r>
      <w:r>
        <w:rPr>
          <w:rFonts w:ascii="Arial" w:cs="Arial" w:eastAsia="Arial" w:hAnsi="Arial"/>
          <w:sz w:val="20"/>
          <w:szCs w:val="20"/>
        </w:rPr>
        <w:t xml:space="preserve">Nature Medicine, 28(1), 31–38.</w:t>
      </w:r>
    </w:p>
    <w:p>
      <w:pPr>
        <w:spacing w:before="200" w:after="0"/>
      </w:pPr>
      <w:r>
        <w:rPr>
          <w:rFonts w:ascii="Arial" w:cs="Arial" w:eastAsia="Arial" w:hAnsi="Arial"/>
          <w:sz w:val="22"/>
          <w:szCs w:val="22"/>
        </w:rPr>
        <w:t xml:space="preserve"/>
      </w:r>
    </w:p>
    <w:p>
      <w:pPr>
        <w:pBdr>
          <w:bottom w:val="single" w:color="D6E8F4" w:sz="4" w:space="1"/>
        </w:pBdr>
      </w:pPr>
      <w:r>
        <w:rPr>
          <w:rFonts w:ascii="Arial" w:cs="Arial" w:eastAsia="Arial" w:hAnsi="Arial"/>
          <w:sz w:val="22"/>
          <w:szCs w:val="22"/>
        </w:rPr>
        <w:t xml:space="preserve"/>
      </w:r>
    </w:p>
    <w:p>
      <w:pPr>
        <w:spacing w:before="160" w:after="0"/>
      </w:pPr>
      <w:r>
        <w:rPr>
          <w:rFonts w:ascii="Arial" w:cs="Arial" w:eastAsia="Arial" w:hAnsi="Arial"/>
          <w:sz w:val="22"/>
          <w:szCs w:val="22"/>
        </w:rPr>
        <w:t xml:space="preserve"/>
      </w:r>
    </w:p>
    <w:p>
      <w:pPr>
        <w:jc w:val="center"/>
      </w:pPr>
      <w:r>
        <w:rPr>
          <w:rFonts w:ascii="Arial" w:cs="Arial" w:eastAsia="Arial" w:hAnsi="Arial"/>
          <w:i/>
          <w:iCs/>
          <w:color w:val="444455"/>
          <w:sz w:val="18"/>
          <w:szCs w:val="18"/>
        </w:rPr>
        <w:t xml:space="preserve">MediSafe-MAS  ·  ICCSIC 2026  ·  Tabarka, Tunisia  ·  Mokhtar Sellami  ·  WiseAI</w:t>
      </w:r>
    </w:p>
    <w:p>
      <w:pPr>
        <w:spacing w:before="60"/>
        <w:jc w:val="center"/>
      </w:pPr>
      <w:r>
        <w:rPr>
          <w:rFonts w:ascii="Arial" w:cs="Arial" w:eastAsia="Arial" w:hAnsi="Arial"/>
          <w:color w:val="444455"/>
          <w:sz w:val="16"/>
          <w:szCs w:val="16"/>
        </w:rPr>
        <w:t xml:space="preserve">Workflow: MediSafe_MAS_ICCSIC2026.json  ·  n8n prototype, not a certified medical device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8F4" w:sz="4" w:space="6"/>
      </w:pBdr>
      <w:tabs>
        <w:tab w:val="right" w:pos="9026"/>
      </w:tabs>
    </w:pPr>
    <w:r>
      <w:rPr>
        <w:rFonts w:ascii="Arial" w:cs="Arial" w:eastAsia="Arial" w:hAnsi="Arial"/>
        <w:color w:val="444455"/>
        <w:sz w:val="16"/>
        <w:szCs w:val="16"/>
      </w:rPr>
      <w:t xml:space="preserve">Mokhtar Sellami · WiseAI · March 2026</w:t>
    </w:r>
    <w:r>
      <w:rPr>
        <w:rFonts w:ascii="Arial" w:cs="Arial" w:eastAsia="Arial" w:hAnsi="Arial"/>
        <w:sz w:val="16"/>
        <w:szCs w:val="16"/>
      </w:rPr>
      <w:t xml:space="preserve">	</w:t>
    </w:r>
    <w:r>
      <w:rPr>
        <w:rFonts w:ascii="Arial" w:cs="Arial" w:eastAsia="Arial" w:hAnsi="Arial"/>
        <w:color w:val="444455"/>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8F4" w:sz="4" w:space="6"/>
      </w:pBdr>
      <w:tabs>
        <w:tab w:val="right" w:pos="9026"/>
      </w:tabs>
    </w:pPr>
    <w:r>
      <w:rPr>
        <w:rFonts w:ascii="Arial" w:cs="Arial" w:eastAsia="Arial" w:hAnsi="Arial"/>
        <w:b/>
        <w:bCs/>
        <w:color w:val="1B5E8B"/>
        <w:sz w:val="18"/>
        <w:szCs w:val="18"/>
      </w:rPr>
      <w:t xml:space="preserve">MediSafe-MAS — ICCSIC 2026 · Tabarka, Tunisia</w:t>
    </w:r>
    <w:r>
      <w:rPr>
        <w:rFonts w:ascii="Arial" w:cs="Arial" w:eastAsia="Arial" w:hAnsi="Arial"/>
        <w:sz w:val="18"/>
        <w:szCs w:val="18"/>
      </w:rPr>
      <w:t xml:space="preserve">	</w:t>
    </w:r>
    <w:r>
      <w:rPr>
        <w:rFonts w:ascii="Arial" w:cs="Arial" w:eastAsia="Arial" w:hAnsi="Arial"/>
        <w:i/>
        <w:iCs/>
        <w:color w:val="444455"/>
        <w:sz w:val="18"/>
        <w:szCs w:val="18"/>
      </w:rPr>
      <w:t xml:space="preserve">Responsible Multi-Agent Clinical Triage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lvl>
    <w:lvl w:ilvl="1" w15:tentative="1">
      <w:start w:val="1"/>
      <w:numFmt w:val="bullet"/>
      <w:lvlText w:val="◦"/>
      <w:lvlJc w:val="left"/>
      <w:pPr>
        <w:spacing w:before="30" w:after="30"/>
        <w:ind w:left="1080" w:hanging="360"/>
      </w:pPr>
    </w:lvl>
  </w:abstractNum>
  <w:abstractNum w:abstractNumId="3" w15:restartNumberingAfterBreak="0">
    <w:multiLevelType w:val="hybridMultilevel"/>
    <w:lvl w:ilvl="0" w15:tentative="1">
      <w:start w:val="1"/>
      <w:numFmt w:val="decimal"/>
      <w:lvlText w:val="%1."/>
      <w:lvlJc w:val="left"/>
      <w:pPr>
        <w:spacing w:before="60" w:after="6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5E8B"/>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1B5E8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E7C8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2026-03-25T17:02:58.643Z</dcterms:created>
  <dcterms:modified xsi:type="dcterms:W3CDTF">2026-03-25T17:02:58.644Z</dcterms:modified>
</cp:coreProperties>
</file>

<file path=docProps/custom.xml><?xml version="1.0" encoding="utf-8"?>
<Properties xmlns="http://schemas.openxmlformats.org/officeDocument/2006/custom-properties" xmlns:vt="http://schemas.openxmlformats.org/officeDocument/2006/docPropsVTypes"/>
</file>