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5C8C"/>
          <w:sz w:val="40"/>
          <w:szCs w:val="40"/>
        </w:rPr>
        <w:t xml:space="preserve">Marcelo Semino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AI / LLM Engineer · RAG &amp; LLM-Ops · Local-first Inference · MLOps</w:t>
      </w:r>
    </w:p>
    <w:p>
      <w:pPr>
        <w:spacing w:after="120"/>
        <w:jc w:val="center"/>
      </w:pPr>
      <w:r>
        <w:rPr>
          <w:color w:val="555555"/>
          <w:sz w:val="18"/>
          <w:szCs w:val="18"/>
        </w:rPr>
        <w:t xml:space="preserve">Buenos Aires, Argentina (Remote · UTC-3)  ·  msemino@gmail.com  ·  linkedin.com/in/marcelosemino  ·  github.com/msemino</w:t>
      </w:r>
    </w:p>
    <w:p>
      <w:pPr>
        <w:pBdr>
          <w:bottom w:val="single" w:color="1F5C8C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PROFESSIONAL SUMMARY</w:t>
      </w:r>
    </w:p>
    <w:p>
      <w:pPr>
        <w:spacing w:after="80"/>
      </w:pPr>
      <w:r>
        <w:t xml:space="preserve">AI/LLM Engineer who builds and operates production LLM systems end-to-end: RAG pipelines, vector databases, compliance-aligned prompting, observability, and MLOps deployment. I run self-hosted inference on an RTX 3090 (24GB) with Ollama — tuning models, managing context windows, and integrating LLMs into real systems, with on-demand escalation to frontier endpoints when the task requires it.</w:t>
      </w:r>
    </w:p>
    <w:p>
      <w:pPr>
        <w:spacing w:after="80"/>
      </w:pPr>
      <w:r>
        <w:t xml:space="preserve">Background: 30+ years in systems engineering and enterprise infrastructure (IBM, critical-infrastructure operations). I reached LLM work through production needs, not research — so I treat LLMs as infrastructure components with latency, cost, reliability, compliance and failure modes, not as magic. I build LLM-powered systems that work in production and keep working, and document them so a non-technical or compliance stakeholder can follow what the system does and why.</w:t>
      </w:r>
    </w:p>
    <w:p>
      <w:pPr>
        <w:pBdr>
          <w:bottom w:val="single" w:color="1F5C8C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 Application Engineering: </w:t>
      </w:r>
      <w:r>
        <w:t xml:space="preserve">RAG pipelines (chunking, retrieval, synthesis) · Vector databases (Qdrant) · Embeddings (local) · Knowledge-graph / GraphRAG (Neo4j) · Compliance-aligned &amp; few-shot prompt engineering · Prompt versioning · Structured/JSON output · Guardrails to reduce false positives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LLM-Ops &amp; Observability: </w:t>
      </w:r>
      <w:r>
        <w:t xml:space="preserve">Per-request tracing (latency / tokens / retrieval hits) · Langfuse · Eval harnesses · Prompt &amp; model version control · Latency and cost optimization · Failure-mode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Inference &amp; Model Ops: </w:t>
      </w:r>
      <w:r>
        <w:t xml:space="preserve">Ollama · CUDA (RTX 3090 24GB) · Flash attention · KV-cache tuning (q8_0) · Context-window management · Quantization &amp; VRAM trade-offs · Model selection · LoRA/QLoRA fine-tuning (unsloth)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Deployment &amp; Infrastructure: </w:t>
      </w:r>
      <w:r>
        <w:t xml:space="preserve">FastAPI inference endpoints · Docker · Linux · systemd · GitHub Actions (CI/CD) · Tailscale · Cloudflare Workers · Python · Playwright ·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Agents &amp; Orchestration: </w:t>
      </w:r>
      <w:r>
        <w:t xml:space="preserve">LangGraph · Multi-agent coordination · Tool-use / function calling · Progressive tool disclosure · Agent state management · Hermes (custom orchestrator)</w:t>
      </w:r>
    </w:p>
    <w:p>
      <w:pPr>
        <w:pBdr>
          <w:bottom w:val="single" w:color="1F5C8C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SELECTED PROJECTS</w:t>
      </w:r>
    </w:p>
    <w:p>
      <w:pPr>
        <w:tabs>
          <w:tab w:val="right" w:pos="9026"/>
        </w:tabs>
        <w:spacing w:after="40" w:before="120"/>
      </w:pPr>
      <w:r>
        <w:rPr>
          <w:b/>
          <w:bCs/>
          <w:sz w:val="22"/>
          <w:szCs w:val="22"/>
        </w:rPr>
        <w:t xml:space="preserve">InsightRAG — self-hosted customer-insight assistant for regulated domains</w:t>
      </w:r>
      <w:r>
        <w:rPr>
          <w:sz w:val="22"/>
          <w:szCs w:val="22"/>
        </w:rPr>
        <w:t xml:space="preserve">  —  github.com/msemino/insight-rag</w:t>
      </w:r>
      <w:r>
        <w:rPr>
          <w:i/>
          <w:iCs/>
          <w:color w:val="666666"/>
          <w:sz w:val="20"/>
          <w:szCs w:val="20"/>
        </w:rPr>
        <w:t xml:space="preserve">	2026</w:t>
      </w:r>
    </w:p>
    <w:p>
      <w:pPr>
        <w:spacing w:after="60"/>
      </w:pPr>
      <w:r>
        <w:rPr>
          <w:i/>
          <w:iCs/>
        </w:rPr>
        <w:t xml:space="preserve">Reference implementation of the full stack a regulated-industry AI product needs (RAG + compliance + observability + knowledge graph + fine-tuning + deployment), running on a single RTX 3090.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RAG in production shape: </w:t>
      </w:r>
      <w:r>
        <w:t xml:space="preserve">ingestion → chunking → local embeddings → Qdrant vector store → grounded synthesis with a local LLM. Fully offline, no cloud API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Compliance-aligned prompting: </w:t>
      </w:r>
      <w:r>
        <w:t xml:space="preserve">versioned system prompts enforcing on-label-only answers, fair balance, no superiority claims, source-grounded responses. Off-label questions get a scoped refusal plus on-label facts — reducing false positives instead of over-blocking.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Observability by design: </w:t>
      </w:r>
      <w:r>
        <w:t xml:space="preserve">every request emits a trace (prompt version, retrieval hits + scores, model, latency, tokens) — the audit trail a compliance/medical stakeholder can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Hybrid GraphRAG: </w:t>
      </w:r>
      <w:r>
        <w:t xml:space="preserve">a typed knowledge graph (products, classes, indications, reversal agents) queried alongside vector search — structured triples plus reranked passages — for exact relations dense retrieval alone can miss.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MLOps: </w:t>
      </w:r>
      <w:r>
        <w:t xml:space="preserve">versioned FastAPI endpoints exposing model + prompt version per response; offline unit tests; GitHub Actions CI (green).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Validated </w:t>
      </w:r>
      <w:r>
        <w:t xml:space="preserve">on a simulated HCP knowledge base with reproducible demo cases and a compliance eval harness (grounding, fair balance, off-label refusal, honesty).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Fine-tuning pipeline ready: </w:t>
      </w:r>
      <w:r>
        <w:t xml:space="preserve">instruction dataset built from the corpus + a LoRA/QLoRA training script (unsloth) sized for the RTX 3090.</w:t>
      </w:r>
    </w:p>
    <w:p>
      <w:pPr>
        <w:tabs>
          <w:tab w:val="right" w:pos="9026"/>
        </w:tabs>
        <w:spacing w:after="40" w:before="120"/>
      </w:pPr>
      <w:r>
        <w:rPr>
          <w:b/>
          <w:bCs/>
          <w:sz w:val="22"/>
          <w:szCs w:val="22"/>
        </w:rPr>
        <w:t xml:space="preserve">AI Platform Lab — LLM Engineer &amp; Operator</w:t>
      </w:r>
      <w:r>
        <w:rPr>
          <w:sz w:val="22"/>
          <w:szCs w:val="22"/>
        </w:rPr>
        <w:t xml:space="preserve">  —  github.com/msemino</w:t>
      </w:r>
      <w:r>
        <w:rPr>
          <w:i/>
          <w:iCs/>
          <w:color w:val="666666"/>
          <w:sz w:val="20"/>
          <w:szCs w:val="20"/>
        </w:rPr>
        <w:t xml:space="preserve">	2024–Present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Latency optimization: </w:t>
      </w:r>
      <w:r>
        <w:t xml:space="preserve">Hermes orchestrator (LangGraph) 398s/call → 33s/call (12×, same hardware) via reasoning_effort=low, pruned tool lists, progressive-disclosure skill loading.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VRAM management: </w:t>
      </w:r>
      <w:r>
        <w:t xml:space="preserve">RTX 3090 (24GB), all-GPU loading via KV-cache q8_0 + flash attention; 64K context in VRAM, no swap.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RAG local &amp; Whisper pipeline: </w:t>
      </w:r>
      <w:r>
        <w:t xml:space="preserve">offline document QA; WhatsApp voice → Whisper.cpp on GPU → structured text (&lt;10s for 60s audio).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LLM-ops judgment: </w:t>
      </w:r>
      <w:r>
        <w:t xml:space="preserve">on a price-audit agent, found the LLM sat on a critical path that didn’t need it — removed it, cut latency 10× and improved accuracy.</w:t>
      </w:r>
    </w:p>
    <w:p>
      <w:pPr>
        <w:pBdr>
          <w:bottom w:val="single" w:color="1F5C8C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ARSAT — Systems Engineer (2013–Present): </w:t>
      </w:r>
      <w:r>
        <w:t xml:space="preserve">Enterprise systems, change management, IBM Maximo. Critical infrastructure, strict SLAs.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IBM Global — Service Delivery Manager (2011–2013): </w:t>
      </w:r>
      <w:r>
        <w:t xml:space="preserve">Service delivery for enterprise accounts. Cross-functional leadership, P&amp;L, SLA accountability.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AfterNet Improve Solutions — Founder &amp; IT Architect (2005–2011): </w:t>
      </w:r>
      <w:r>
        <w:t xml:space="preserve">Complex system integrations, full lifecycle from design to production handoff.</w:t>
      </w:r>
    </w:p>
    <w:p>
      <w:pPr>
        <w:pBdr>
          <w:bottom w:val="single" w:color="1F5C8C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EDUCATION &amp; CERTIFICATIONS</w:t>
      </w:r>
    </w:p>
    <w:p>
      <w:pPr>
        <w:spacing w:after="80"/>
      </w:pPr>
      <w:r>
        <w:t xml:space="preserve">Information Systems Engineering — UAI · MCT · MCSE/MCSA · MCITP · CCNA · CCNP · VMware VCP5 · Lean Six Sigma Green Belt · PM Orientation (IBM)</w:t>
      </w:r>
    </w:p>
    <w:p>
      <w:pPr>
        <w:spacing w:after="80"/>
      </w:pPr>
      <w:r>
        <w:rPr>
          <w:b/>
          <w:bCs/>
        </w:rPr>
        <w:t xml:space="preserve">Languages: </w:t>
      </w:r>
      <w:r>
        <w:t xml:space="preserve">Spanish (native) · English (fluent)</w:t>
      </w:r>
    </w:p>
    <w:p>
      <w:pPr>
        <w:pBdr>
          <w:bottom w:val="single" w:color="1F5C8C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5C8C"/>
          <w:sz w:val="24"/>
          <w:szCs w:val="24"/>
        </w:rPr>
        <w:t xml:space="preserve">PROOF OF 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insight-rag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 + vector DB + compliance prompting + observability + HCP demo, local-first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local-agent-orchestrator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LLM-ops: 398s→033s, VRAM tuning, model-selection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self-hosted-ai-lab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platform: 2 nodes, inference, voice, agents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agente-book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When to remove the LLM from the critical path</w:t>
            </w:r>
          </w:p>
        </w:tc>
      </w:tr>
    </w:tbl>
    <w:p>
      <w:pPr>
        <w:spacing w:before="160"/>
        <w:jc w:val="center"/>
      </w:pPr>
      <w:r>
        <w:rPr>
          <w:i/>
          <w:iCs/>
          <w:color w:val="666666"/>
          <w:sz w:val="18"/>
          <w:szCs w:val="18"/>
        </w:rPr>
        <w:t xml:space="preserve">Remote · Async-first · Available immediately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2026-07-03T18:21:13.719Z</dcterms:created>
  <dcterms:modified xsi:type="dcterms:W3CDTF">2026-07-03T18:21:13.728Z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