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Memorándum de cierre · Agosto 2026</w:t>
      </w:r>
    </w:p>
    <w:p>
      <w:r>
        <w:rPr>
          <w:b/>
        </w:rPr>
        <w:t xml:space="preserve">De: </w:t>
      </w:r>
      <w:r>
        <w:t xml:space="preserve">Dirección Financiera · </w:t>
      </w:r>
      <w:r>
        <w:rPr>
          <w:b/>
        </w:rPr>
        <w:t xml:space="preserve">Para: </w:t>
      </w:r>
      <w:r>
        <w:t xml:space="preserve">Dirección General · </w:t>
      </w:r>
      <w:r>
        <w:rPr>
          <w:b/>
        </w:rPr>
        <w:t xml:space="preserve">Fecha: </w:t>
      </w:r>
      <w:r>
        <w:t>7 de septiembre de 2026 (D+7)</w:t>
      </w:r>
    </w:p>
    <w:p>
      <w:pPr>
        <w:pStyle w:val="Heading2"/>
      </w:pPr>
      <w:r>
        <w:t>1. Resumen ejecutivo</w:t>
      </w:r>
    </w:p>
    <w:p>
      <w:r>
        <w:t>Las ventas de agosto ascienden a 555.887 €, un +6,7 % respecto a agosto de 2025. El margen bruto se sitúa en el 61,6 % (342.187 €). Agosto mantiene el patrón estacional habitual: mes de menor actividad en tienda física, compensado en parte por el canal Online.</w:t>
      </w:r>
    </w:p>
    <w:p>
      <w:pPr>
        <w:pStyle w:val="Heading2"/>
      </w:pPr>
      <w:r>
        <w:t>2. Ventas por tienda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Tienda</w:t>
            </w:r>
          </w:p>
        </w:tc>
        <w:tc>
          <w:tcPr>
            <w:tcW w:type="dxa" w:w="2436"/>
          </w:tcPr>
          <w:p>
            <w:r>
              <w:t>Ventas ago. 2026</w:t>
            </w:r>
          </w:p>
        </w:tc>
        <w:tc>
          <w:tcPr>
            <w:tcW w:type="dxa" w:w="2436"/>
          </w:tcPr>
          <w:p>
            <w:r>
              <w:t>Ventas ago. 2025</w:t>
            </w:r>
          </w:p>
        </w:tc>
        <w:tc>
          <w:tcPr>
            <w:tcW w:type="dxa" w:w="2436"/>
          </w:tcPr>
          <w:p>
            <w:r>
              <w:t>Variación</w:t>
            </w:r>
          </w:p>
        </w:tc>
      </w:tr>
      <w:tr>
        <w:tc>
          <w:tcPr>
            <w:tcW w:type="dxa" w:w="2436"/>
          </w:tcPr>
          <w:p>
            <w:r>
              <w:t>Palma</w:t>
            </w:r>
          </w:p>
        </w:tc>
        <w:tc>
          <w:tcPr>
            <w:tcW w:type="dxa" w:w="2436"/>
          </w:tcPr>
          <w:p>
            <w:r>
              <w:t>71.775 €</w:t>
            </w:r>
          </w:p>
        </w:tc>
        <w:tc>
          <w:tcPr>
            <w:tcW w:type="dxa" w:w="2436"/>
          </w:tcPr>
          <w:p>
            <w:r>
              <w:t>67.578 €</w:t>
            </w:r>
          </w:p>
        </w:tc>
        <w:tc>
          <w:tcPr>
            <w:tcW w:type="dxa" w:w="2436"/>
          </w:tcPr>
          <w:p>
            <w:r>
              <w:t>+6,2 %</w:t>
            </w:r>
          </w:p>
        </w:tc>
      </w:tr>
      <w:tr>
        <w:tc>
          <w:tcPr>
            <w:tcW w:type="dxa" w:w="2436"/>
          </w:tcPr>
          <w:p>
            <w:r>
              <w:t>Barcelona</w:t>
            </w:r>
          </w:p>
        </w:tc>
        <w:tc>
          <w:tcPr>
            <w:tcW w:type="dxa" w:w="2436"/>
          </w:tcPr>
          <w:p>
            <w:r>
              <w:t>85.514 €</w:t>
            </w:r>
          </w:p>
        </w:tc>
        <w:tc>
          <w:tcPr>
            <w:tcW w:type="dxa" w:w="2436"/>
          </w:tcPr>
          <w:p>
            <w:r>
              <w:t>82.873 €</w:t>
            </w:r>
          </w:p>
        </w:tc>
        <w:tc>
          <w:tcPr>
            <w:tcW w:type="dxa" w:w="2436"/>
          </w:tcPr>
          <w:p>
            <w:r>
              <w:t>+3,2 %</w:t>
            </w:r>
          </w:p>
        </w:tc>
      </w:tr>
      <w:tr>
        <w:tc>
          <w:tcPr>
            <w:tcW w:type="dxa" w:w="2436"/>
          </w:tcPr>
          <w:p>
            <w:r>
              <w:t>Madrid</w:t>
            </w:r>
          </w:p>
        </w:tc>
        <w:tc>
          <w:tcPr>
            <w:tcW w:type="dxa" w:w="2436"/>
          </w:tcPr>
          <w:p>
            <w:r>
              <w:t>84.912 €</w:t>
            </w:r>
          </w:p>
        </w:tc>
        <w:tc>
          <w:tcPr>
            <w:tcW w:type="dxa" w:w="2436"/>
          </w:tcPr>
          <w:p>
            <w:r>
              <w:t>83.743 €</w:t>
            </w:r>
          </w:p>
        </w:tc>
        <w:tc>
          <w:tcPr>
            <w:tcW w:type="dxa" w:w="2436"/>
          </w:tcPr>
          <w:p>
            <w:r>
              <w:t>+1,4 %</w:t>
            </w:r>
          </w:p>
        </w:tc>
      </w:tr>
      <w:tr>
        <w:tc>
          <w:tcPr>
            <w:tcW w:type="dxa" w:w="2436"/>
          </w:tcPr>
          <w:p>
            <w:r>
              <w:t>Valencia</w:t>
            </w:r>
          </w:p>
        </w:tc>
        <w:tc>
          <w:tcPr>
            <w:tcW w:type="dxa" w:w="2436"/>
          </w:tcPr>
          <w:p>
            <w:r>
              <w:t>49.331 €</w:t>
            </w:r>
          </w:p>
        </w:tc>
        <w:tc>
          <w:tcPr>
            <w:tcW w:type="dxa" w:w="2436"/>
          </w:tcPr>
          <w:p>
            <w:r>
              <w:t>50.765 €</w:t>
            </w:r>
          </w:p>
        </w:tc>
        <w:tc>
          <w:tcPr>
            <w:tcW w:type="dxa" w:w="2436"/>
          </w:tcPr>
          <w:p>
            <w:r>
              <w:t>-2,8 %</w:t>
            </w:r>
          </w:p>
        </w:tc>
      </w:tr>
      <w:tr>
        <w:tc>
          <w:tcPr>
            <w:tcW w:type="dxa" w:w="2436"/>
          </w:tcPr>
          <w:p>
            <w:r>
              <w:t>Bilbao</w:t>
            </w:r>
          </w:p>
        </w:tc>
        <w:tc>
          <w:tcPr>
            <w:tcW w:type="dxa" w:w="2436"/>
          </w:tcPr>
          <w:p>
            <w:r>
              <w:t>43.552 €</w:t>
            </w:r>
          </w:p>
        </w:tc>
        <w:tc>
          <w:tcPr>
            <w:tcW w:type="dxa" w:w="2436"/>
          </w:tcPr>
          <w:p>
            <w:r>
              <w:t>42.996 €</w:t>
            </w:r>
          </w:p>
        </w:tc>
        <w:tc>
          <w:tcPr>
            <w:tcW w:type="dxa" w:w="2436"/>
          </w:tcPr>
          <w:p>
            <w:r>
              <w:t>+1,3 %</w:t>
            </w:r>
          </w:p>
        </w:tc>
      </w:tr>
      <w:tr>
        <w:tc>
          <w:tcPr>
            <w:tcW w:type="dxa" w:w="2436"/>
          </w:tcPr>
          <w:p>
            <w:r>
              <w:t>Sevilla</w:t>
            </w:r>
          </w:p>
        </w:tc>
        <w:tc>
          <w:tcPr>
            <w:tcW w:type="dxa" w:w="2436"/>
          </w:tcPr>
          <w:p>
            <w:r>
              <w:t>51.608 €</w:t>
            </w:r>
          </w:p>
        </w:tc>
        <w:tc>
          <w:tcPr>
            <w:tcW w:type="dxa" w:w="2436"/>
          </w:tcPr>
          <w:p>
            <w:r>
              <w:t>47.653 €</w:t>
            </w:r>
          </w:p>
        </w:tc>
        <w:tc>
          <w:tcPr>
            <w:tcW w:type="dxa" w:w="2436"/>
          </w:tcPr>
          <w:p>
            <w:r>
              <w:t>+8,3 %</w:t>
            </w:r>
          </w:p>
        </w:tc>
      </w:tr>
      <w:tr>
        <w:tc>
          <w:tcPr>
            <w:tcW w:type="dxa" w:w="2436"/>
          </w:tcPr>
          <w:p>
            <w:r>
              <w:t>Lisboa</w:t>
            </w:r>
          </w:p>
        </w:tc>
        <w:tc>
          <w:tcPr>
            <w:tcW w:type="dxa" w:w="2436"/>
          </w:tcPr>
          <w:p>
            <w:r>
              <w:t>47.491 €</w:t>
            </w:r>
          </w:p>
        </w:tc>
        <w:tc>
          <w:tcPr>
            <w:tcW w:type="dxa" w:w="2436"/>
          </w:tcPr>
          <w:p>
            <w:r>
              <w:t>41.567 €</w:t>
            </w:r>
          </w:p>
        </w:tc>
        <w:tc>
          <w:tcPr>
            <w:tcW w:type="dxa" w:w="2436"/>
          </w:tcPr>
          <w:p>
            <w:r>
              <w:t>+14,3 %</w:t>
            </w:r>
          </w:p>
        </w:tc>
      </w:tr>
      <w:tr>
        <w:tc>
          <w:tcPr>
            <w:tcW w:type="dxa" w:w="2436"/>
          </w:tcPr>
          <w:p>
            <w:r>
              <w:t>Online</w:t>
            </w:r>
          </w:p>
        </w:tc>
        <w:tc>
          <w:tcPr>
            <w:tcW w:type="dxa" w:w="2436"/>
          </w:tcPr>
          <w:p>
            <w:r>
              <w:t>121.704 €</w:t>
            </w:r>
          </w:p>
        </w:tc>
        <w:tc>
          <w:tcPr>
            <w:tcW w:type="dxa" w:w="2436"/>
          </w:tcPr>
          <w:p>
            <w:r>
              <w:t>103.629 €</w:t>
            </w:r>
          </w:p>
        </w:tc>
        <w:tc>
          <w:tcPr>
            <w:tcW w:type="dxa" w:w="2436"/>
          </w:tcPr>
          <w:p>
            <w:r>
              <w:t>+17,4 %</w:t>
            </w:r>
          </w:p>
        </w:tc>
      </w:tr>
      <w:tr>
        <w:tc>
          <w:tcPr>
            <w:tcW w:type="dxa" w:w="2436"/>
          </w:tcPr>
          <w:p>
            <w:r>
              <w:t>Total</w:t>
            </w:r>
          </w:p>
        </w:tc>
        <w:tc>
          <w:tcPr>
            <w:tcW w:type="dxa" w:w="2436"/>
          </w:tcPr>
          <w:p>
            <w:r>
              <w:t>555.887 €</w:t>
            </w:r>
          </w:p>
        </w:tc>
        <w:tc>
          <w:tcPr>
            <w:tcW w:type="dxa" w:w="2436"/>
          </w:tcPr>
          <w:p>
            <w:r>
              <w:t>520.805 €</w:t>
            </w:r>
          </w:p>
        </w:tc>
        <w:tc>
          <w:tcPr>
            <w:tcW w:type="dxa" w:w="2436"/>
          </w:tcPr>
          <w:p>
            <w:r>
              <w:t>+6,7 %</w:t>
            </w:r>
          </w:p>
        </w:tc>
      </w:tr>
    </w:tbl>
    <w:p>
      <w:pPr>
        <w:pStyle w:val="Heading2"/>
      </w:pPr>
      <w:r>
        <w:t>3. Márgenes</w:t>
      </w:r>
    </w:p>
    <w:p>
      <w:r>
        <w:t>El margen bruto por familia se mantiene en la banda prevista: calzado en torno al 60 %, bolsos por encima del 60 %, cinturones y accesorios entre el 62 % y el 65 %. La presión de las rebajas de julio no se traslada a agosto.</w:t>
      </w:r>
    </w:p>
    <w:p>
      <w:pPr>
        <w:pStyle w:val="Heading2"/>
      </w:pPr>
      <w:r>
        <w:t>4. Incidencias del cierre</w:t>
      </w:r>
    </w:p>
    <w:p>
      <w:pPr>
        <w:pStyle w:val="ListBullet"/>
      </w:pPr>
      <w:r>
        <w:t>Dos facturas de logística de julio recibidas en agosto: imputadas al periodo de devengo según la norma 3.2.</w:t>
      </w:r>
    </w:p>
    <w:p>
      <w:pPr>
        <w:pStyle w:val="ListBullet"/>
      </w:pPr>
      <w:r>
        <w:t>Ajuste de inventario en Valencia (−1,1 % sobre existencias) pendiente de revisión con la tienda.</w:t>
      </w:r>
    </w:p>
    <w:p>
      <w:pPr>
        <w:pStyle w:val="ListBullet"/>
      </w:pPr>
      <w:r>
        <w:t>Devoluciones del canal Online dentro del rango habitual (4,8 % de las ventas del canal).</w:t>
      </w:r>
    </w:p>
    <w:p>
      <w:pPr>
        <w:pStyle w:val="Heading2"/>
      </w:pPr>
      <w:r>
        <w:t>5. Próximos pasos</w:t>
      </w:r>
    </w:p>
    <w:p>
      <w:pPr>
        <w:pStyle w:val="ListNumber"/>
      </w:pPr>
      <w:r>
        <w:t>Cierre de septiembre: cierres de tienda el 3 de octubre (D+3), consolidado el 5 (D+5) y memorándum el 7 (D+7).</w:t>
      </w:r>
    </w:p>
    <w:p>
      <w:pPr>
        <w:pStyle w:val="ListNumber"/>
      </w:pPr>
      <w:r>
        <w:t>Revisión del calendario de reposición de la temporada de otoño con Operaciones.</w:t>
      </w:r>
    </w:p>
    <w:p>
      <w:pPr>
        <w:pStyle w:val="ListNumber"/>
      </w:pPr>
      <w:r>
        <w:t>Seguimiento de la evolución de Online, Lisboa y Sevilla, que lideran el crecimiento interanual.</w:t>
      </w:r>
    </w:p>
    <w:p>
      <w:pPr>
        <w:jc w:val="right"/>
      </w:pPr>
      <w:r>
        <w:rPr>
          <w:i/>
          <w:sz w:val="18"/>
        </w:rPr>
        <w:t>Documento de práctica del curso IA Generativa · datos sintéticos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