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Normas internas de imputación y definiciones de KPI</w:t>
      </w:r>
    </w:p>
    <w:p>
      <w:r>
        <w:t>Dirección Financiera · versión 2026.2 · uso interno. Documento de práctica del curso IA Generativa (datos sintéticos).</w:t>
      </w:r>
    </w:p>
    <w:p>
      <w:pPr>
        <w:pStyle w:val="Heading2"/>
      </w:pPr>
      <w:r>
        <w:t>1. Calendario de cierre</w:t>
      </w:r>
    </w:p>
    <w:p>
      <w:pPr>
        <w:pStyle w:val="ListBullet"/>
      </w:pPr>
      <w:r>
        <w:t>D+3: cada tienda envía el cierre de caja, las devoluciones y el recuento de existencias.</w:t>
      </w:r>
    </w:p>
    <w:p>
      <w:pPr>
        <w:pStyle w:val="ListBullet"/>
      </w:pPr>
      <w:r>
        <w:t>D+5: consolidado de ventas, costes y márgenes por Dirección Financiera.</w:t>
      </w:r>
    </w:p>
    <w:p>
      <w:pPr>
        <w:pStyle w:val="ListBullet"/>
      </w:pPr>
      <w:r>
        <w:t>D+7: memorándum de cierre enviado a Dirección General.</w:t>
      </w:r>
    </w:p>
    <w:p>
      <w:pPr>
        <w:pStyle w:val="Heading2"/>
      </w:pPr>
      <w:r>
        <w:t>2. Plan de cuentas y centros de coste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Concepto</w:t>
            </w:r>
          </w:p>
        </w:tc>
        <w:tc>
          <w:tcPr>
            <w:tcW w:type="dxa" w:w="3249"/>
          </w:tcPr>
          <w:p>
            <w:r>
              <w:t>Cuenta</w:t>
            </w:r>
          </w:p>
        </w:tc>
        <w:tc>
          <w:tcPr>
            <w:tcW w:type="dxa" w:w="3249"/>
          </w:tcPr>
          <w:p>
            <w:r>
              <w:t>Centro de coste</w:t>
            </w:r>
          </w:p>
        </w:tc>
      </w:tr>
      <w:tr>
        <w:tc>
          <w:tcPr>
            <w:tcW w:type="dxa" w:w="3249"/>
          </w:tcPr>
          <w:p>
            <w:r>
              <w:t>Ventas de calzado</w:t>
            </w:r>
          </w:p>
        </w:tc>
        <w:tc>
          <w:tcPr>
            <w:tcW w:type="dxa" w:w="3249"/>
          </w:tcPr>
          <w:p>
            <w:r>
              <w:t>700.1</w:t>
            </w:r>
          </w:p>
        </w:tc>
        <w:tc>
          <w:tcPr>
            <w:tcW w:type="dxa" w:w="3249"/>
          </w:tcPr>
          <w:p>
            <w:r>
              <w:t>Tienda que vende (T01–T07) o Online (T08)</w:t>
            </w:r>
          </w:p>
        </w:tc>
      </w:tr>
      <w:tr>
        <w:tc>
          <w:tcPr>
            <w:tcW w:type="dxa" w:w="3249"/>
          </w:tcPr>
          <w:p>
            <w:r>
              <w:t>Ventas de bolsos y marroquinería</w:t>
            </w:r>
          </w:p>
        </w:tc>
        <w:tc>
          <w:tcPr>
            <w:tcW w:type="dxa" w:w="3249"/>
          </w:tcPr>
          <w:p>
            <w:r>
              <w:t>700.2</w:t>
            </w:r>
          </w:p>
        </w:tc>
        <w:tc>
          <w:tcPr>
            <w:tcW w:type="dxa" w:w="3249"/>
          </w:tcPr>
          <w:p>
            <w:r>
              <w:t>Tienda que vende o Online</w:t>
            </w:r>
          </w:p>
        </w:tc>
      </w:tr>
      <w:tr>
        <w:tc>
          <w:tcPr>
            <w:tcW w:type="dxa" w:w="3249"/>
          </w:tcPr>
          <w:p>
            <w:r>
              <w:t>Ventas de cinturones y accesorios</w:t>
            </w:r>
          </w:p>
        </w:tc>
        <w:tc>
          <w:tcPr>
            <w:tcW w:type="dxa" w:w="3249"/>
          </w:tcPr>
          <w:p>
            <w:r>
              <w:t>700.3</w:t>
            </w:r>
          </w:p>
        </w:tc>
        <w:tc>
          <w:tcPr>
            <w:tcW w:type="dxa" w:w="3249"/>
          </w:tcPr>
          <w:p>
            <w:r>
              <w:t>Tienda que vende o Online</w:t>
            </w:r>
          </w:p>
        </w:tc>
      </w:tr>
      <w:tr>
        <w:tc>
          <w:tcPr>
            <w:tcW w:type="dxa" w:w="3249"/>
          </w:tcPr>
          <w:p>
            <w:r>
              <w:t>Coste de las ventas</w:t>
            </w:r>
          </w:p>
        </w:tc>
        <w:tc>
          <w:tcPr>
            <w:tcW w:type="dxa" w:w="3249"/>
          </w:tcPr>
          <w:p>
            <w:r>
              <w:t>600</w:t>
            </w:r>
          </w:p>
        </w:tc>
        <w:tc>
          <w:tcPr>
            <w:tcW w:type="dxa" w:w="3249"/>
          </w:tcPr>
          <w:p>
            <w:r>
              <w:t>Mismo centro que la venta</w:t>
            </w:r>
          </w:p>
        </w:tc>
      </w:tr>
      <w:tr>
        <w:tc>
          <w:tcPr>
            <w:tcW w:type="dxa" w:w="3249"/>
          </w:tcPr>
          <w:p>
            <w:r>
              <w:t>Logística y transporte</w:t>
            </w:r>
          </w:p>
        </w:tc>
        <w:tc>
          <w:tcPr>
            <w:tcW w:type="dxa" w:w="3249"/>
          </w:tcPr>
          <w:p>
            <w:r>
              <w:t>624</w:t>
            </w:r>
          </w:p>
        </w:tc>
        <w:tc>
          <w:tcPr>
            <w:tcW w:type="dxa" w:w="3249"/>
          </w:tcPr>
          <w:p>
            <w:r>
              <w:t>CC-LOG (central)</w:t>
            </w:r>
          </w:p>
        </w:tc>
      </w:tr>
      <w:tr>
        <w:tc>
          <w:tcPr>
            <w:tcW w:type="dxa" w:w="3249"/>
          </w:tcPr>
          <w:p>
            <w:r>
              <w:t>Marketing y campañas</w:t>
            </w:r>
          </w:p>
        </w:tc>
        <w:tc>
          <w:tcPr>
            <w:tcW w:type="dxa" w:w="3249"/>
          </w:tcPr>
          <w:p>
            <w:r>
              <w:t>627</w:t>
            </w:r>
          </w:p>
        </w:tc>
        <w:tc>
          <w:tcPr>
            <w:tcW w:type="dxa" w:w="3249"/>
          </w:tcPr>
          <w:p>
            <w:r>
              <w:t>CC-MKT (central)</w:t>
            </w:r>
          </w:p>
        </w:tc>
      </w:tr>
      <w:tr>
        <w:tc>
          <w:tcPr>
            <w:tcW w:type="dxa" w:w="3249"/>
          </w:tcPr>
          <w:p>
            <w:r>
              <w:t>Alquileres de tienda</w:t>
            </w:r>
          </w:p>
        </w:tc>
        <w:tc>
          <w:tcPr>
            <w:tcW w:type="dxa" w:w="3249"/>
          </w:tcPr>
          <w:p>
            <w:r>
              <w:t>621</w:t>
            </w:r>
          </w:p>
        </w:tc>
        <w:tc>
          <w:tcPr>
            <w:tcW w:type="dxa" w:w="3249"/>
          </w:tcPr>
          <w:p>
            <w:r>
              <w:t>Tienda correspondiente</w:t>
            </w:r>
          </w:p>
        </w:tc>
      </w:tr>
      <w:tr>
        <w:tc>
          <w:tcPr>
            <w:tcW w:type="dxa" w:w="3249"/>
          </w:tcPr>
          <w:p>
            <w:r>
              <w:t>Devoluciones</w:t>
            </w:r>
          </w:p>
        </w:tc>
        <w:tc>
          <w:tcPr>
            <w:tcW w:type="dxa" w:w="3249"/>
          </w:tcPr>
          <w:p>
            <w:r>
              <w:t>708</w:t>
            </w:r>
          </w:p>
        </w:tc>
        <w:tc>
          <w:tcPr>
            <w:tcW w:type="dxa" w:w="3249"/>
          </w:tcPr>
          <w:p>
            <w:r>
              <w:t>Tienda o canal de origen de la venta</w:t>
            </w:r>
          </w:p>
        </w:tc>
      </w:tr>
    </w:tbl>
    <w:p>
      <w:r>
        <w:rPr>
          <w:b/>
        </w:rPr>
        <w:t xml:space="preserve">Códigos de centro de coste: </w:t>
      </w:r>
      <w:r>
        <w:t>T01 Palma · T02 Barcelona · T03 Madrid · T04 Valencia · T05 Bilbao · T06 Sevilla · T07 Lisboa · T08 Online · CC-LOG logística · CC-MKT marketing.</w:t>
      </w:r>
    </w:p>
    <w:p>
      <w:pPr>
        <w:pStyle w:val="Heading2"/>
      </w:pPr>
      <w:r>
        <w:t>3. Criterios de imputación</w:t>
      </w:r>
    </w:p>
    <w:p>
      <w:r>
        <w:t>3.1  Toda venta se imputa al centro de coste de la tienda que la realiza; las ventas web, al canal Online (T08).</w:t>
      </w:r>
    </w:p>
    <w:p>
      <w:r>
        <w:t>3.2  Los gastos se imputan por devengo: una factura recibida en un mes por un servicio de un mes anterior se imputa al mes del servicio.</w:t>
      </w:r>
    </w:p>
    <w:p>
      <w:r>
        <w:t>3.3  Las devoluciones minoran la venta del canal de origen en el mes en que se aceptan.</w:t>
      </w:r>
    </w:p>
    <w:p>
      <w:r>
        <w:t>3.4  Los gastos centrales (logística, marketing) no se reparten entre tiendas en el cierre mensual; se reparten en el informe trimestral.</w:t>
      </w:r>
    </w:p>
    <w:p>
      <w:r>
        <w:t>3.5  Cualquier ajuste de inventario superior al 1 % de las existencias de una tienda requiere nota explicativa.</w:t>
      </w:r>
    </w:p>
    <w:p>
      <w:pPr>
        <w:pStyle w:val="Heading2"/>
      </w:pPr>
      <w:r>
        <w:t>4. Definiciones de KPI</w:t>
      </w:r>
    </w:p>
    <w:p>
      <w:r>
        <w:rPr>
          <w:b/>
        </w:rPr>
        <w:t xml:space="preserve">Ventas: </w:t>
      </w:r>
      <w:r>
        <w:t>Unidades vendidas por PVP medio, netas de devoluciones aceptadas.</w:t>
      </w:r>
    </w:p>
    <w:p>
      <w:r>
        <w:rPr>
          <w:b/>
        </w:rPr>
        <w:t xml:space="preserve">Margen bruto: </w:t>
      </w:r>
      <w:r>
        <w:t>Ventas menos coste de las ventas. Margen bruto % = Margen bruto / Ventas.</w:t>
      </w:r>
    </w:p>
    <w:p>
      <w:r>
        <w:rPr>
          <w:b/>
        </w:rPr>
        <w:t xml:space="preserve">Variación interanual: </w:t>
      </w:r>
      <w:r>
        <w:t>(Valor del periodo − valor del mismo periodo del año anterior) / valor del año anterior.</w:t>
      </w:r>
    </w:p>
    <w:p>
      <w:r>
        <w:rPr>
          <w:b/>
        </w:rPr>
        <w:t xml:space="preserve">Ticket medio: </w:t>
      </w:r>
      <w:r>
        <w:t>Ventas / número de operaciones. No disponible en la hoja de práctica.</w:t>
      </w:r>
    </w:p>
    <w:p>
      <w:r>
        <w:rPr>
          <w:b/>
        </w:rPr>
        <w:t xml:space="preserve">Peso del canal Online: </w:t>
      </w:r>
      <w:r>
        <w:t>Ventas Online / Ventas totales.</w:t>
      </w:r>
    </w:p>
    <w:p>
      <w:pPr>
        <w:pStyle w:val="Heading2"/>
      </w:pPr>
      <w:r>
        <w:t>5. Formato del memorándum de cierre</w:t>
      </w:r>
    </w:p>
    <w:p>
      <w:r>
        <w:t>Una página. Apartados fijos: 1. Resumen ejecutivo (ventas, variación interanual, margen bruto %); 2. Ventas por tienda (tabla con el mismo mes del año anterior y variación); 3. Márgenes; 4. Incidencias del cierre; 5. Próximos pasos. Cifras en euros sin decimales; porcentajes con un decimal.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