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de cierre · septiembre de 2026</w:t>
      </w:r>
    </w:p>
    <w:p>
      <w:r>
        <w:rPr>
          <w:b w:val="0"/>
        </w:rPr>
        <w:t>Para: Dirección General · De: Dirección Financiera · Fecha: 7 de octubre de 2026 (D+7). Documento de práctica (datos sintéticos).</w:t>
      </w:r>
    </w:p>
    <w:p>
      <w:pPr>
        <w:pStyle w:val="Heading1"/>
      </w:pPr>
      <w:r>
        <w:t>1. Resumen</w:t>
      </w:r>
    </w:p>
    <w:p>
      <w:r>
        <w:rPr>
          <w:b w:val="0"/>
        </w:rPr>
        <w:t>Las ventas de septiembre suman 1.036.744 €, un 6,5 % más que en septiembre de 2025. El margen bruto se sitúa en el 59,9 % (60,2 % hace un año). Las tres tiendas que más crecen son Online, Lisboa y Sevilla.</w:t>
      </w:r>
    </w:p>
    <w:p>
      <w:pPr>
        <w:pStyle w:val="Heading1"/>
      </w:pPr>
      <w:r>
        <w:t>2. Ventas por tienda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Tienda</w:t>
            </w:r>
          </w:p>
        </w:tc>
        <w:tc>
          <w:tcPr>
            <w:tcW w:type="dxa" w:w="2160"/>
          </w:tcPr>
          <w:p>
            <w:r>
              <w:t>Ventas (€)</w:t>
            </w:r>
          </w:p>
        </w:tc>
        <w:tc>
          <w:tcPr>
            <w:tcW w:type="dxa" w:w="2160"/>
          </w:tcPr>
          <w:p>
            <w:r>
              <w:t>Var. interanual</w:t>
            </w:r>
          </w:p>
        </w:tc>
        <w:tc>
          <w:tcPr>
            <w:tcW w:type="dxa" w:w="2160"/>
          </w:tcPr>
          <w:p>
            <w:r>
              <w:t>Margen %</w:t>
            </w:r>
          </w:p>
        </w:tc>
      </w:tr>
      <w:tr>
        <w:tc>
          <w:tcPr>
            <w:tcW w:type="dxa" w:w="2160"/>
          </w:tcPr>
          <w:p>
            <w:r>
              <w:t>Madrid</w:t>
            </w:r>
          </w:p>
        </w:tc>
        <w:tc>
          <w:tcPr>
            <w:tcW w:type="dxa" w:w="2160"/>
          </w:tcPr>
          <w:p>
            <w:r>
              <w:t>165.532</w:t>
            </w:r>
          </w:p>
        </w:tc>
        <w:tc>
          <w:tcPr>
            <w:tcW w:type="dxa" w:w="2160"/>
          </w:tcPr>
          <w:p>
            <w:r>
              <w:t>+3,8 %</w:t>
            </w:r>
          </w:p>
        </w:tc>
        <w:tc>
          <w:tcPr>
            <w:tcW w:type="dxa" w:w="2160"/>
          </w:tcPr>
          <w:p>
            <w:r>
              <w:t>59,8 %</w:t>
            </w:r>
          </w:p>
        </w:tc>
      </w:tr>
      <w:tr>
        <w:tc>
          <w:tcPr>
            <w:tcW w:type="dxa" w:w="2160"/>
          </w:tcPr>
          <w:p>
            <w:r>
              <w:t>Online</w:t>
            </w:r>
          </w:p>
        </w:tc>
        <w:tc>
          <w:tcPr>
            <w:tcW w:type="dxa" w:w="2160"/>
          </w:tcPr>
          <w:p>
            <w:r>
              <w:t>163.455</w:t>
            </w:r>
          </w:p>
        </w:tc>
        <w:tc>
          <w:tcPr>
            <w:tcW w:type="dxa" w:w="2160"/>
          </w:tcPr>
          <w:p>
            <w:r>
              <w:t>+20,9 %</w:t>
            </w:r>
          </w:p>
        </w:tc>
        <w:tc>
          <w:tcPr>
            <w:tcW w:type="dxa" w:w="2160"/>
          </w:tcPr>
          <w:p>
            <w:r>
              <w:t>60,1 %</w:t>
            </w:r>
          </w:p>
        </w:tc>
      </w:tr>
      <w:tr>
        <w:tc>
          <w:tcPr>
            <w:tcW w:type="dxa" w:w="2160"/>
          </w:tcPr>
          <w:p>
            <w:r>
              <w:t>Palma</w:t>
            </w:r>
          </w:p>
        </w:tc>
        <w:tc>
          <w:tcPr>
            <w:tcW w:type="dxa" w:w="2160"/>
          </w:tcPr>
          <w:p>
            <w:r>
              <w:t>162.072</w:t>
            </w:r>
          </w:p>
        </w:tc>
        <w:tc>
          <w:tcPr>
            <w:tcW w:type="dxa" w:w="2160"/>
          </w:tcPr>
          <w:p>
            <w:r>
              <w:t>+4,7 %</w:t>
            </w:r>
          </w:p>
        </w:tc>
        <w:tc>
          <w:tcPr>
            <w:tcW w:type="dxa" w:w="2160"/>
          </w:tcPr>
          <w:p>
            <w:r>
              <w:t>59,9 %</w:t>
            </w:r>
          </w:p>
        </w:tc>
      </w:tr>
      <w:tr>
        <w:tc>
          <w:tcPr>
            <w:tcW w:type="dxa" w:w="2160"/>
          </w:tcPr>
          <w:p>
            <w:r>
              <w:t>Barcelona</w:t>
            </w:r>
          </w:p>
        </w:tc>
        <w:tc>
          <w:tcPr>
            <w:tcW w:type="dxa" w:w="2160"/>
          </w:tcPr>
          <w:p>
            <w:r>
              <w:t>145.309</w:t>
            </w:r>
          </w:p>
        </w:tc>
        <w:tc>
          <w:tcPr>
            <w:tcW w:type="dxa" w:w="2160"/>
          </w:tcPr>
          <w:p>
            <w:r>
              <w:t>+2,7 %</w:t>
            </w:r>
          </w:p>
        </w:tc>
        <w:tc>
          <w:tcPr>
            <w:tcW w:type="dxa" w:w="2160"/>
          </w:tcPr>
          <w:p>
            <w:r>
              <w:t>60,2 %</w:t>
            </w:r>
          </w:p>
        </w:tc>
      </w:tr>
      <w:tr>
        <w:tc>
          <w:tcPr>
            <w:tcW w:type="dxa" w:w="2160"/>
          </w:tcPr>
          <w:p>
            <w:r>
              <w:t>Sevilla</w:t>
            </w:r>
          </w:p>
        </w:tc>
        <w:tc>
          <w:tcPr>
            <w:tcW w:type="dxa" w:w="2160"/>
          </w:tcPr>
          <w:p>
            <w:r>
              <w:t>105.911</w:t>
            </w:r>
          </w:p>
        </w:tc>
        <w:tc>
          <w:tcPr>
            <w:tcW w:type="dxa" w:w="2160"/>
          </w:tcPr>
          <w:p>
            <w:r>
              <w:t>+8,0 %</w:t>
            </w:r>
          </w:p>
        </w:tc>
        <w:tc>
          <w:tcPr>
            <w:tcW w:type="dxa" w:w="2160"/>
          </w:tcPr>
          <w:p>
            <w:r>
              <w:t>60,0 %</w:t>
            </w:r>
          </w:p>
        </w:tc>
      </w:tr>
      <w:tr>
        <w:tc>
          <w:tcPr>
            <w:tcW w:type="dxa" w:w="2160"/>
          </w:tcPr>
          <w:p>
            <w:r>
              <w:t>Valencia</w:t>
            </w:r>
          </w:p>
        </w:tc>
        <w:tc>
          <w:tcPr>
            <w:tcW w:type="dxa" w:w="2160"/>
          </w:tcPr>
          <w:p>
            <w:r>
              <w:t>103.582</w:t>
            </w:r>
          </w:p>
        </w:tc>
        <w:tc>
          <w:tcPr>
            <w:tcW w:type="dxa" w:w="2160"/>
          </w:tcPr>
          <w:p>
            <w:r>
              <w:t>-0,7 %</w:t>
            </w:r>
          </w:p>
        </w:tc>
        <w:tc>
          <w:tcPr>
            <w:tcW w:type="dxa" w:w="2160"/>
          </w:tcPr>
          <w:p>
            <w:r>
              <w:t>59,8 %</w:t>
            </w:r>
          </w:p>
        </w:tc>
      </w:tr>
      <w:tr>
        <w:tc>
          <w:tcPr>
            <w:tcW w:type="dxa" w:w="2160"/>
          </w:tcPr>
          <w:p>
            <w:r>
              <w:t>Lisboa</w:t>
            </w:r>
          </w:p>
        </w:tc>
        <w:tc>
          <w:tcPr>
            <w:tcW w:type="dxa" w:w="2160"/>
          </w:tcPr>
          <w:p>
            <w:r>
              <w:t>99.074</w:t>
            </w:r>
          </w:p>
        </w:tc>
        <w:tc>
          <w:tcPr>
            <w:tcW w:type="dxa" w:w="2160"/>
          </w:tcPr>
          <w:p>
            <w:r>
              <w:t>+12,2 %</w:t>
            </w:r>
          </w:p>
        </w:tc>
        <w:tc>
          <w:tcPr>
            <w:tcW w:type="dxa" w:w="2160"/>
          </w:tcPr>
          <w:p>
            <w:r>
              <w:t>59,8 %</w:t>
            </w:r>
          </w:p>
        </w:tc>
      </w:tr>
      <w:tr>
        <w:tc>
          <w:tcPr>
            <w:tcW w:type="dxa" w:w="2160"/>
          </w:tcPr>
          <w:p>
            <w:r>
              <w:t>Bilbao</w:t>
            </w:r>
          </w:p>
        </w:tc>
        <w:tc>
          <w:tcPr>
            <w:tcW w:type="dxa" w:w="2160"/>
          </w:tcPr>
          <w:p>
            <w:r>
              <w:t>91.810</w:t>
            </w:r>
          </w:p>
        </w:tc>
        <w:tc>
          <w:tcPr>
            <w:tcW w:type="dxa" w:w="2160"/>
          </w:tcPr>
          <w:p>
            <w:r>
              <w:t>-0,1 %</w:t>
            </w:r>
          </w:p>
        </w:tc>
        <w:tc>
          <w:tcPr>
            <w:tcW w:type="dxa" w:w="2160"/>
          </w:tcPr>
          <w:p>
            <w:r>
              <w:t>59,6 %</w:t>
            </w:r>
          </w:p>
        </w:tc>
      </w:tr>
    </w:tbl>
    <w:p>
      <w:pPr>
        <w:pStyle w:val="Heading1"/>
      </w:pPr>
      <w:r>
        <w:t>3. Margen</w:t>
      </w:r>
    </w:p>
    <w:p>
      <w:r>
        <w:rPr>
          <w:b w:val="0"/>
        </w:rPr>
        <w:t>El margen bruto pasa del 60,2 % al 59,9 %. La bajada se explica por las promociones de fin de temporada en calzado de verano durante la primera quincena.</w:t>
      </w:r>
    </w:p>
    <w:p>
      <w:pPr>
        <w:pStyle w:val="Heading1"/>
      </w:pPr>
      <w:r>
        <w:t>4. Tesorería y conciliación</w:t>
      </w:r>
    </w:p>
    <w:p>
      <w:r>
        <w:rPr>
          <w:b w:val="0"/>
        </w:rPr>
        <w:t>Saldo de bancos conciliado a 30 de septiembre: 184.327 €. Sin partidas en tránsito. Asiento de ajuste por comisiones bancarias: 41 €.</w:t>
      </w:r>
    </w:p>
    <w:p>
      <w:pPr>
        <w:pStyle w:val="Heading1"/>
      </w:pPr>
      <w:r>
        <w:t>5. Incidencias y ajustes</w:t>
      </w:r>
    </w:p>
    <w:p>
      <w:r>
        <w:rPr>
          <w:b w:val="0"/>
        </w:rPr>
        <w:t>Una factura de mantenimiento de agosto recibida en septiembre se reimputa a agosto (criterio 3.2). Sin ajustes de inventario superiores al 1 %.</w:t>
      </w:r>
    </w:p>
    <w:p>
      <w:r>
        <w:rPr>
          <w:b w:val="0"/>
        </w:rPr>
        <w:t>Dirección Financiera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