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具身智能实验室构建项目书</w:t>
      </w:r>
    </w:p>
    <w:p>
      <w:pPr>
        <w:pStyle w:val="Heading1"/>
      </w:pPr>
      <w:r>
        <w:t>一、 项目概述</w:t>
      </w:r>
    </w:p>
    <w:p>
      <w:pPr>
        <w:pStyle w:val="Heading2"/>
      </w:pPr>
      <w:r>
        <w:t>1.1 建设背景与理念</w:t>
      </w:r>
    </w:p>
    <w:p>
      <w:r>
        <w:t>本项目的核心目标是为具身智能研究建立一套可持续运转的“实验室运行框架（Lab Operating Framework）”。有别于传统的单一演示场景开发，本项目致力于打造标准化的物理空间、统一的软硬件接口、严密的安全规范以及清晰的组织协作机制。通过“框架优先、共用复用”的建设理念，为后续各类具身智能前沿课题（如跨形态协同、遥操作蒸馏等）提供坚实、可扩展的系统底座。</w:t>
      </w:r>
    </w:p>
    <w:p>
      <w:pPr>
        <w:pStyle w:val="Heading2"/>
      </w:pPr>
      <w:r>
        <w:t>1.2 建设目标与边界</w:t>
      </w:r>
    </w:p>
    <w:p>
      <w:r>
        <w:t>本项目旨在实现实验室的“可运营、可纳管、可复用、可审计与可扩展”。在框架建设期内，项目边界严格限定于基础设施落地、已有5台异构机器人（双足、四足、机械臂等）的平台纳管、共用中间件部署及管理制度的建立，暂不涉及具体的业务场景联调与算法模型训练。</w:t>
      </w:r>
    </w:p>
    <w:p>
      <w:pPr>
        <w:pStyle w:val="Heading2"/>
      </w:pPr>
      <w:r>
        <w:t>1.3 核心运行约束</w:t>
      </w:r>
    </w:p>
    <w:p>
      <w:r>
        <w:t>为确保工程落地与资源可控，项目设定以下核心运行基线：</w:t>
      </w:r>
    </w:p>
    <w:p>
      <w:pPr>
        <w:pStyle w:val="ListBullet"/>
      </w:pPr>
      <w:r>
        <w:rPr>
          <w:b/>
        </w:rPr>
        <w:t>并发与规模约束：</w:t>
      </w:r>
      <w:r>
        <w:t xml:space="preserve"> 框架期最大支持2台机器人同时进行动态实验，且所有动态实验必须在指定的单一物理安全分区内进行。</w:t>
      </w:r>
    </w:p>
    <w:p>
      <w:pPr>
        <w:pStyle w:val="ListBullet"/>
      </w:pPr>
      <w:r>
        <w:rPr>
          <w:b/>
        </w:rPr>
        <w:t>资源与投资约束：</w:t>
      </w:r>
      <w:r>
        <w:t xml:space="preserve"> 实验室构建开发总投资额度严格控制在20万元人民币以内，统筹用于网络、服务器及安全设施建设。</w:t>
      </w:r>
    </w:p>
    <w:p>
      <w:pPr>
        <w:pStyle w:val="ListBullet"/>
      </w:pPr>
      <w:r>
        <w:rPr>
          <w:b/>
        </w:rPr>
        <w:t>数据与安全底线：</w:t>
      </w:r>
      <w:r>
        <w:t xml:space="preserve"> 动态实验必须全量录制数据并绑定唯一实验批次号（Run ID）；现场必须保证至少2人在场，且具备直接切断动力电源的物理急停能力。</w:t>
      </w:r>
    </w:p>
    <w:p>
      <w:pPr>
        <w:pStyle w:val="Heading1"/>
      </w:pPr>
      <w:r>
        <w:t>二、 系统总体架构设计</w:t>
      </w:r>
    </w:p>
    <w:p>
      <w:r>
        <w:t>系统架构采用自下而上的六层模型设计，确保软硬解耦与模块化协作。</w:t>
      </w:r>
    </w:p>
    <w:p>
      <w:pPr>
        <w:pStyle w:val="Heading2"/>
      </w:pPr>
      <w:r>
        <w:t>2.1 六层架构模型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核心内容与职责</w:t>
            </w:r>
          </w:p>
        </w:tc>
      </w:tr>
      <w:tr>
        <w:tc>
          <w:tcPr>
            <w:tcW w:type="dxa" w:w="4320"/>
          </w:tcPr>
          <w:p>
            <w:r>
              <w:t>L6 组织与流程</w:t>
            </w:r>
          </w:p>
        </w:tc>
        <w:tc>
          <w:tcPr>
            <w:tcW w:type="dxa" w:w="4320"/>
          </w:tcPr>
          <w:p>
            <w:r>
              <w:t>职责矩阵 (RACI)、安全操作规程 (SOP)、实验与变更流程</w:t>
            </w:r>
          </w:p>
        </w:tc>
      </w:tr>
      <w:tr>
        <w:tc>
          <w:tcPr>
            <w:tcW w:type="dxa" w:w="4320"/>
          </w:tcPr>
          <w:p>
            <w:r>
              <w:t>L5 系统流水线</w:t>
            </w:r>
          </w:p>
        </w:tc>
        <w:tc>
          <w:tcPr>
            <w:tcW w:type="dxa" w:w="4320"/>
          </w:tcPr>
          <w:p>
            <w:r>
              <w:t>感知 (Perception) → 规划 (Plan) → 技能 (Skill) → 安全 (Safety)</w:t>
            </w:r>
          </w:p>
        </w:tc>
      </w:tr>
      <w:tr>
        <w:tc>
          <w:tcPr>
            <w:tcW w:type="dxa" w:w="4320"/>
          </w:tcPr>
          <w:p>
            <w:r>
              <w:t>L4 数据与实验</w:t>
            </w:r>
          </w:p>
        </w:tc>
        <w:tc>
          <w:tcPr>
            <w:tcW w:type="dxa" w:w="4320"/>
          </w:tcPr>
          <w:p>
            <w:r>
              <w:t>实验批次号 (Run ID)、数据录制、索引与元数据管理</w:t>
            </w:r>
          </w:p>
        </w:tc>
      </w:tr>
      <w:tr>
        <w:tc>
          <w:tcPr>
            <w:tcW w:type="dxa" w:w="4320"/>
          </w:tcPr>
          <w:p>
            <w:r>
              <w:t>L3 软件中间件</w:t>
            </w:r>
          </w:p>
        </w:tc>
        <w:tc>
          <w:tcPr>
            <w:tcW w:type="dxa" w:w="4320"/>
          </w:tcPr>
          <w:p>
            <w:r>
              <w:t>ROS2 Humble、DDS 通信、统一消息接口</w:t>
            </w:r>
          </w:p>
        </w:tc>
      </w:tr>
      <w:tr>
        <w:tc>
          <w:tcPr>
            <w:tcW w:type="dxa" w:w="4320"/>
          </w:tcPr>
          <w:p>
            <w:r>
              <w:t>L2 硬件与运维</w:t>
            </w:r>
          </w:p>
        </w:tc>
        <w:tc>
          <w:tcPr>
            <w:tcW w:type="dxa" w:w="4320"/>
          </w:tcPr>
          <w:p>
            <w:r>
              <w:t>资产台账、设备点检、驱动桥 (Driver Bridge)</w:t>
            </w:r>
          </w:p>
        </w:tc>
      </w:tr>
      <w:tr>
        <w:tc>
          <w:tcPr>
            <w:tcW w:type="dxa" w:w="4320"/>
          </w:tcPr>
          <w:p>
            <w:r>
              <w:t>L1 空间与设施</w:t>
            </w:r>
          </w:p>
        </w:tc>
        <w:tc>
          <w:tcPr>
            <w:tcW w:type="dxa" w:w="4320"/>
          </w:tcPr>
          <w:p>
            <w:r>
              <w:t>场地分区、网络拓扑、算力服务器、物理安全设施</w:t>
            </w:r>
          </w:p>
        </w:tc>
      </w:tr>
    </w:tbl>
    <w:p>
      <w:pPr>
        <w:pStyle w:val="Heading2"/>
      </w:pPr>
      <w:r>
        <w:t>2.2 统一流水线与软硬解耦</w:t>
      </w:r>
    </w:p>
    <w:p>
      <w:r>
        <w:t>为解决异构硬件适配问题，所有底层硬件SDK均被封装于“驱动桥”之下，对上层暴露统一的通用技能指令。系统流水线严格切分感知、规划、技能与安全模块的输入输出语义。特别地，安全（Safety）模块作为独立节点置于流水线最末端，具备“一票否决权”，一旦触发红线可直接覆盖上层指令执行软停。</w:t>
      </w:r>
    </w:p>
    <w:p>
      <w:pPr>
        <w:pStyle w:val="Heading1"/>
      </w:pPr>
      <w:r>
        <w:t>三、 基础设施与物理空间规划</w:t>
      </w:r>
    </w:p>
    <w:p>
      <w:pPr>
        <w:pStyle w:val="Heading2"/>
      </w:pPr>
      <w:r>
        <w:t>3.1 场地平面布局与安全分区</w:t>
      </w:r>
    </w:p>
    <w:p>
      <w:r>
        <w:t>实验室物理空间划分为四大核心功能区，实现人机物理隔离：</w:t>
      </w:r>
    </w:p>
    <w:p>
      <w:pPr>
        <w:pStyle w:val="ListBullet"/>
      </w:pPr>
      <w:r>
        <w:rPr>
          <w:b/>
        </w:rPr>
        <w:t>动态实验区 (Z-DYN)：</w:t>
      </w:r>
      <w:r>
        <w:t xml:space="preserve"> 采用2米高工业铝型材安全围栏封闭，铺设防静电地胶，专供机器人全速动态测试。实验期间严禁人员入内。</w:t>
      </w:r>
    </w:p>
    <w:p>
      <w:pPr>
        <w:pStyle w:val="ListBullet"/>
      </w:pPr>
      <w:r>
        <w:rPr>
          <w:b/>
        </w:rPr>
        <w:t>操作与监控区 (Z-OP)：</w:t>
      </w:r>
      <w:r>
        <w:t xml:space="preserve"> 位于围栏外部，部署主控工作站，配备主物理急停控制箱，为绝对安全区。</w:t>
      </w:r>
    </w:p>
    <w:p>
      <w:pPr>
        <w:pStyle w:val="ListBullet"/>
      </w:pPr>
      <w:r>
        <w:rPr>
          <w:b/>
        </w:rPr>
        <w:t>维护与充电区 (Z-MAINT)：</w:t>
      </w:r>
      <w:r>
        <w:t xml:space="preserve"> 用于机器人日常维修、标定及电池充电，配备专用消防器材。</w:t>
      </w:r>
    </w:p>
    <w:p>
      <w:pPr>
        <w:pStyle w:val="ListBullet"/>
      </w:pPr>
      <w:r>
        <w:rPr>
          <w:b/>
        </w:rPr>
        <w:t>设备存放区 (Z-STORE)：</w:t>
      </w:r>
      <w:r>
        <w:t xml:space="preserve"> 用于存放处于断电闲置状态的机器人。</w:t>
      </w:r>
    </w:p>
    <w:p>
      <w:pPr>
        <w:pStyle w:val="Heading2"/>
      </w:pPr>
      <w:r>
        <w:t>3.2 算力与网络拓扑规划</w:t>
      </w:r>
    </w:p>
    <w:p>
      <w:r>
        <w:t>为满足端到端控制延迟小于10ms的非功能性需求，实验室构建独立的万兆核心局域网与专用Wi-Fi 6无线网络，与日常办公网络物理隔离。算力分配方面，主节点工作站负责轻量级规划与高实时性控制，重负载工作站负责视觉大模型推理、离线仿真与数据录制。</w:t>
      </w:r>
    </w:p>
    <w:p>
      <w:pPr>
        <w:pStyle w:val="Heading2"/>
      </w:pPr>
      <w:r>
        <w:t>3.3 软硬安全接口与电气逻辑</w:t>
      </w:r>
    </w:p>
    <w:p>
      <w:r>
        <w:t>物理急停系统采用“硬件断电+软件上报”双重保障机制。操作台与安全门入口处的急停按钮串联接入24V控制回路，拍下任意按钮将导致交流接触器释放，瞬间切断机器人动力电源。同时，继电器辅助触点将状态信号上报至主控站，触发全网软件级急停广播。</w:t>
      </w:r>
    </w:p>
    <w:p>
      <w:pPr>
        <w:pStyle w:val="Heading1"/>
      </w:pPr>
      <w:r>
        <w:t>四、 软件平台与数据规范</w:t>
      </w:r>
    </w:p>
    <w:p>
      <w:pPr>
        <w:pStyle w:val="Heading2"/>
      </w:pPr>
      <w:r>
        <w:t>4.1 统一消息接口与版本基线</w:t>
      </w:r>
    </w:p>
    <w:p>
      <w:r>
        <w:t>系统底层基于 ROS2 Humble 构建，采用 Cyclone DDS 保障通信质量。所有计算节点操作系统统一锁定为 Ubuntu 22.04 LTS。消息接口方面，严格定义了感知、规划、技能与安全四大类 Topic 的命名空间、消息类型及服务质量 (QoS) 策略，确保跨设备通信的标准化。</w:t>
      </w:r>
    </w:p>
    <w:p>
      <w:pPr>
        <w:pStyle w:val="Heading2"/>
      </w:pPr>
      <w:r>
        <w:t>4.2 数据落盘与存储策略</w:t>
      </w:r>
    </w:p>
    <w:p>
      <w:r>
        <w:t>实验数据采用冷热分层存储架构。基于2台设备并发、日均产生约1.5TB数据的基线评估，近期热数据（0-7天）存储于重负载工作站的NVMe固态硬盘中；历史冷数据则通过自动化脚本定期迁移至大容量NAS存储阵列。每次实验强制生成包含时间、操作人、设备及代码版本哈希值的唯一 Run ID，确保实验数据的100%血缘追溯。</w:t>
      </w:r>
    </w:p>
    <w:p>
      <w:pPr>
        <w:pStyle w:val="Heading1"/>
      </w:pPr>
      <w:r>
        <w:t>五、 实验室运营与管理体系</w:t>
      </w:r>
    </w:p>
    <w:p>
      <w:pPr>
        <w:pStyle w:val="Heading2"/>
      </w:pPr>
      <w:r>
        <w:t>5.1 组织架构与职责划分</w:t>
      </w:r>
    </w:p>
    <w:p>
      <w:r>
        <w:t>项目组由三人核心团队构成，职责边界清晰：</w:t>
      </w:r>
    </w:p>
    <w:p>
      <w:pPr>
        <w:pStyle w:val="ListBullet"/>
      </w:pPr>
      <w:r>
        <w:rPr>
          <w:b/>
        </w:rPr>
        <w:t>系统/规划负责人 (P1)：</w:t>
      </w:r>
      <w:r>
        <w:t xml:space="preserve"> 统筹总体方案、系统架构、数据流契约及总预算审批。</w:t>
      </w:r>
    </w:p>
    <w:p>
      <w:pPr>
        <w:pStyle w:val="ListBullet"/>
      </w:pPr>
      <w:r>
        <w:rPr>
          <w:b/>
        </w:rPr>
        <w:t>平台/基础设施工程师 (P2)：</w:t>
      </w:r>
      <w:r>
        <w:t xml:space="preserve"> 负责网络算力落地、ROS2接口实现、代码仓库及CI/CD流水线建设。</w:t>
      </w:r>
    </w:p>
    <w:p>
      <w:pPr>
        <w:pStyle w:val="ListBullet"/>
      </w:pPr>
      <w:r>
        <w:rPr>
          <w:b/>
        </w:rPr>
        <w:t>现场/资产/安全工程师 (P3)：</w:t>
      </w:r>
      <w:r>
        <w:t xml:space="preserve"> 负责场地分区、物理安全设施、资产台账及安全操作规程的落地执行。</w:t>
      </w:r>
    </w:p>
    <w:p>
      <w:pPr>
        <w:pStyle w:val="Heading2"/>
      </w:pPr>
      <w:r>
        <w:t>5.2 实验标准操作规程 (SOP)</w:t>
      </w:r>
    </w:p>
    <w:p>
      <w:r>
        <w:t>制定了严格的实验五阶段流程（申请、准备、执行、复盘、归档）。明确了“二人规则”红线，即中高风险实验必须两人在场，一人操作，一人值守物理急停。规定了机器人失控及电池起火等紧急情况的标准处置预案。</w:t>
      </w:r>
    </w:p>
    <w:p>
      <w:pPr>
        <w:pStyle w:val="Heading2"/>
      </w:pPr>
      <w:r>
        <w:t>5.3 变更控制与设备维护</w:t>
      </w:r>
    </w:p>
    <w:p>
      <w:r>
        <w:t>设立每周五的固定变更评审与复盘会议。任何涉及架构、接口、安全策略及预算的变更均需提交变更请求（CR）并经相应负责人审批。同时，建立了每日5分钟例行点检与周度深度维护制度，赋予点检人员发现隐患时直接冻结设备的权限。</w:t>
      </w:r>
    </w:p>
    <w:p>
      <w:pPr>
        <w:pStyle w:val="Heading1"/>
      </w:pPr>
      <w:r>
        <w:t>六、 项目实施计划与预算</w:t>
      </w:r>
    </w:p>
    <w:p>
      <w:pPr>
        <w:pStyle w:val="Heading2"/>
      </w:pPr>
      <w:r>
        <w:t>6.1 建设分期与里程碑</w:t>
      </w:r>
    </w:p>
    <w:p>
      <w:r>
        <w:t>项目整体规划为16周，分为四个核心阶段：</w:t>
      </w:r>
    </w:p>
    <w:p>
      <w:pPr>
        <w:pStyle w:val="ListBullet"/>
      </w:pPr>
      <w:r>
        <w:rPr>
          <w:b/>
        </w:rPr>
        <w:t>阶段A：框架定义 (W1-W4)。</w:t>
      </w:r>
      <w:r>
        <w:t xml:space="preserve"> 完成总体方案、架构蓝图、详细设计与采购下单。</w:t>
      </w:r>
    </w:p>
    <w:p>
      <w:pPr>
        <w:pStyle w:val="ListBullet"/>
      </w:pPr>
      <w:r>
        <w:rPr>
          <w:b/>
        </w:rPr>
        <w:t>阶段B：基础设施落地 (W5-W10)。</w:t>
      </w:r>
      <w:r>
        <w:t xml:space="preserve"> 完成网络布线、围栏安装、服务器上架及基础设施联合验收。</w:t>
      </w:r>
    </w:p>
    <w:p>
      <w:pPr>
        <w:pStyle w:val="ListBullet"/>
      </w:pPr>
      <w:r>
        <w:rPr>
          <w:b/>
        </w:rPr>
        <w:t>阶段C：平台上线 (W11-W14)。</w:t>
      </w:r>
      <w:r>
        <w:t xml:space="preserve"> 完成中间件部署、数据流打通、CI流水线建设及软硬安全联合演练。</w:t>
      </w:r>
    </w:p>
    <w:p>
      <w:pPr>
        <w:pStyle w:val="ListBullet"/>
      </w:pPr>
      <w:r>
        <w:rPr>
          <w:b/>
        </w:rPr>
        <w:t>阶段D：框架验收 (W15-W16)。</w:t>
      </w:r>
      <w:r>
        <w:t xml:space="preserve"> 执行标准实验流程交叉验证，达成框架总验收，正式对外提供项目接入能力。</w:t>
      </w:r>
    </w:p>
    <w:p>
      <w:pPr>
        <w:pStyle w:val="Heading2"/>
      </w:pPr>
      <w:r>
        <w:t>6.2 投资预算明细</w:t>
      </w:r>
    </w:p>
    <w:p>
      <w:r>
        <w:t>首期建设预算申请额度约为 4.85 万元人民币，远低于 20 万元的总投资上限。资金主要用于：</w:t>
      </w:r>
    </w:p>
    <w:p>
      <w:pPr>
        <w:pStyle w:val="ListBullet"/>
      </w:pPr>
      <w:r>
        <w:rPr>
          <w:b/>
        </w:rPr>
        <w:t>网络与存储：</w:t>
      </w:r>
      <w:r>
        <w:t xml:space="preserve"> 万兆核心交换机、企业级Wi-Fi 6 AP、4盘位NAS及企业级硬盘（约 1.85 万元）。</w:t>
      </w:r>
    </w:p>
    <w:p>
      <w:pPr>
        <w:pStyle w:val="ListBullet"/>
      </w:pPr>
      <w:r>
        <w:rPr>
          <w:b/>
        </w:rPr>
        <w:t>场地与安全：</w:t>
      </w:r>
      <w:r>
        <w:t xml:space="preserve"> 工业铝型材安全围栏、物理急停控制箱、防静电地胶及消防器材（约 2.00 万元）。</w:t>
      </w:r>
    </w:p>
    <w:p>
      <w:pPr>
        <w:pStyle w:val="ListBullet"/>
      </w:pPr>
      <w:r>
        <w:rPr>
          <w:b/>
        </w:rPr>
        <w:t>备件与易耗品：</w:t>
      </w:r>
      <w:r>
        <w:t xml:space="preserve"> 机器人备用电池、高精度标定板及日常耗材（约 1.00 万元）。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