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30/05/2026  17:11</w:t>
      </w:r>
    </w:p>
    <w:p/>
    <w:p>
      <w:r>
        <w:rPr>
          <w:sz w:val="22"/>
        </w:rPr>
        <w:t>PACIENTE</w:t>
        <w:br/>
        <w:t>----------------------------------------</w:t>
        <w:br/>
        <w:t>Arango Arango Albertina</w:t>
        <w:br/>
        <w:br/>
        <w:t>ESTUDIO</w:t>
        <w:br/>
        <w:t>----------------------------------------</w:t>
        <w:br/>
        <w:t>Tomografía computarizada de senos paranasales o cara</w:t>
        <w:br/>
        <w:br/>
        <w:t>HALLAZGOS</w:t>
        <w:br/>
        <w:t>----------------------------------------</w:t>
        <w:br/>
        <w:t>Diapresia y hipertrofia de la mucosa a nivel de cornetes nasales derechos. En su porción posterior, resto de cornetes de morfología conservada, cavum libre, tabique nasal con desviación hacia la derecha. En su porción posterior, asociada a formación de espolón óseo, no hay presencia de trazos fracturarios.</w:t>
        <w:br/>
        <w:br/>
        <w:t>CONCLUSIÓN</w:t>
        <w:br/>
        <w:t>----------------------------------------</w:t>
        <w:br/>
        <w:t>Hipertrofia de la mucosa de los cornetes nasales derechos, tabique nasal desviado hacia la derecha, asociado a formación de espolón óseo.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