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F4C81"/>
        </w:rPr>
        <w:t>Informe Radiológico</w:t>
      </w:r>
    </w:p>
    <w:p>
      <w:pPr>
        <w:jc w:val="right"/>
      </w:pPr>
      <w:r>
        <w:rPr>
          <w:color w:val="64748B"/>
          <w:sz w:val="18"/>
        </w:rPr>
        <w:t>Fecha: 30/05/2026  17:15</w:t>
      </w:r>
    </w:p>
    <w:p/>
    <w:p>
      <w:r>
        <w:rPr>
          <w:sz w:val="22"/>
        </w:rPr>
        <w:t>PACIENTE</w:t>
        <w:br/>
        <w:t>----------------------------------------</w:t>
        <w:br/>
        <w:t>Gallego Arango Manuela</w:t>
        <w:br/>
        <w:br/>
        <w:t>ESTUDIO</w:t>
        <w:br/>
        <w:t>----------------------------------------</w:t>
        <w:br/>
        <w:t>Tomografía de cara con reconstrucción tridimensional</w:t>
        <w:br/>
        <w:br/>
        <w:t>HALLAZGOS</w:t>
        <w:br/>
        <w:t>----------------------------------------</w:t>
        <w:br/>
        <w:t>Estructuras óseas sin evidencia de trazos de fracturas recientes. Senos paranasales adecuadamente neumatizados sin evidencia de cambios inflamatorios. Septum nasal sin uso. Hipertrofia de los cornetes inferiores, los cuales disminuyen de manera significativa el grosor de la columna aérea. Longitud simétrica. La densidad mineralógica es adecuada. Tejidos planos, periféricos, sin alteraciones. Lo visualizado de las órbitas y su contenido, sin alteraciones.</w:t>
        <w:br/>
        <w:br/>
        <w:t>CONCLUSIÓN</w:t>
        <w:br/>
        <w:t>----------------------------------------</w:t>
        <w:br/>
        <w:t>Hipertrofia de los cornetes inferiores, disminuyendo el grosor de la columna aérea en ambas fosas nasales, septum nasal sinuoso e incremento del tamaño del cóndilo mandibular derecho en relación con el contralateral, con conservación de la longitud de los ramos mandibulares.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Generado por VITACORE · Historia Clínica Integral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