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Informe Radiológico</w:t>
      </w:r>
    </w:p>
    <w:p>
      <w:pPr>
        <w:jc w:val="right"/>
      </w:pPr>
      <w:r>
        <w:rPr>
          <w:color w:val="64748B"/>
          <w:sz w:val="18"/>
        </w:rPr>
        <w:t>Fecha: 28/05/2026  12:39</w:t>
      </w:r>
    </w:p>
    <w:p/>
    <w:p>
      <w:r>
        <w:rPr>
          <w:sz w:val="22"/>
        </w:rPr>
        <w:t>PACIENTE ESTUDIO TÉCNICA HALLAZGOSSe identifica engrosamiento parietal de aspecto secretor a nivel del seno maxilar derecho, asociado a presencia de burbujas aéreas y nivel hidroaéreo, resto de senos paranasales con habitual neumatización, ambos complejos osteomeatales libres y permeables. Se identifica morfología paradójica a nivel de cornetes medios de forma bilateral e hipertrofia de la mucosa de los cornetes inferiores, cornetes nasales superiores de morfología habitual, cavum libre, tabique nasal discretamente desviado a salida derecha en su porción anterior. No hay presencia de trazos fracturarios.CONCLUSIÓNSe observan hallazgos sugestivos de sinusitis maxilar derecha con engrosamiento parietal y nivel hidroaéreo. El resto de la anatomía nasal presenta morfología habitual con algunas alteraciones menores.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