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03/06/2026  08:41</w:t>
      </w:r>
    </w:p>
    <w:p/>
    <w:p>
      <w:r>
        <w:rPr>
          <w:sz w:val="22"/>
        </w:rPr>
        <w:t>HALLAZGOS</w:t>
        <w:br/>
        <w:t>────────────────────────────────────────</w:t>
        <w:br/>
        <w:t>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</w:t>
        <w:br/>
        <w:br/>
        <w:t>CONCLUSIÓN</w:t>
        <w:br/>
        <w:t>────────────────────────────────────────</w:t>
        <w:br/>
        <w:t>Se observan hallazgos compatibles con osteoma en seno frontal derecho y engrosamiento parietal laminar en senos maxilares, sin evidencia de fracturas.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