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F4C81"/>
        </w:rPr>
        <w:t>Informe Radiológico</w:t>
      </w:r>
    </w:p>
    <w:p>
      <w:pPr>
        <w:jc w:val="right"/>
      </w:pPr>
      <w:r>
        <w:rPr>
          <w:color w:val="64748B"/>
          <w:sz w:val="18"/>
        </w:rPr>
        <w:t>Fecha: 04/06/2026  16:15</w:t>
      </w:r>
    </w:p>
    <w:p/>
    <w:p>
      <w:r>
        <w:rPr>
          <w:sz w:val="22"/>
        </w:rPr>
        <w:t>HALLAZGOS</w:t>
        <w:br/>
        <w:t>────────────────────────────────────────</w:t>
        <w:br/>
        <w:t>Se aprecia componente inflamatorio de senos maxilares con quistes o pólipos de retención. Igualmente en el seno esfenoidal izquierdo, quiste o pólipos de retención basal. Componente inflamatorio etmoidal bilateral y frontal derecho. Unidades osteomeatales libres. Ostium maxilar bilateral, tabique nasal centrado sinuoso, lámina papirácea íntegra, fóvea etmoidal de altura simétrica, torus tubárico y fosita de Rosenmüller. Libres.</w:t>
        <w:br/>
        <w:br/>
        <w:t>CONCLUSIÓN</w:t>
        <w:br/>
        <w:t>────────────────────────────────────────</w:t>
        <w:br/>
        <w:t>Se observan hallazgos compatibles con sinusitis crónica con componentes inflamatorios y quistes o pólipos de retención en varios senos paranasales.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Generado por VITACORE · Historia Clínica Integral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