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Empathize &amp; Discover – Empathy Map</w:t>
      </w:r>
    </w:p>
    <w:p>
      <w:pPr>
        <w:jc w:val="center"/>
      </w:pPr>
      <w:r>
        <w:rPr>
          <w:i/>
          <w:sz w:val="22"/>
        </w:rPr>
        <w:t>Ideation Phase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21"/>
              </w:rPr>
              <w:t>Date</w:t>
            </w:r>
          </w:p>
        </w:tc>
        <w:tc>
          <w:tcPr>
            <w:tcW w:type="dxa" w:w="5112"/>
            <w:vAlign w:val="center"/>
          </w:tcPr>
          <w:p>
            <w:r/>
            <w:r>
              <w:rPr>
                <w:b w:val="0"/>
                <w:sz w:val="21"/>
              </w:rPr>
              <w:t>31 January 2025</w:t>
            </w:r>
          </w:p>
        </w:tc>
      </w:tr>
      <w:tr>
        <w:tc>
          <w:tcPr>
            <w:tcW w:type="dxa" w:w="5112"/>
            <w:vAlign w:val="center"/>
            <w:shd w:fill="1F4E79"/>
          </w:tcPr>
          <w:p>
            <w:r/>
            <w:r>
              <w:rPr>
                <w:b/>
                <w:color w:val="FFFFFF"/>
                <w:sz w:val="21"/>
              </w:rPr>
              <w:t>Team ID</w:t>
            </w:r>
          </w:p>
        </w:tc>
        <w:tc>
          <w:tcPr>
            <w:tcW w:type="dxa" w:w="5112"/>
            <w:vAlign w:val="center"/>
          </w:tcPr>
          <w:p>
            <w:r/>
            <w:r>
              <w:rPr>
                <w:b w:val="0"/>
                <w:sz w:val="21"/>
              </w:rPr>
              <w:t>[Enter Team ID]</w:t>
            </w:r>
          </w:p>
        </w:tc>
      </w:tr>
      <w:tr>
        <w:tc>
          <w:tcPr>
            <w:tcW w:type="dxa" w:w="5112"/>
            <w:vAlign w:val="center"/>
            <w:shd w:fill="1F4E79"/>
          </w:tcPr>
          <w:p>
            <w:r/>
            <w:r>
              <w:rPr>
                <w:b/>
                <w:color w:val="FFFFFF"/>
                <w:sz w:val="21"/>
              </w:rPr>
              <w:t>Project Name</w:t>
            </w:r>
          </w:p>
        </w:tc>
        <w:tc>
          <w:tcPr>
            <w:tcW w:type="dxa" w:w="5112"/>
            <w:vAlign w:val="center"/>
          </w:tcPr>
          <w:p>
            <w:r/>
            <w:r>
              <w:rPr>
                <w:b w:val="0"/>
                <w:sz w:val="21"/>
              </w:rPr>
              <w:t>Auto Ticket Classification using Flow Designer</w:t>
            </w:r>
          </w:p>
        </w:tc>
      </w:tr>
      <w:tr>
        <w:tc>
          <w:tcPr>
            <w:tcW w:type="dxa" w:w="5112"/>
            <w:vAlign w:val="center"/>
            <w:shd w:fill="1F4E79"/>
          </w:tcPr>
          <w:p>
            <w:r/>
            <w:r>
              <w:rPr>
                <w:b/>
                <w:color w:val="FFFFFF"/>
                <w:sz w:val="21"/>
              </w:rPr>
              <w:t>Maximum Marks</w:t>
            </w:r>
          </w:p>
        </w:tc>
        <w:tc>
          <w:tcPr>
            <w:tcW w:type="dxa" w:w="5112"/>
            <w:vAlign w:val="center"/>
          </w:tcPr>
          <w:p>
            <w:r/>
            <w:r>
              <w:rPr>
                <w:b w:val="0"/>
                <w:sz w:val="21"/>
              </w:rPr>
              <w:t>4 Marks</w:t>
            </w:r>
          </w:p>
        </w:tc>
      </w:tr>
    </w:tbl>
    <w:p/>
    <w:p>
      <w:pPr>
        <w:pStyle w:val="Heading1"/>
      </w:pPr>
      <w:r>
        <w:t>Purpose</w:t>
      </w:r>
    </w:p>
    <w:p>
      <w:r>
        <w:t>The empathy map captures the perspective of the primary user of the school IT helpdesk process. It considers what the user thinks and feels, hears, sees, says and does, along with the user's pain points and desired gains.</w:t>
      </w:r>
    </w:p>
    <w:p>
      <w:pPr>
        <w:pStyle w:val="Heading1"/>
      </w:pPr>
      <w:r>
        <w:t>Primary User</w:t>
      </w:r>
    </w:p>
    <w:p>
      <w:r>
        <w:rPr>
          <w:b/>
        </w:rPr>
        <w:t>Student / Teacher requesting IT support</w:t>
      </w:r>
    </w:p>
    <w:tbl>
      <w:tblPr>
        <w:tblStyle w:val="TableGrid"/>
        <w:tblW w:type="auto" w:w="0"/>
        <w:jc w:val="center"/>
        <w:tblLook w:firstColumn="1" w:firstRow="1" w:lastColumn="0" w:lastRow="0" w:noHBand="0" w:noVBand="1" w:val="04A0"/>
      </w:tblPr>
      <w:tblGrid>
        <w:gridCol w:w="5112"/>
        <w:gridCol w:w="5112"/>
      </w:tblGrid>
      <w:tr>
        <w:tc>
          <w:tcPr>
            <w:tcW w:type="dxa" w:w="5112"/>
          </w:tcPr>
          <w:p>
            <w:r/>
            <w:r>
              <w:rPr>
                <w:b/>
                <w:color w:val="1F4E79"/>
              </w:rPr>
              <w:t>THINK &amp; FEEL</w:t>
            </w:r>
          </w:p>
          <w:p>
            <w:pPr>
              <w:pStyle w:val="ListBullet"/>
              <w:spacing w:after="40"/>
            </w:pPr>
            <w:r>
              <w:t>I need my IT issue resolved quickly.</w:t>
            </w:r>
          </w:p>
          <w:p>
            <w:pPr>
              <w:pStyle w:val="ListBullet"/>
              <w:spacing w:after="40"/>
            </w:pPr>
            <w:r>
              <w:t>I want my request to reach the correct support process.</w:t>
            </w:r>
          </w:p>
          <w:p>
            <w:pPr>
              <w:pStyle w:val="ListBullet"/>
              <w:spacing w:after="40"/>
            </w:pPr>
            <w:r>
              <w:t>I may not know which category or subcategory applies to my issue.</w:t>
            </w:r>
          </w:p>
          <w:p>
            <w:pPr>
              <w:pStyle w:val="ListBullet"/>
              <w:spacing w:after="40"/>
            </w:pPr>
            <w:r>
              <w:t>I want confirmation that my support request was created.</w:t>
            </w:r>
          </w:p>
        </w:tc>
        <w:tc>
          <w:tcPr>
            <w:tcW w:type="dxa" w:w="5112"/>
          </w:tcPr>
          <w:p>
            <w:r/>
            <w:r>
              <w:rPr>
                <w:b/>
                <w:color w:val="1F4E79"/>
              </w:rPr>
              <w:t>HEAR</w:t>
            </w:r>
          </w:p>
          <w:p>
            <w:pPr>
              <w:pStyle w:val="ListBullet"/>
              <w:spacing w:after="40"/>
            </w:pPr>
            <w:r>
              <w:t>Raise an IT support ticket.</w:t>
            </w:r>
          </w:p>
          <w:p>
            <w:pPr>
              <w:pStyle w:val="ListBullet"/>
              <w:spacing w:after="40"/>
            </w:pPr>
            <w:r>
              <w:t>Describe the problem you are facing.</w:t>
            </w:r>
          </w:p>
          <w:p>
            <w:pPr>
              <w:pStyle w:val="ListBullet"/>
              <w:spacing w:after="40"/>
            </w:pPr>
            <w:r>
              <w:t>The IT team will review your request.</w:t>
            </w:r>
          </w:p>
          <w:p>
            <w:pPr>
              <w:pStyle w:val="ListBullet"/>
              <w:spacing w:after="40"/>
            </w:pPr>
            <w:r>
              <w:t>You will receive confirmation after the ticket is created.</w:t>
            </w:r>
          </w:p>
        </w:tc>
      </w:tr>
      <w:tr>
        <w:tc>
          <w:tcPr>
            <w:tcW w:type="dxa" w:w="5112"/>
          </w:tcPr>
          <w:p>
            <w:r/>
            <w:r>
              <w:rPr>
                <w:b/>
                <w:color w:val="1F4E79"/>
              </w:rPr>
              <w:t>SEE</w:t>
            </w:r>
          </w:p>
          <w:p>
            <w:pPr>
              <w:pStyle w:val="ListBullet"/>
              <w:spacing w:after="40"/>
            </w:pPr>
            <w:r>
              <w:t>IT support ticket form.</w:t>
            </w:r>
          </w:p>
          <w:p>
            <w:pPr>
              <w:pStyle w:val="ListBullet"/>
              <w:spacing w:after="40"/>
            </w:pPr>
            <w:r>
              <w:t>Fields for caller and issue description.</w:t>
            </w:r>
          </w:p>
          <w:p>
            <w:pPr>
              <w:pStyle w:val="ListBullet"/>
              <w:spacing w:after="40"/>
            </w:pPr>
            <w:r>
              <w:t>Common problems such as Wi-Fi, projector, password/login and slow computers.</w:t>
            </w:r>
          </w:p>
          <w:p>
            <w:pPr>
              <w:pStyle w:val="ListBullet"/>
              <w:spacing w:after="40"/>
            </w:pPr>
            <w:r>
              <w:t>A process where tickets are reviewed and classified.</w:t>
            </w:r>
          </w:p>
        </w:tc>
        <w:tc>
          <w:tcPr>
            <w:tcW w:type="dxa" w:w="5112"/>
          </w:tcPr>
          <w:p>
            <w:r/>
            <w:r>
              <w:rPr>
                <w:b/>
                <w:color w:val="1F4E79"/>
              </w:rPr>
              <w:t>SAY &amp; DO</w:t>
            </w:r>
          </w:p>
          <w:p>
            <w:pPr>
              <w:pStyle w:val="ListBullet"/>
              <w:spacing w:after="40"/>
            </w:pPr>
            <w:r>
              <w:t>Reports an IT issue.</w:t>
            </w:r>
          </w:p>
          <w:p>
            <w:pPr>
              <w:pStyle w:val="ListBullet"/>
              <w:spacing w:after="40"/>
            </w:pPr>
            <w:r>
              <w:t>Enters a short description of the problem.</w:t>
            </w:r>
          </w:p>
          <w:p>
            <w:pPr>
              <w:pStyle w:val="ListBullet"/>
              <w:spacing w:after="40"/>
            </w:pPr>
            <w:r>
              <w:t>Submits the support request.</w:t>
            </w:r>
          </w:p>
          <w:p>
            <w:pPr>
              <w:pStyle w:val="ListBullet"/>
              <w:spacing w:after="40"/>
            </w:pPr>
            <w:r>
              <w:t>Waits for the helpdesk to process the ticket.</w:t>
            </w:r>
          </w:p>
          <w:p>
            <w:pPr>
              <w:pStyle w:val="ListBullet"/>
              <w:spacing w:after="40"/>
            </w:pPr>
            <w:r>
              <w:t>Checks whether the request has been acknowledged.</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C0504D"/>
          </w:tcPr>
          <w:p>
            <w:r/>
            <w:r>
              <w:rPr>
                <w:b/>
                <w:color w:val="FFFFFF"/>
                <w:sz w:val="21"/>
              </w:rPr>
              <w:t>PAIN</w:t>
            </w:r>
          </w:p>
          <w:p>
            <w:pPr>
              <w:pStyle w:val="ListBullet"/>
              <w:spacing w:after="40"/>
            </w:pPr>
            <w:r>
              <w:t>Manual ticket classification</w:t>
            </w:r>
          </w:p>
          <w:p>
            <w:pPr>
              <w:pStyle w:val="ListBullet"/>
              <w:spacing w:after="40"/>
            </w:pPr>
            <w:r>
              <w:t>Delay in routing or processing</w:t>
            </w:r>
          </w:p>
          <w:p>
            <w:pPr>
              <w:pStyle w:val="ListBullet"/>
              <w:spacing w:after="40"/>
            </w:pPr>
            <w:r>
              <w:t>Incorrect or inconsistent category selection</w:t>
            </w:r>
          </w:p>
          <w:p>
            <w:pPr>
              <w:pStyle w:val="ListBullet"/>
              <w:spacing w:after="40"/>
            </w:pPr>
            <w:r>
              <w:t>Uncertainty about the correct category</w:t>
            </w:r>
          </w:p>
          <w:p>
            <w:pPr>
              <w:pStyle w:val="ListBullet"/>
              <w:spacing w:after="40"/>
            </w:pPr>
            <w:r>
              <w:t>Need for repeated clarification</w:t>
            </w:r>
          </w:p>
        </w:tc>
        <w:tc>
          <w:tcPr>
            <w:tcW w:type="dxa" w:w="5112"/>
            <w:vAlign w:val="center"/>
            <w:shd w:fill="548235"/>
          </w:tcPr>
          <w:p>
            <w:r/>
            <w:r>
              <w:rPr>
                <w:b/>
                <w:color w:val="FFFFFF"/>
                <w:sz w:val="21"/>
              </w:rPr>
              <w:t>GAIN</w:t>
            </w:r>
          </w:p>
          <w:p>
            <w:pPr>
              <w:pStyle w:val="ListBullet"/>
              <w:spacing w:after="40"/>
            </w:pPr>
            <w:r>
              <w:t>Faster ticket processing</w:t>
            </w:r>
          </w:p>
          <w:p>
            <w:pPr>
              <w:pStyle w:val="ListBullet"/>
              <w:spacing w:after="40"/>
            </w:pPr>
            <w:r>
              <w:t>Consistent classification</w:t>
            </w:r>
          </w:p>
          <w:p>
            <w:pPr>
              <w:pStyle w:val="ListBullet"/>
              <w:spacing w:after="40"/>
            </w:pPr>
            <w:r>
              <w:t>Automatic Category and Subcategory assignment</w:t>
            </w:r>
          </w:p>
          <w:p>
            <w:pPr>
              <w:pStyle w:val="ListBullet"/>
              <w:spacing w:after="40"/>
            </w:pPr>
            <w:r>
              <w:t>Immediate ticket confirmation</w:t>
            </w:r>
          </w:p>
          <w:p>
            <w:pPr>
              <w:pStyle w:val="ListBullet"/>
              <w:spacing w:after="40"/>
            </w:pPr>
            <w:r>
              <w:t>Less manual effort for IT staff</w:t>
            </w:r>
          </w:p>
        </w:tc>
      </w:tr>
    </w:tbl>
    <w:p>
      <w:pPr>
        <w:pStyle w:val="Heading1"/>
      </w:pPr>
      <w:r>
        <w:t>Key Insights from the Empathy Map</w:t>
      </w:r>
    </w:p>
    <w:p>
      <w:pPr>
        <w:pStyle w:val="ListBullet"/>
      </w:pPr>
      <w:r>
        <w:t>The user wants a simple way to report an IT problem without needing to understand the internal classification process.</w:t>
      </w:r>
    </w:p>
    <w:p>
      <w:pPr>
        <w:pStyle w:val="ListBullet"/>
      </w:pPr>
      <w:r>
        <w:t>The helpdesk needs consistent classification so that tickets can be processed efficiently.</w:t>
      </w:r>
    </w:p>
    <w:p>
      <w:pPr>
        <w:pStyle w:val="ListBullet"/>
      </w:pPr>
      <w:r>
        <w:t>Automatic classification can reduce the need for manual category selection.</w:t>
      </w:r>
    </w:p>
    <w:p>
      <w:pPr>
        <w:pStyle w:val="ListBullet"/>
      </w:pPr>
      <w:r>
        <w:t>Automated confirmation can reassure the caller that the support request has been received.</w:t>
      </w:r>
    </w:p>
    <w:p>
      <w:pPr>
        <w:pStyle w:val="Heading1"/>
      </w:pPr>
      <w:r>
        <w:t>Connection to the Proposed Solution</w:t>
      </w:r>
    </w:p>
    <w:p>
      <w:r>
        <w:t>These user needs are addressed by the proposed ServiceNow solution. The user provides the caller information and issue description, while Flow Designer performs the classification using predefined keywords. The system assigns Category and Subcategory and sends an automated email notification to the caller.</w:t>
      </w:r>
    </w:p>
    <w:p>
      <w:pPr>
        <w:pStyle w:val="Heading2"/>
      </w:pPr>
      <w:r>
        <w:t>Reference</w:t>
      </w:r>
    </w:p>
    <w:p>
      <w:r>
        <w:t>Mural – Empathy Map Canvas: https://www.mural.co/templates/empathy-map-canvas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 Ticket Classification using Flow Designer  |  Ideation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