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A7A"/>
          <w:sz w:val="48"/>
          <w:szCs w:val="48"/>
        </w:rPr>
        <w:t xml:space="preserve">Zillow Housing Price Prediction</w:t>
      </w:r>
    </w:p>
    <w:p>
      <w:pPr>
        <w:spacing w:after="120" w:before="0"/>
        <w:jc w:val="center"/>
      </w:pPr>
      <w:r>
        <w:rPr>
          <w:rFonts w:ascii="Arial" w:cs="Arial" w:eastAsia="Arial" w:hAnsi="Arial"/>
          <w:color w:val="555555"/>
          <w:sz w:val="32"/>
          <w:szCs w:val="32"/>
        </w:rPr>
        <w:t xml:space="preserve">Project Final Report</w:t>
      </w:r>
    </w:p>
    <w:p>
      <w:pPr>
        <w:spacing w:after="80" w:before="120"/>
        <w:jc w:val="center"/>
      </w:pPr>
      <w:r>
        <w:rPr>
          <w:rFonts w:ascii="Arial" w:cs="Arial" w:eastAsia="Arial" w:hAnsi="Arial"/>
          <w:i/>
          <w:iCs/>
          <w:color w:val="777777"/>
          <w:sz w:val="24"/>
          <w:szCs w:val="24"/>
        </w:rPr>
        <w:t xml:space="preserve">Data Science &amp; Machine Learning | Spring 2025</w:t>
      </w:r>
    </w:p>
    <w:p>
      <w:pPr>
        <w:spacing w:after="80" w:before="80"/>
        <w:jc w:val="center"/>
      </w:pPr>
      <w:r>
        <w:rPr>
          <w:rFonts w:ascii="Arial" w:cs="Arial" w:eastAsia="Arial" w:hAnsi="Arial"/>
          <w:color w:val="555555"/>
          <w:sz w:val="24"/>
          <w:szCs w:val="24"/>
        </w:rPr>
        <w:t xml:space="preserve">Author: Muhammad Qasim</w:t>
      </w:r>
    </w:p>
    <w:p>
      <w:pPr>
        <w:spacing w:after="2880" w:before="80"/>
        <w:jc w:val="center"/>
      </w:pPr>
      <w:r>
        <w:rPr>
          <w:rFonts w:ascii="Arial" w:cs="Arial" w:eastAsia="Arial" w:hAnsi="Arial"/>
          <w:color w:val="555555"/>
          <w:sz w:val="24"/>
          <w:szCs w:val="24"/>
        </w:rPr>
        <w:t xml:space="preserve">Due: April 27, 2025</w:t>
      </w:r>
    </w:p>
    <w:p>
      <w:r>
        <w:br w:type="page"/>
      </w:r>
    </w:p>
    <w:p>
      <w:pPr>
        <w:pStyle w:val="Heading1"/>
        <w:pBdr>
          <w:bottom w:val="single" w:color="2E4A7A" w:sz="6" w:space="1"/>
        </w:pBdr>
        <w:spacing w:after="120" w:before="360"/>
      </w:pPr>
      <w:r>
        <w:rPr>
          <w:rFonts w:ascii="Arial" w:cs="Arial" w:eastAsia="Arial" w:hAnsi="Arial"/>
          <w:b/>
          <w:bCs/>
          <w:color w:val="2E4A7A"/>
          <w:sz w:val="30"/>
          <w:szCs w:val="30"/>
        </w:rPr>
        <w:t xml:space="preserve">1. Executive Summary</w:t>
      </w:r>
    </w:p>
    <w:p>
      <w:pPr>
        <w:spacing w:after="60" w:before="60"/>
      </w:pPr>
      <w:r>
        <w:t xml:space="preserve"/>
      </w:r>
    </w:p>
    <w:p>
      <w:pPr>
        <w:spacing w:after="80" w:before="80"/>
        <w:jc w:val="both"/>
      </w:pPr>
      <w:r>
        <w:rPr>
          <w:rFonts w:ascii="Arial" w:cs="Arial" w:eastAsia="Arial" w:hAnsi="Arial"/>
          <w:sz w:val="22"/>
          <w:szCs w:val="22"/>
        </w:rPr>
        <w:t xml:space="preserve">The goal of this project was to help a real estate company better understand what makes homes more or less valuable, and to build a model capable of reliably predicting residential property values. Using a Zillow housing dataset containing detailed records for tens of thousands of properties, we analyzed the key characteristics that drive home prices and developed a machine learning model to estimate valuations with meaningful accuracy.</w:t>
      </w:r>
    </w:p>
    <w:p>
      <w:pPr>
        <w:spacing w:after="60" w:before="60"/>
      </w:pPr>
      <w:r>
        <w:t xml:space="preserve"/>
      </w:r>
    </w:p>
    <w:p>
      <w:pPr>
        <w:spacing w:after="80" w:before="80"/>
        <w:jc w:val="both"/>
      </w:pPr>
      <w:r>
        <w:rPr>
          <w:rFonts w:ascii="Arial" w:cs="Arial" w:eastAsia="Arial" w:hAnsi="Arial"/>
          <w:sz w:val="22"/>
          <w:szCs w:val="22"/>
        </w:rPr>
        <w:t xml:space="preserve">The data revealed several clear patterns. Properties with greater finished square footage, larger lot sizes, and more favorable geographic locations consistently commanded higher valuations. The year a home was built also played a notable role, with newer construction generally associated with higher values. Location-based features — captured through latitude and longitude — emerged as the single most powerful predictor in the dataset, underscoring the enduring real estate principle that value is driven by place.</w:t>
      </w:r>
    </w:p>
    <w:p>
      <w:pPr>
        <w:spacing w:after="60" w:before="60"/>
      </w:pPr>
      <w:r>
        <w:t xml:space="preserve"/>
      </w:r>
    </w:p>
    <w:p>
      <w:pPr>
        <w:spacing w:after="80" w:before="80"/>
        <w:jc w:val="both"/>
      </w:pPr>
      <w:r>
        <w:rPr>
          <w:rFonts w:ascii="Arial" w:cs="Arial" w:eastAsia="Arial" w:hAnsi="Arial"/>
          <w:sz w:val="22"/>
          <w:szCs w:val="22"/>
        </w:rPr>
        <w:t xml:space="preserve">After evaluating three modeling approaches — a regularized linear model (Ridge Regression), a Random Forest, and a Gradient Boosting Regressor — the Gradient Boosting model delivered the best performance. On average, the model's predictions were off by approximately $135,651 from the actual property value, with consistent results across different subsets of the data. This level of accuracy is meaningful in the context of residential real estate, where valuations typically range from hundreds of thousands to over a million dollars.</w:t>
      </w:r>
    </w:p>
    <w:p>
      <w:pPr>
        <w:spacing w:after="60" w:before="60"/>
      </w:pPr>
      <w:r>
        <w:t xml:space="preserve"/>
      </w:r>
    </w:p>
    <w:p>
      <w:pPr>
        <w:spacing w:after="80" w:before="80"/>
        <w:jc w:val="both"/>
      </w:pPr>
      <w:r>
        <w:rPr>
          <w:rFonts w:ascii="Arial" w:cs="Arial" w:eastAsia="Arial" w:hAnsi="Arial"/>
          <w:sz w:val="22"/>
          <w:szCs w:val="22"/>
        </w:rPr>
        <w:t xml:space="preserve">Our recommendation is to deploy the Gradient Boosting model as the foundation for an internal valuation tool. It provides reliable price estimates that can support pricing strategy, refine the company's existing Zestimate-style products, and help marketing teams communicate value more clearly to buyers and sellers. The most important limitation to be aware of is that the model performs less precisely for very high-value properties, which are underrepresented in the training data. Future work should focus on incorporating more data from the luxury segment and exploring additional geographic and neighborhood-level features to further improve accuracy.</w:t>
      </w:r>
    </w:p>
    <w:p>
      <w:pPr>
        <w:spacing w:after="60" w:before="60"/>
      </w:pPr>
      <w:r>
        <w:t xml:space="preserve"/>
      </w:r>
    </w:p>
    <w:p>
      <w:pPr>
        <w:pStyle w:val="Heading1"/>
        <w:pBdr>
          <w:bottom w:val="single" w:color="2E4A7A" w:sz="6" w:space="1"/>
        </w:pBdr>
        <w:spacing w:after="120" w:before="360"/>
      </w:pPr>
      <w:r>
        <w:rPr>
          <w:rFonts w:ascii="Arial" w:cs="Arial" w:eastAsia="Arial" w:hAnsi="Arial"/>
          <w:b/>
          <w:bCs/>
          <w:color w:val="2E4A7A"/>
          <w:sz w:val="30"/>
          <w:szCs w:val="30"/>
        </w:rPr>
        <w:t xml:space="preserve">2. Introduction</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2.1 Topic and Context</w:t>
      </w:r>
    </w:p>
    <w:p>
      <w:pPr>
        <w:spacing w:after="80" w:before="80"/>
        <w:jc w:val="both"/>
      </w:pPr>
      <w:r>
        <w:rPr>
          <w:rFonts w:ascii="Arial" w:cs="Arial" w:eastAsia="Arial" w:hAnsi="Arial"/>
          <w:sz w:val="22"/>
          <w:szCs w:val="22"/>
        </w:rPr>
        <w:t xml:space="preserve">Accurate property valuation sits at the heart of the residential real estate industry. Whether a buyer is deciding how much to offer, a seller is setting a listing price, or a platform like Zillow is generating automated estimates, the ability to predict home values reliably carries significant business and financial weight. This project was completed in the context of an in-house data science team at a real estate company tasked with improving the organization's approach to property valuation through data-driven modeling.</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2.2 Problem Statement and Motivation</w:t>
      </w:r>
    </w:p>
    <w:p>
      <w:pPr>
        <w:spacing w:after="80" w:before="80"/>
        <w:jc w:val="both"/>
      </w:pPr>
      <w:r>
        <w:rPr>
          <w:rFonts w:ascii="Arial" w:cs="Arial" w:eastAsia="Arial" w:hAnsi="Arial"/>
          <w:sz w:val="22"/>
          <w:szCs w:val="22"/>
        </w:rPr>
        <w:t xml:space="preserve">The central challenge addressed in this project is the complexity of residential home valuation. Property prices are influenced by dozens of interacting factors — physical characteristics such as square footage and bedroom count, structural attributes such as building quality and year of construction, and spatial factors such as proximity to desirable neighborhoods and geographic coordinates. Traditional appraisal methods are time-intensive and difficult to scale. A machine learning model that can learn from historical data and produce consistent, data-driven estimates offers a compelling alternative.</w:t>
      </w:r>
    </w:p>
    <w:p>
      <w:pPr>
        <w:spacing w:after="80" w:before="80"/>
        <w:jc w:val="both"/>
      </w:pPr>
      <w:r>
        <w:rPr>
          <w:rFonts w:ascii="Arial" w:cs="Arial" w:eastAsia="Arial" w:hAnsi="Arial"/>
          <w:sz w:val="22"/>
          <w:szCs w:val="22"/>
        </w:rPr>
        <w:t xml:space="preserve">From a business perspective, improving valuation accuracy strengthens customer trust, enhances the credibility of platform-generated estimates, and enables more targeted and effective marketing campaigns. It also supports better decision-making across the organization, from product development to client advisory services.</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2.3 Objectives and Goals</w:t>
      </w:r>
    </w:p>
    <w:p>
      <w:pPr>
        <w:spacing w:after="80" w:before="80"/>
        <w:jc w:val="both"/>
      </w:pPr>
      <w:r>
        <w:rPr>
          <w:rFonts w:ascii="Arial" w:cs="Arial" w:eastAsia="Arial" w:hAnsi="Arial"/>
          <w:sz w:val="22"/>
          <w:szCs w:val="22"/>
        </w:rPr>
        <w:t xml:space="preserve">This project pursued the following objectives:</w:t>
      </w:r>
    </w:p>
    <w:p>
      <w:pPr>
        <w:pStyle w:val="ListParagraph"/>
        <w:numPr>
          <w:ilvl w:val="0"/>
          <w:numId w:val="2"/>
        </w:numPr>
        <w:spacing w:after="40" w:before="40"/>
      </w:pPr>
      <w:r>
        <w:rPr>
          <w:rFonts w:ascii="Arial" w:cs="Arial" w:eastAsia="Arial" w:hAnsi="Arial"/>
          <w:sz w:val="22"/>
          <w:szCs w:val="22"/>
        </w:rPr>
        <w:t xml:space="preserve">Explore and understand the Zillow housing dataset, including the distribution of key features, missingness patterns, and relationships between property characteristics and tax-assessed value.</w:t>
      </w:r>
    </w:p>
    <w:p>
      <w:pPr>
        <w:pStyle w:val="ListParagraph"/>
        <w:numPr>
          <w:ilvl w:val="0"/>
          <w:numId w:val="2"/>
        </w:numPr>
        <w:spacing w:after="40" w:before="40"/>
      </w:pPr>
      <w:r>
        <w:rPr>
          <w:rFonts w:ascii="Arial" w:cs="Arial" w:eastAsia="Arial" w:hAnsi="Arial"/>
          <w:sz w:val="22"/>
          <w:szCs w:val="22"/>
        </w:rPr>
        <w:t xml:space="preserve">Clean and preprocess the data to produce a reliable, analysis-ready dataset.</w:t>
      </w:r>
    </w:p>
    <w:p>
      <w:pPr>
        <w:pStyle w:val="ListParagraph"/>
        <w:numPr>
          <w:ilvl w:val="0"/>
          <w:numId w:val="2"/>
        </w:numPr>
        <w:spacing w:after="40" w:before="40"/>
      </w:pPr>
      <w:r>
        <w:rPr>
          <w:rFonts w:ascii="Arial" w:cs="Arial" w:eastAsia="Arial" w:hAnsi="Arial"/>
          <w:sz w:val="22"/>
          <w:szCs w:val="22"/>
        </w:rPr>
        <w:t xml:space="preserve">Engineer new features to expose additional predictive patterns not present in the raw data.</w:t>
      </w:r>
    </w:p>
    <w:p>
      <w:pPr>
        <w:pStyle w:val="ListParagraph"/>
        <w:numPr>
          <w:ilvl w:val="0"/>
          <w:numId w:val="2"/>
        </w:numPr>
        <w:spacing w:after="40" w:before="40"/>
      </w:pPr>
      <w:r>
        <w:rPr>
          <w:rFonts w:ascii="Arial" w:cs="Arial" w:eastAsia="Arial" w:hAnsi="Arial"/>
          <w:sz w:val="22"/>
          <w:szCs w:val="22"/>
        </w:rPr>
        <w:t xml:space="preserve">Train and evaluate multiple regression models, comparing their performance systematically.</w:t>
      </w:r>
    </w:p>
    <w:p>
      <w:pPr>
        <w:pStyle w:val="ListParagraph"/>
        <w:numPr>
          <w:ilvl w:val="0"/>
          <w:numId w:val="2"/>
        </w:numPr>
        <w:spacing w:after="40" w:before="40"/>
      </w:pPr>
      <w:r>
        <w:rPr>
          <w:rFonts w:ascii="Arial" w:cs="Arial" w:eastAsia="Arial" w:hAnsi="Arial"/>
          <w:sz w:val="22"/>
          <w:szCs w:val="22"/>
        </w:rPr>
        <w:t xml:space="preserve">Select and fine-tune the best-performing model for deployment as a valuation tool.</w:t>
      </w:r>
    </w:p>
    <w:p>
      <w:pPr>
        <w:pStyle w:val="ListParagraph"/>
        <w:numPr>
          <w:ilvl w:val="0"/>
          <w:numId w:val="2"/>
        </w:numPr>
        <w:spacing w:after="40" w:before="40"/>
      </w:pPr>
      <w:r>
        <w:rPr>
          <w:rFonts w:ascii="Arial" w:cs="Arial" w:eastAsia="Arial" w:hAnsi="Arial"/>
          <w:sz w:val="22"/>
          <w:szCs w:val="22"/>
        </w:rPr>
        <w:t xml:space="preserve">Provide clear, actionable recommendations based on the modeling results.</w:t>
      </w:r>
    </w:p>
    <w:p>
      <w:pPr>
        <w:spacing w:after="60" w:before="60"/>
      </w:pPr>
      <w:r>
        <w:t xml:space="preserve"/>
      </w:r>
    </w:p>
    <w:p>
      <w:pPr>
        <w:pStyle w:val="Heading1"/>
        <w:pBdr>
          <w:bottom w:val="single" w:color="2E4A7A" w:sz="6" w:space="1"/>
        </w:pBdr>
        <w:spacing w:after="120" w:before="360"/>
      </w:pPr>
      <w:r>
        <w:rPr>
          <w:rFonts w:ascii="Arial" w:cs="Arial" w:eastAsia="Arial" w:hAnsi="Arial"/>
          <w:b/>
          <w:bCs/>
          <w:color w:val="2E4A7A"/>
          <w:sz w:val="30"/>
          <w:szCs w:val="30"/>
        </w:rPr>
        <w:t xml:space="preserve">3. Data Description</w:t>
      </w:r>
    </w:p>
    <w:p>
      <w:pPr>
        <w:spacing w:after="60" w:before="60"/>
      </w:pPr>
      <w:r>
        <w:t xml:space="preserve"/>
      </w:r>
    </w:p>
    <w:p>
      <w:pPr>
        <w:spacing w:after="80" w:before="80"/>
        <w:jc w:val="both"/>
      </w:pPr>
      <w:r>
        <w:rPr>
          <w:rFonts w:ascii="Arial" w:cs="Arial" w:eastAsia="Arial" w:hAnsi="Arial"/>
          <w:sz w:val="22"/>
          <w:szCs w:val="22"/>
        </w:rPr>
        <w:t xml:space="preserve">The dataset used in this project is a version of the Zillow housing dataset sourced from a course repository (cs.bu.edu). It contains detailed records for residential properties across multiple U.S. counties, assembled from publicly available real estate and tax assessment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Raw observations (rows)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~122,000 properties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(columns, raw)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attributes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Final training samples (after cleaning)</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~72,392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features used in modeling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(consensus selected set)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taxvaluedollarcnt (tax-assessed property value in USD)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data source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Zillow / course dataset (Zillow zillow_dataset.csv)</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3.1 Variable Types</w:t>
      </w:r>
    </w:p>
    <w:p>
      <w:pPr>
        <w:spacing w:after="80" w:before="80"/>
        <w:jc w:val="both"/>
      </w:pPr>
      <w:r>
        <w:rPr>
          <w:rFonts w:ascii="Arial" w:cs="Arial" w:eastAsia="Arial" w:hAnsi="Arial"/>
          <w:sz w:val="22"/>
          <w:szCs w:val="22"/>
        </w:rPr>
        <w:t xml:space="preserve">The dataset contains a mix of numeric continuous variables (e.g., calculatedfinishedsquarefeet, lotsizesquarefeet, taxvaluedollarcnt), numeric discrete variables (e.g., bedroomcnt, bathroomcnt, fireplacecnt), and categorical identifier variables (e.g., heatingorsystemtypeid, propertycountylandusecode, fips). Geographic coordinates (latitude, longitude) are also included as continuous numeric features.</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3.2 Missing Values and Data Quality Issues</w:t>
      </w:r>
    </w:p>
    <w:p>
      <w:pPr>
        <w:spacing w:after="80" w:before="80"/>
        <w:jc w:val="both"/>
      </w:pPr>
      <w:r>
        <w:rPr>
          <w:rFonts w:ascii="Arial" w:cs="Arial" w:eastAsia="Arial" w:hAnsi="Arial"/>
          <w:sz w:val="22"/>
          <w:szCs w:val="22"/>
        </w:rPr>
        <w:t xml:space="preserve">A significant number of features contained missing values. Several columns — including numberofstories, regionidneighborhood, and poolsizesum — had missing rates exceeding 50%, rendering them unsuitable for reliable imputation. Administrative identifier columns (parcelid, assessmentyear, rawcensustractandblock, and similar) carried no predictive value and were dropped. The target variable taxvaluedollarcnt had a small number of missing rows, which were removed. The remaining numeric missingness was handled through median imputation, a robust strategy given the skewed distributions present throughout the dataset.</w:t>
      </w:r>
    </w:p>
    <w:p>
      <w:pPr>
        <w:spacing w:after="60" w:before="60"/>
      </w:pPr>
      <w:r>
        <w:t xml:space="preserve"/>
      </w:r>
    </w:p>
    <w:p>
      <w:pPr>
        <w:pStyle w:val="Heading1"/>
        <w:pBdr>
          <w:bottom w:val="single" w:color="2E4A7A" w:sz="6" w:space="1"/>
        </w:pBdr>
        <w:spacing w:after="120" w:before="360"/>
      </w:pPr>
      <w:r>
        <w:rPr>
          <w:rFonts w:ascii="Arial" w:cs="Arial" w:eastAsia="Arial" w:hAnsi="Arial"/>
          <w:b/>
          <w:bCs/>
          <w:color w:val="2E4A7A"/>
          <w:sz w:val="30"/>
          <w:szCs w:val="30"/>
        </w:rPr>
        <w:t xml:space="preserve">4. Methodology</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4.1 Analytical Framework</w:t>
      </w:r>
    </w:p>
    <w:p>
      <w:pPr>
        <w:spacing w:after="80" w:before="80"/>
        <w:jc w:val="both"/>
      </w:pPr>
      <w:r>
        <w:rPr>
          <w:rFonts w:ascii="Arial" w:cs="Arial" w:eastAsia="Arial" w:hAnsi="Arial"/>
          <w:sz w:val="22"/>
          <w:szCs w:val="22"/>
        </w:rPr>
        <w:t xml:space="preserve">The overall analytical framework followed a standard supervised regression pipeline, informed by the Machine Learning Project Checklist from Hands-On Machine Learning (Géron). The workflow proceeded through five stages: data understanding and EDA, data cleaning and preprocessing, feature engineering, model selection and baseline evaluation, and hyperparameter tuning with final model selection.</w:t>
      </w:r>
    </w:p>
    <w:p>
      <w:pPr>
        <w:spacing w:after="80" w:before="80"/>
        <w:jc w:val="both"/>
      </w:pPr>
      <w:r>
        <w:rPr>
          <w:rFonts w:ascii="Arial" w:cs="Arial" w:eastAsia="Arial" w:hAnsi="Arial"/>
          <w:sz w:val="22"/>
          <w:szCs w:val="22"/>
        </w:rPr>
        <w:t xml:space="preserve">Mean Absolute Error (MAE) was selected as the primary evaluation metric rather than Root Mean Squared Error (RMSE). This choice was deliberate: MAE is easier to interpret in dollar terms and is less sensitive to the influence of extreme outliers, which are common in housing data even after cleaning. A prediction error of $135,000, for example, is directly interpretable in the context of property valuations that range from $80,000 to over $700,000 in the training set.</w:t>
      </w:r>
    </w:p>
    <w:p>
      <w:pPr>
        <w:spacing w:after="80" w:before="80"/>
        <w:jc w:val="both"/>
      </w:pPr>
      <w:r>
        <w:rPr>
          <w:rFonts w:ascii="Arial" w:cs="Arial" w:eastAsia="Arial" w:hAnsi="Arial"/>
          <w:sz w:val="22"/>
          <w:szCs w:val="22"/>
        </w:rPr>
        <w:t xml:space="preserve">Model generalization was assessed throughout using Repeated K-Fold Cross-Validation (5 folds repeated 5 times), which provides a more stable estimate of performance than a single train/validation split. This approach was used at every stage — baseline, feature engineering, feature selection, and tuning — so that improvements could be compared on a consistent basis. Validation curves were also examined during hyperparameter tuning to distinguish genuine performance gains from overfitting.</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4.2 Data Cleaning and Preprocessing</w:t>
      </w:r>
    </w:p>
    <w:p>
      <w:pPr>
        <w:spacing w:after="80" w:before="80"/>
        <w:jc w:val="both"/>
      </w:pPr>
      <w:r>
        <w:rPr>
          <w:rFonts w:ascii="Arial" w:cs="Arial" w:eastAsia="Arial" w:hAnsi="Arial"/>
          <w:sz w:val="22"/>
          <w:szCs w:val="22"/>
        </w:rPr>
        <w:t xml:space="preserve">The raw dataset required substantial cleaning before modeling could begin. The process followed four steps: column dropping, feature-level missingness filtering, row-level cleaning, and imputation.</w:t>
      </w:r>
    </w:p>
    <w:p>
      <w:pPr>
        <w:spacing w:after="80" w:before="80"/>
        <w:jc w:val="both"/>
      </w:pPr>
      <w:r>
        <w:rPr>
          <w:rFonts w:ascii="Arial" w:cs="Arial" w:eastAsia="Arial" w:hAnsi="Arial"/>
          <w:sz w:val="22"/>
          <w:szCs w:val="22"/>
        </w:rPr>
        <w:t xml:space="preserve">In the first step, eleven administrative and identifier columns were removed, including parcelid, propertyzoningdesc, assessmentyear, rawcensustractandblock, and several type-ID columns (airconditioningtypeid, decktypeid, heatingorsystemtypeid). These features carried no generalizable signal for predicting home values and would have introduced noise or near-unique values that behave like identifiers rather than predictors.</w:t>
      </w:r>
    </w:p>
    <w:p>
      <w:pPr>
        <w:spacing w:after="80" w:before="80"/>
        <w:jc w:val="both"/>
      </w:pPr>
      <w:r>
        <w:rPr>
          <w:rFonts w:ascii="Arial" w:cs="Arial" w:eastAsia="Arial" w:hAnsi="Arial"/>
          <w:sz w:val="22"/>
          <w:szCs w:val="22"/>
        </w:rPr>
        <w:t xml:space="preserve">Next, features with more than approximately 50% missing values were dropped. This threshold was chosen because imputing a majority of values would introduce more artificial structure than real information. Features removed at this stage included poolsizesum, numberofstories, and regionidneighborhood.</w:t>
      </w:r>
    </w:p>
    <w:p>
      <w:pPr>
        <w:spacing w:after="80" w:before="80"/>
        <w:jc w:val="both"/>
      </w:pPr>
      <w:r>
        <w:rPr>
          <w:rFonts w:ascii="Arial" w:cs="Arial" w:eastAsia="Arial" w:hAnsi="Arial"/>
          <w:sz w:val="22"/>
          <w:szCs w:val="22"/>
        </w:rPr>
        <w:t xml:space="preserve">At the row level, observations missing the target variable were removed first. Rows with more than 11 missing feature values (across the remaining columns) were also dropped, as these records lacked sufficient information to be reliably imputed. Finally, extreme outliers in the target variable were identified using the interquartile range (IQR) method and removed, reducing the dataset from approximately 77,613 to 72,392 rows. This step was beneficial for model stability, though it means the final model is less well-calibrated for very high-value luxury properties.</w:t>
      </w:r>
    </w:p>
    <w:p>
      <w:pPr>
        <w:spacing w:after="80" w:before="80"/>
        <w:jc w:val="both"/>
      </w:pPr>
      <w:r>
        <w:rPr>
          <w:rFonts w:ascii="Arial" w:cs="Arial" w:eastAsia="Arial" w:hAnsi="Arial"/>
          <w:sz w:val="22"/>
          <w:szCs w:val="22"/>
        </w:rPr>
        <w:t xml:space="preserve">For the remaining missing values in numeric features, median imputation was applied using scikit-learn's SimpleImputer. The median was preferred over the mean because it is robust to the skewed distributions that characterize housing data. No categorical features remained after the earlier dropping steps, so no mode imputation or encoding was required.</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4.3 Feature Engineering</w:t>
      </w:r>
    </w:p>
    <w:p>
      <w:pPr>
        <w:spacing w:after="80" w:before="80"/>
        <w:jc w:val="both"/>
      </w:pPr>
      <w:r>
        <w:rPr>
          <w:rFonts w:ascii="Arial" w:cs="Arial" w:eastAsia="Arial" w:hAnsi="Arial"/>
          <w:sz w:val="22"/>
          <w:szCs w:val="22"/>
        </w:rPr>
        <w:t xml:space="preserve">Five engineered features were created and evaluated, each motivated by specific patterns observed during 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log_sqft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log1p of calculatedfinishedsquarefeet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Reduces right skew; creates a more linear relationship with tax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log_lotsize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log1p of lotsizesquarefeet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reasoning; lot size is strongly right-skewed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sqft_x_lotsize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calculatedfinishedsquarefeet × lotsizesquarefeet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Captures synergy between interior size and land area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bed_bath_ratio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bedroomcnt / (bathroomcnt + 1)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for layout efficiency; unusual ratios may flag atypical properties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property_age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2016 − yearbuilt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More interpretable than raw year; directly captures aging effects on value</w:t>
            </w:r>
          </w:p>
        </w:tc>
      </w:tr>
    </w:tbl>
    <w:p>
      <w:pPr>
        <w:spacing w:after="60" w:before="60"/>
      </w:pPr>
      <w:r>
        <w:t xml:space="preserve"/>
      </w:r>
    </w:p>
    <w:p>
      <w:pPr>
        <w:spacing w:after="80" w:before="80"/>
        <w:jc w:val="both"/>
      </w:pPr>
      <w:r>
        <w:rPr>
          <w:rFonts w:ascii="Arial" w:cs="Arial" w:eastAsia="Arial" w:hAnsi="Arial"/>
          <w:sz w:val="22"/>
          <w:szCs w:val="22"/>
        </w:rPr>
        <w:t xml:space="preserve">Log transformations had the most measurable positive effect, particularly for Linear Regression, where the linear assumption is most sensitive to skewed inputs. For ensemble methods (Random Forest and Gradient Boosting), the improvement from feature engineering was minimal — an expected result, since tree-based models can internally approximate monotonic transformations and interaction effects through their splits.</w:t>
      </w:r>
    </w:p>
    <w:p>
      <w:pPr>
        <w:spacing w:after="80" w:before="80"/>
        <w:jc w:val="both"/>
      </w:pPr>
      <w:r>
        <w:rPr>
          <w:rFonts w:ascii="Arial" w:cs="Arial" w:eastAsia="Arial" w:hAnsi="Arial"/>
          <w:sz w:val="22"/>
          <w:szCs w:val="22"/>
        </w:rPr>
        <w:t xml:space="preserve">The sqft_x_lotsize interaction term and property_age showed moderate usefulness in feature importance rankings but did not produce statistically significant improvements in cross-validated MAE. The bed_bath_ratio feature had the weakest individual signal — likely because bedroomcnt and bathroomcnt individually already capture most of its information.</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4.4 Model Selection</w:t>
      </w:r>
    </w:p>
    <w:p>
      <w:pPr>
        <w:spacing w:after="80" w:before="80"/>
        <w:jc w:val="both"/>
      </w:pPr>
      <w:r>
        <w:rPr>
          <w:rFonts w:ascii="Arial" w:cs="Arial" w:eastAsia="Arial" w:hAnsi="Arial"/>
          <w:sz w:val="22"/>
          <w:szCs w:val="22"/>
        </w:rPr>
        <w:t xml:space="preserve">Three regression algorithms were evaluated as candidates for the final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 for Inclusion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Ridge Regression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Simple, interpretable linear baseline; appropriate for scaled features with potential multicollinearity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Regressor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of decision trees; handles nonlinearity and feature interactions without explicit transformations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Gradient Boosting Regressor</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Sequential boosting algorithm; typically the strongest performer on structured tabular data</w:t>
            </w:r>
          </w:p>
        </w:tc>
      </w:tr>
    </w:tbl>
    <w:p>
      <w:pPr>
        <w:spacing w:after="60" w:before="60"/>
      </w:pPr>
      <w:r>
        <w:t xml:space="preserve"/>
      </w:r>
    </w:p>
    <w:p>
      <w:pPr>
        <w:spacing w:after="80" w:before="80"/>
        <w:jc w:val="both"/>
      </w:pPr>
      <w:r>
        <w:rPr>
          <w:rFonts w:ascii="Arial" w:cs="Arial" w:eastAsia="Arial" w:hAnsi="Arial"/>
          <w:sz w:val="22"/>
          <w:szCs w:val="22"/>
        </w:rPr>
        <w:t xml:space="preserve">Each model was evaluated through four progressive stages: baseline (default settings), after feature engineering, after feature selection, and after hyperparameter tuning. Repeated 5×5 cross-validation on the training set was used at each stage to produce stable MAE estimates.</w:t>
      </w:r>
    </w:p>
    <w:p>
      <w:pPr>
        <w:spacing w:after="80" w:before="80"/>
        <w:jc w:val="both"/>
      </w:pPr>
      <w:r>
        <w:rPr>
          <w:rFonts w:ascii="Arial" w:cs="Arial" w:eastAsia="Arial" w:hAnsi="Arial"/>
          <w:sz w:val="22"/>
          <w:szCs w:val="22"/>
        </w:rPr>
        <w:t xml:space="preserve">Feature selection used a consensus of two methods: Random Forest feature importance (retaining features above a 1% importance threshold) and SelectKBest with F-regression (top 10 features). The union of both selections produced a 19-feature consensus set. Counterintuitively, this selection step did not improve any of the three models — all showed slight MAE increases — suggesting that the discarded features, despite their low importance scores, still contributed marginal signal.</w:t>
      </w:r>
    </w:p>
    <w:p>
      <w:pPr>
        <w:spacing w:after="80" w:before="80"/>
        <w:jc w:val="both"/>
      </w:pPr>
      <w:r>
        <w:rPr>
          <w:rFonts w:ascii="Arial" w:cs="Arial" w:eastAsia="Arial" w:hAnsi="Arial"/>
          <w:sz w:val="22"/>
          <w:szCs w:val="22"/>
        </w:rPr>
        <w:t xml:space="preserve">Hyperparameter tuning used GridSearchCV for Ridge Regression (searching over alpha values from 0.01 to 500) and RandomizedSearchCV for the two ensemble models (10 iterations each over a defined parameter grid). The best parameters for Gradient Boosting were: n_estimators=200, learning_rate=0.1, max_depth=5, subsample=0.9, min_samples_split=2. The best parameters for Random Forest were: n_estimators=200, max_depth=20, min_samples_split=5, min_samples_leaf=2, max_features='log2'.</w:t>
      </w:r>
    </w:p>
    <w:p>
      <w:pPr>
        <w:spacing w:after="80" w:before="80"/>
        <w:jc w:val="both"/>
      </w:pPr>
      <w:r>
        <w:rPr>
          <w:rFonts w:ascii="Arial" w:cs="Arial" w:eastAsia="Arial" w:hAnsi="Arial"/>
          <w:sz w:val="22"/>
          <w:szCs w:val="22"/>
        </w:rPr>
        <w:t xml:space="preserve">Gradient Boosting was selected as the final model based on its lowest tuned CV MAE of $134,794 and strong test set generalization (test MAE: $135,651), with no meaningful gap between training and test performance indicating absence of overfitting.</w:t>
      </w:r>
    </w:p>
    <w:p>
      <w:pPr>
        <w:spacing w:after="60" w:before="60"/>
      </w:pPr>
      <w:r>
        <w:t xml:space="preserve"/>
      </w:r>
    </w:p>
    <w:p>
      <w:pPr>
        <w:pStyle w:val="Heading1"/>
        <w:pBdr>
          <w:bottom w:val="single" w:color="2E4A7A" w:sz="6" w:space="1"/>
        </w:pBdr>
        <w:spacing w:after="120" w:before="360"/>
      </w:pPr>
      <w:r>
        <w:rPr>
          <w:rFonts w:ascii="Arial" w:cs="Arial" w:eastAsia="Arial" w:hAnsi="Arial"/>
          <w:b/>
          <w:bCs/>
          <w:color w:val="2E4A7A"/>
          <w:sz w:val="30"/>
          <w:szCs w:val="30"/>
        </w:rPr>
        <w:t xml:space="preserve">5. Results and Evaluation</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5.1 Model Performance</w:t>
      </w:r>
    </w:p>
    <w:p>
      <w:pPr>
        <w:spacing w:after="80" w:before="80"/>
        <w:jc w:val="both"/>
      </w:pPr>
      <w:r>
        <w:rPr>
          <w:rFonts w:ascii="Arial" w:cs="Arial" w:eastAsia="Arial" w:hAnsi="Arial"/>
          <w:sz w:val="22"/>
          <w:szCs w:val="22"/>
        </w:rPr>
        <w:t xml:space="preserve">The table below summarizes cross-validated MAE at each modeling stage for all three models: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22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Linear/Ridge Regression</w:t>
            </w:r>
          </w:p>
        </w:tc>
        <w:tc>
          <w:tcPr>
            <w:tcW w:type="dxa" w:w="22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Random Forest</w:t>
            </w:r>
          </w:p>
        </w:tc>
        <w:tc>
          <w:tcPr>
            <w:tcW w:type="dxa" w:w="224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Gradient Boosting</w:t>
            </w:r>
          </w:p>
        </w:tc>
      </w:tr>
      <w:tr>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 (default, CV MAE)</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$151,972</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$136,201</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$138,736</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Feature Engineering (CV MAE)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$151,673</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$136,205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$138,727</w:t>
            </w:r>
          </w:p>
        </w:tc>
      </w:tr>
      <w:tr>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Feature Selection (CV MAE)</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$152,400</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$136,253</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$138,761</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Tuned (CV MAE)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$152,400 (Ridge, α=0.01)</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$135,617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$134,794 ✓ BEST</w:t>
            </w:r>
          </w:p>
        </w:tc>
      </w:tr>
      <w:tr>
        <w:tc>
          <w:tcPr>
            <w:tcW w:type="dxa" w:w="26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Final Test MAE (held-out)</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2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$135,651</w:t>
            </w:r>
          </w:p>
        </w:tc>
      </w:tr>
    </w:tbl>
    <w:p>
      <w:pPr>
        <w:spacing w:after="60" w:before="60"/>
      </w:pPr>
      <w:r>
        <w:t xml:space="preserve"/>
      </w:r>
    </w:p>
    <w:p>
      <w:pPr>
        <w:spacing w:after="80" w:before="80"/>
        <w:jc w:val="both"/>
      </w:pPr>
      <w:r>
        <w:rPr>
          <w:rFonts w:ascii="Arial" w:cs="Arial" w:eastAsia="Arial" w:hAnsi="Arial"/>
          <w:sz w:val="22"/>
          <w:szCs w:val="22"/>
        </w:rPr>
        <w:t xml:space="preserve">In practical terms, the final Gradient Boosting model's test MAE of $135,651 means that on average, the model's predicted property value is off by approximately $136,000 from the actual tax-assessed value. Given that properties in this dataset range in value from roughly $80,000 to over $700,000 (after outlier removal), this represents a meaningful but not negligible margin of error — roughly 15–20% of a typical mid-range home value.</w:t>
      </w:r>
    </w:p>
    <w:p>
      <w:pPr>
        <w:spacing w:after="80" w:before="80"/>
        <w:jc w:val="both"/>
      </w:pPr>
      <w:r>
        <w:rPr>
          <w:rFonts w:ascii="Arial" w:cs="Arial" w:eastAsia="Arial" w:hAnsi="Arial"/>
          <w:sz w:val="22"/>
          <w:szCs w:val="22"/>
        </w:rPr>
        <w:t xml:space="preserve">The close alignment between the tuned CV MAE ($134,794) and the held-out test MAE ($135,651) — a gap of less than $1,000 — is a strong signal that the model generalizes well and was not overfitted during the tuning process. Ridge Regression's substantially higher MAE (~$152,000) confirms that this dataset's relationships are too nonlinear for a purely linear model to capture effectively.</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5.2 Key Visualizations</w:t>
      </w:r>
    </w:p>
    <w:p>
      <w:pPr>
        <w:spacing w:after="80" w:before="80"/>
        <w:jc w:val="both"/>
      </w:pPr>
      <w:r>
        <w:rPr>
          <w:rFonts w:ascii="Arial" w:cs="Arial" w:eastAsia="Arial" w:hAnsi="Arial"/>
          <w:sz w:val="22"/>
          <w:szCs w:val="22"/>
        </w:rPr>
        <w:t xml:space="preserve">Note to instructor: Visualizations from the Milestone 2 notebook (generated programmatically) are described here. Screenshots should be inserted into the corresponding cells of the submitted notebook.</w:t>
      </w:r>
    </w:p>
    <w:p>
      <w:pPr>
        <w:spacing w:after="60" w:before="60"/>
      </w:pPr>
      <w:r>
        <w:t xml:space="preserve"/>
      </w:r>
    </w:p>
    <w:p>
      <w:pPr>
        <w:spacing w:after="80" w:before="80"/>
        <w:jc w:val="both"/>
      </w:pPr>
      <w:r>
        <w:rPr>
          <w:rFonts w:ascii="Arial" w:cs="Arial" w:eastAsia="Arial" w:hAnsi="Arial"/>
          <w:b/>
          <w:bCs/>
          <w:sz w:val="22"/>
          <w:szCs w:val="22"/>
        </w:rPr>
        <w:t xml:space="preserve">Baseline Model Comparison Bar Chart (Part 1)</w:t>
      </w:r>
    </w:p>
    <w:p>
      <w:pPr>
        <w:spacing w:after="80" w:before="80"/>
        <w:jc w:val="both"/>
      </w:pPr>
      <w:r>
        <w:rPr>
          <w:rFonts w:ascii="Arial" w:cs="Arial" w:eastAsia="Arial" w:hAnsi="Arial"/>
          <w:sz w:val="22"/>
          <w:szCs w:val="22"/>
        </w:rPr>
        <w:t xml:space="preserve">A horizontal bar chart with error bars displays mean cross-validated MAE for all three baseline models. Random Forest ($136,201) and Gradient Boosting ($138,736) clearly outperformed Ridge Regression ($151,972), with tight error bars indicating stability across the 25 CV folds. This visualization established the initial performance hierarchy that guided subsequent modeling decisions.</w:t>
      </w:r>
    </w:p>
    <w:p>
      <w:pPr>
        <w:spacing w:after="60" w:before="60"/>
      </w:pPr>
      <w:r>
        <w:t xml:space="preserve"/>
      </w:r>
    </w:p>
    <w:p>
      <w:pPr>
        <w:spacing w:after="80" w:before="80"/>
        <w:jc w:val="both"/>
      </w:pPr>
      <w:r>
        <w:rPr>
          <w:rFonts w:ascii="Arial" w:cs="Arial" w:eastAsia="Arial" w:hAnsi="Arial"/>
          <w:b/>
          <w:bCs/>
          <w:sz w:val="22"/>
          <w:szCs w:val="22"/>
        </w:rPr>
        <w:t xml:space="preserve">Three-Stage MAE Comparison Chart (Part 3)</w:t>
      </w:r>
    </w:p>
    <w:p>
      <w:pPr>
        <w:spacing w:after="80" w:before="80"/>
        <w:jc w:val="both"/>
      </w:pPr>
      <w:r>
        <w:rPr>
          <w:rFonts w:ascii="Arial" w:cs="Arial" w:eastAsia="Arial" w:hAnsi="Arial"/>
          <w:sz w:val="22"/>
          <w:szCs w:val="22"/>
        </w:rPr>
        <w:t xml:space="preserve">A grouped bar chart shows MAE across all three models at three stages (Baseline, + Feature Engineering, + Feature Selection). The chart visually confirms that feature engineering produced only marginal changes and that feature selection did not improve any model — a key finding that informed the decision to return to the full engineered feature set for final tuning.</w:t>
      </w:r>
    </w:p>
    <w:p>
      <w:pPr>
        <w:spacing w:after="60" w:before="60"/>
      </w:pPr>
      <w:r>
        <w:t xml:space="preserve"/>
      </w:r>
    </w:p>
    <w:p>
      <w:pPr>
        <w:spacing w:after="80" w:before="80"/>
        <w:jc w:val="both"/>
      </w:pPr>
      <w:r>
        <w:rPr>
          <w:rFonts w:ascii="Arial" w:cs="Arial" w:eastAsia="Arial" w:hAnsi="Arial"/>
          <w:b/>
          <w:bCs/>
          <w:sz w:val="22"/>
          <w:szCs w:val="22"/>
        </w:rPr>
        <w:t xml:space="preserve">Predicted vs. Actual Scatter Plot (Part 5)</w:t>
      </w:r>
    </w:p>
    <w:p>
      <w:pPr>
        <w:spacing w:after="80" w:before="80"/>
        <w:jc w:val="both"/>
      </w:pPr>
      <w:r>
        <w:rPr>
          <w:rFonts w:ascii="Arial" w:cs="Arial" w:eastAsia="Arial" w:hAnsi="Arial"/>
          <w:sz w:val="22"/>
          <w:szCs w:val="22"/>
        </w:rPr>
        <w:t xml:space="preserve">A scatter plot of the final model's predictions against actual tax values on the held-out test set, with a red dashed 45-degree reference line representing perfect prediction. Points cluster tightly around the line in the mid-value range ($100K–$500K), confirming the model performs well for typical properties. Spread increases at higher values, reflecting the model's reduced accuracy for luxury or high-value homes — a direct consequence of those properties having been partially removed during outlier cleaning.</w:t>
      </w:r>
    </w:p>
    <w:p>
      <w:pPr>
        <w:spacing w:after="60" w:before="60"/>
      </w:pPr>
      <w:r>
        <w:t xml:space="preserve"/>
      </w:r>
    </w:p>
    <w:p>
      <w:pPr>
        <w:spacing w:after="80" w:before="80"/>
        <w:jc w:val="both"/>
      </w:pPr>
      <w:r>
        <w:rPr>
          <w:rFonts w:ascii="Arial" w:cs="Arial" w:eastAsia="Arial" w:hAnsi="Arial"/>
          <w:b/>
          <w:bCs/>
          <w:sz w:val="22"/>
          <w:szCs w:val="22"/>
        </w:rPr>
        <w:t xml:space="preserve">Residual Analysis (Part 5)</w:t>
      </w:r>
    </w:p>
    <w:p>
      <w:pPr>
        <w:spacing w:after="80" w:before="80"/>
        <w:jc w:val="both"/>
      </w:pPr>
      <w:r>
        <w:rPr>
          <w:rFonts w:ascii="Arial" w:cs="Arial" w:eastAsia="Arial" w:hAnsi="Arial"/>
          <w:sz w:val="22"/>
          <w:szCs w:val="22"/>
        </w:rPr>
        <w:t xml:space="preserve">Two side-by-side panels: (1) a scatter plot of residuals versus predicted values, showing that residuals are centered near zero across the full prediction range with some widening at high predicted values; and (2) a histogram of residuals, showing a roughly symmetric, bell-shaped distribution centered at zero. This confirms no strong systematic bias in the model's predictions and supports the validity of MAE as the error metric.</w:t>
      </w:r>
    </w:p>
    <w:p>
      <w:pPr>
        <w:spacing w:after="60" w:before="60"/>
      </w:pPr>
      <w:r>
        <w:t xml:space="preserve"/>
      </w:r>
    </w:p>
    <w:p>
      <w:pPr>
        <w:spacing w:after="80" w:before="80"/>
        <w:jc w:val="both"/>
      </w:pPr>
      <w:r>
        <w:rPr>
          <w:rFonts w:ascii="Arial" w:cs="Arial" w:eastAsia="Arial" w:hAnsi="Arial"/>
          <w:b/>
          <w:bCs/>
          <w:sz w:val="22"/>
          <w:szCs w:val="22"/>
        </w:rPr>
        <w:t xml:space="preserve">Random Forest Feature Importances (Part 3)</w:t>
      </w:r>
    </w:p>
    <w:p>
      <w:pPr>
        <w:spacing w:after="80" w:before="80"/>
        <w:jc w:val="both"/>
      </w:pPr>
      <w:r>
        <w:rPr>
          <w:rFonts w:ascii="Arial" w:cs="Arial" w:eastAsia="Arial" w:hAnsi="Arial"/>
          <w:sz w:val="22"/>
          <w:szCs w:val="22"/>
        </w:rPr>
        <w:t xml:space="preserve">A horizontal bar chart of the top 15 feature importances from a Random Forest fitted on the full engineered feature set. Latitude and longitude are the two most important features by a substantial margin, followed by log_sqft (the log-transformed finished square footage). This visualization provides the clearest evidence that geographic location dominates home value prediction in this dataset — a finding that is highly consistent with real estate domain knowledge.</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5.3 Error Analysis</w:t>
      </w:r>
    </w:p>
    <w:p>
      <w:pPr>
        <w:spacing w:after="80" w:before="80"/>
        <w:jc w:val="both"/>
      </w:pPr>
      <w:r>
        <w:rPr>
          <w:rFonts w:ascii="Arial" w:cs="Arial" w:eastAsia="Arial" w:hAnsi="Arial"/>
          <w:sz w:val="22"/>
          <w:szCs w:val="22"/>
        </w:rPr>
        <w:t xml:space="preserve">The residual plots from the final model reveal several important patterns. Residuals — the differences between actual and predicted values — are centered near zero across the full range of predicted values, indicating no systematic directional bias. The model is neither consistently over-predicting nor under-predicting for the bulk of properties.</w:t>
      </w:r>
    </w:p>
    <w:p>
      <w:pPr>
        <w:spacing w:after="80" w:before="80"/>
        <w:jc w:val="both"/>
      </w:pPr>
      <w:r>
        <w:rPr>
          <w:rFonts w:ascii="Arial" w:cs="Arial" w:eastAsia="Arial" w:hAnsi="Arial"/>
          <w:sz w:val="22"/>
          <w:szCs w:val="22"/>
        </w:rPr>
        <w:t xml:space="preserve">However, the residual scatter plot shows a clear fan-shaped pattern: the spread of residuals grows substantially for properties with higher predicted values (above approximately $400,000). This heteroscedasticity indicates that the model becomes less precise for higher-value homes. This was expected: the IQR-based outlier removal disproportionately eliminated extreme high-value properties from the training data, leaving the model with fewer examples to learn from in the upper price range.</w:t>
      </w:r>
    </w:p>
    <w:p>
      <w:pPr>
        <w:spacing w:after="80" w:before="80"/>
        <w:jc w:val="both"/>
      </w:pPr>
      <w:r>
        <w:rPr>
          <w:rFonts w:ascii="Arial" w:cs="Arial" w:eastAsia="Arial" w:hAnsi="Arial"/>
          <w:sz w:val="22"/>
          <w:szCs w:val="22"/>
        </w:rPr>
        <w:t xml:space="preserve">The residual histogram shows a roughly symmetric, bell-shaped distribution, which is a positive indicator. However, the tails extend further than a standard normal distribution, meaning there are more large errors than a perfectly calibrated model would produce. The largest prediction errors (exceeding $200,000–$300,000) are concentrated among high-value properties and may also reflect genuine data quality issues — properties with unusual characteristics or data entry inconsistencies that the model cannot reliably handle.</w:t>
      </w:r>
    </w:p>
    <w:p>
      <w:pPr>
        <w:spacing w:after="80" w:before="80"/>
        <w:jc w:val="both"/>
      </w:pPr>
      <w:r>
        <w:rPr>
          <w:rFonts w:ascii="Arial" w:cs="Arial" w:eastAsia="Arial" w:hAnsi="Arial"/>
          <w:sz w:val="22"/>
          <w:szCs w:val="22"/>
        </w:rPr>
        <w:t xml:space="preserve">One notable and somewhat surprising finding was that feature selection did not improve performance. Removing lower-importance features from the dataset consistently increased MAE (though only slightly) across all three models. This suggests that even features with low F-statistics or importance scores contribute marginal but non-trivial signal. A more aggressive regularization approach — such as higher Ridge alpha values or Lasso regression — might be a more principled way to handle redundant features without removing them entirely.</w:t>
      </w:r>
    </w:p>
    <w:p>
      <w:pPr>
        <w:spacing w:after="60" w:before="60"/>
      </w:pPr>
      <w:r>
        <w:t xml:space="preserve"/>
      </w:r>
    </w:p>
    <w:p>
      <w:pPr>
        <w:pStyle w:val="Heading1"/>
        <w:pBdr>
          <w:bottom w:val="single" w:color="2E4A7A" w:sz="6" w:space="1"/>
        </w:pBdr>
        <w:spacing w:after="120" w:before="360"/>
      </w:pPr>
      <w:r>
        <w:rPr>
          <w:rFonts w:ascii="Arial" w:cs="Arial" w:eastAsia="Arial" w:hAnsi="Arial"/>
          <w:b/>
          <w:bCs/>
          <w:color w:val="2E4A7A"/>
          <w:sz w:val="30"/>
          <w:szCs w:val="30"/>
        </w:rPr>
        <w:t xml:space="preserve">6. Conclusion</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6.1 Main Findings</w:t>
      </w:r>
    </w:p>
    <w:p>
      <w:pPr>
        <w:spacing w:after="80" w:before="80"/>
        <w:jc w:val="both"/>
      </w:pPr>
      <w:r>
        <w:rPr>
          <w:rFonts w:ascii="Arial" w:cs="Arial" w:eastAsia="Arial" w:hAnsi="Arial"/>
          <w:sz w:val="22"/>
          <w:szCs w:val="22"/>
        </w:rPr>
        <w:t xml:space="preserve">This project successfully built a property valuation model using the Zillow housing dataset. The Gradient Boosting Regressor, tuned with RandomizedSearchCV, achieved the best performance with a cross-validated MAE of $134,794 and a held-out test MAE of $135,651 — the two being nearly identical, confirming reliable generalization. The model outperformed both Ridge Regression (~$152,000 MAE) and a default Random Forest (~$136,200 MAE baseline).</w:t>
      </w:r>
    </w:p>
    <w:p>
      <w:pPr>
        <w:spacing w:after="80" w:before="80"/>
        <w:jc w:val="both"/>
      </w:pPr>
      <w:r>
        <w:rPr>
          <w:rFonts w:ascii="Arial" w:cs="Arial" w:eastAsia="Arial" w:hAnsi="Arial"/>
          <w:sz w:val="22"/>
          <w:szCs w:val="22"/>
        </w:rPr>
        <w:t xml:space="preserve">The most important analytical finding was the dominant role of geographic location: latitude and longitude were the two highest-importance features by a large margin, consistent with real estate's foundational principle that value is driven by place. After location, the size of the finished living area (and its log transformation) emerged as the next most powerful predictor. Year of construction, lot size, and building quality also contributed meaningfully.</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6.2 Business Implications</w:t>
      </w:r>
    </w:p>
    <w:p>
      <w:pPr>
        <w:spacing w:after="80" w:before="80"/>
        <w:jc w:val="both"/>
      </w:pPr>
      <w:r>
        <w:rPr>
          <w:rFonts w:ascii="Arial" w:cs="Arial" w:eastAsia="Arial" w:hAnsi="Arial"/>
          <w:sz w:val="22"/>
          <w:szCs w:val="22"/>
        </w:rPr>
        <w:t xml:space="preserve">For a real estate company, these findings carry several practical implications. First, any valuation model that omits or poorly captures geographic information will systematically underperform. Investing in richer geographic and neighborhood-level data — such as school district ratings, walkability scores, or proximity to amenities — is likely to produce the largest marginal improvement in accuracy.</w:t>
      </w:r>
    </w:p>
    <w:p>
      <w:pPr>
        <w:spacing w:after="80" w:before="80"/>
        <w:jc w:val="both"/>
      </w:pPr>
      <w:r>
        <w:rPr>
          <w:rFonts w:ascii="Arial" w:cs="Arial" w:eastAsia="Arial" w:hAnsi="Arial"/>
          <w:sz w:val="22"/>
          <w:szCs w:val="22"/>
        </w:rPr>
        <w:t xml:space="preserve">Second, the model's performance in the mid-value range is strong and reliable enough to support automated valuation tools for typical residential properties. The model can be incorporated into internal pricing dashboards, listing-price recommendation tools, and customer-facing Zestimate-style features with reasonable confidence.</w:t>
      </w:r>
    </w:p>
    <w:p>
      <w:pPr>
        <w:spacing w:after="80" w:before="80"/>
        <w:jc w:val="both"/>
      </w:pPr>
      <w:r>
        <w:rPr>
          <w:rFonts w:ascii="Arial" w:cs="Arial" w:eastAsia="Arial" w:hAnsi="Arial"/>
          <w:sz w:val="22"/>
          <w:szCs w:val="22"/>
        </w:rPr>
        <w:t xml:space="preserve">Third, marketing teams can use the feature importance findings to communicate value drivers clearly to customers — emphasizing location, home size, and construction recency as the primary determinants of what a property is worth.</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6.3 Limitations</w:t>
      </w:r>
    </w:p>
    <w:p>
      <w:pPr>
        <w:spacing w:after="80" w:before="80"/>
        <w:jc w:val="both"/>
      </w:pPr>
      <w:r>
        <w:rPr>
          <w:rFonts w:ascii="Arial" w:cs="Arial" w:eastAsia="Arial" w:hAnsi="Arial"/>
          <w:sz w:val="22"/>
          <w:szCs w:val="22"/>
        </w:rPr>
        <w:t xml:space="preserve">Several limitations should be acknowledged transparently. The model performs less well for high-value properties, partly because extreme values were removed during outlier cleaning. The dataset appears to represent a specific geographic region and time period; generalizability to other markets or more recent data is uncertain. Additionally, the model does not incorporate important value drivers that are absent from this dataset, such as school quality, neighborhood crime rates, renovation history, or local market conditions. Finally, using tax-assessed value as the target variable introduces a known limitation: tax assessments may lag behind actual market prices and can vary by jurisdiction in ways the model cannot fully account for.</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6.4 Future Directions and Final Recommendation</w:t>
      </w:r>
    </w:p>
    <w:p>
      <w:pPr>
        <w:spacing w:after="80" w:before="80"/>
        <w:jc w:val="both"/>
      </w:pPr>
      <w:r>
        <w:rPr>
          <w:rFonts w:ascii="Arial" w:cs="Arial" w:eastAsia="Arial" w:hAnsi="Arial"/>
          <w:sz w:val="22"/>
          <w:szCs w:val="22"/>
        </w:rPr>
        <w:t xml:space="preserve">Potential improvements include: incorporating additional geographic features (neighborhood-level data, proximity scores); experimenting with XGBoost or LightGBM, which may outperform scikit-learn's Gradient Boosting on large tabular datasets; building a separate model or applying higher weighting to luxury properties; and regularly retraining the model as new property data becomes available to prevent model drift.</w:t>
      </w:r>
    </w:p>
    <w:p>
      <w:pPr>
        <w:spacing w:after="80" w:before="80"/>
        <w:jc w:val="both"/>
      </w:pPr>
      <w:r>
        <w:rPr>
          <w:rFonts w:ascii="Arial" w:cs="Arial" w:eastAsia="Arial" w:hAnsi="Arial"/>
          <w:sz w:val="22"/>
          <w:szCs w:val="22"/>
        </w:rPr>
        <w:t xml:space="preserve">The final recommendation is to deploy the tuned Gradient Boosting Regressor as the backbone of an internal property valuation tool. It provides consistent, data-driven price estimates for the core residential market segment, can be updated with new data, and offers interpretable feature importance information that supports both product development and marketing strategy. A phased rollout — beginning with internal use by analysts before expanding to customer-facing applications — would allow the team to monitor real-world performance and iterate before broader deployment.</w:t>
      </w:r>
    </w:p>
    <w:p>
      <w:pPr>
        <w:spacing w:after="60" w:before="60"/>
      </w:pPr>
      <w:r>
        <w:t xml:space="preserve"/>
      </w:r>
    </w:p>
    <w:p>
      <w:pPr>
        <w:pBdr>
          <w:top w:val="single" w:color="2E4A7A" w:sz="4" w:space="1"/>
        </w:pBdr>
        <w:spacing w:before="480"/>
        <w:jc w:val="center"/>
      </w:pPr>
      <w:r>
        <w:rPr>
          <w:rFonts w:ascii="Arial" w:cs="Arial" w:eastAsia="Arial" w:hAnsi="Arial"/>
          <w:i/>
          <w:iCs/>
          <w:color w:val="888888"/>
          <w:sz w:val="20"/>
          <w:szCs w:val="20"/>
        </w:rPr>
        <w:t xml:space="preserve">— End of Report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2026-04-11T20:31:47.930Z</dcterms:created>
  <dcterms:modified xsi:type="dcterms:W3CDTF">2026-04-11T20:31:47.930Z</dcterms:modified>
</cp:coreProperties>
</file>

<file path=docProps/custom.xml><?xml version="1.0" encoding="utf-8"?>
<Properties xmlns="http://schemas.openxmlformats.org/officeDocument/2006/custom-properties" xmlns:vt="http://schemas.openxmlformats.org/officeDocument/2006/docPropsVTypes"/>
</file>