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Protomeus 2 – Responsible Protein Variant &amp; Structural Analysis Platform</w:t>
      </w:r>
    </w:p>
    <w:p>
      <w:r>
        <w:t>Protomeus 2 is a publication-grade computational framework designed for responsible comparison, interpretation, and visualization of protein variants at the sequence, physicochemical, and structural levels. It is built to prevent misuse by automatically assessing protein comparability and restricting analyses when biological assumptions are violated.</w:t>
      </w:r>
    </w:p>
    <w:p>
      <w:pPr>
        <w:pStyle w:val="Heading2"/>
      </w:pPr>
      <w:r>
        <w:t>1. What Protomeus 2 Does</w:t>
      </w:r>
    </w:p>
    <w:p>
      <w:r>
        <w:t>- Extracts protein sequences from PDB structures</w:t>
        <w:br/>
        <w:t>- Performs global sequence alignment using BLOSUM62</w:t>
        <w:br/>
        <w:t>- Quantifies sequence identity and coverage</w:t>
        <w:br/>
        <w:t>- Detects substitutions, insertions, and deletions</w:t>
        <w:br/>
        <w:t>- Computes physicochemical properties (MW, pI, GRAVY, stability)</w:t>
        <w:br/>
        <w:t>- Performs structure superimposition ONLY for homologous proteins</w:t>
        <w:br/>
        <w:t>- Generates mutation summary visualization</w:t>
        <w:br/>
        <w:t>- Integrates external pathogenicity and dynamics tools</w:t>
      </w:r>
    </w:p>
    <w:p>
      <w:pPr>
        <w:pStyle w:val="Heading2"/>
      </w:pPr>
      <w:r>
        <w:t>2. What Protomeus 2 Does NOT Do</w:t>
      </w:r>
    </w:p>
    <w:p>
      <w:r>
        <w:t>- Does NOT infer pathogenicity automatically</w:t>
        <w:br/>
        <w:t>- Does NOT compare non-homologous proteins structurally</w:t>
        <w:br/>
        <w:t>- Does NOT predict clinical outcomes</w:t>
        <w:br/>
        <w:t>- Does NOT replace wet-lab validation</w:t>
        <w:br/>
        <w:t>- Does NOT assume all mutations are functional</w:t>
      </w:r>
    </w:p>
    <w:p>
      <w:pPr>
        <w:pStyle w:val="Heading2"/>
      </w:pPr>
      <w:r>
        <w:t>3. Core Calculations</w:t>
      </w:r>
    </w:p>
    <w:p>
      <w:r>
        <w:t>Sequence Alignment:</w:t>
        <w:br/>
        <w:t>Global alignment is performed using Biopython PairwiseAligner with BLOSUM62.</w:t>
        <w:br/>
        <w:br/>
        <w:t>Identity = (Exact Matches) / (Aligned Positions)</w:t>
        <w:br/>
        <w:t>Coverage = (Aligned Positions) / (Total Sequence Length)</w:t>
        <w:br/>
        <w:br/>
        <w:t>Physicochemical Analysis:</w:t>
        <w:br/>
        <w:t>Computed using ProtParam including molecular weight, isoelectric point, GRAVY score, and instability index.</w:t>
        <w:br/>
        <w:br/>
        <w:t>Structural Superposition:</w:t>
        <w:br/>
        <w:t>Kabsch algorithm applied ONLY to aligned Cα atoms.</w:t>
      </w:r>
    </w:p>
    <w:p>
      <w:pPr>
        <w:pStyle w:val="Heading2"/>
      </w:pPr>
      <w:r>
        <w:t>4. Responsible Safeguards</w:t>
      </w:r>
    </w:p>
    <w:p>
      <w:r>
        <w:t>- Automatic homology validation</w:t>
        <w:br/>
        <w:t>- Structural analysis disabled below identity threshold (30%)</w:t>
        <w:br/>
        <w:t>- Alignment-restricted mutation mapping</w:t>
        <w:br/>
        <w:t>- Clear warnings for low comparability</w:t>
        <w:br/>
        <w:t>- Prevents misleading RMSD or folding interpretations</w:t>
      </w:r>
    </w:p>
    <w:p>
      <w:pPr>
        <w:pStyle w:val="Heading2"/>
      </w:pPr>
      <w:r>
        <w:t>5. Limitations</w:t>
      </w:r>
    </w:p>
    <w:p>
      <w:r>
        <w:t>- Depends on PDB structural quality</w:t>
        <w:br/>
        <w:t>- Limited by accuracy of input structures</w:t>
        <w:br/>
        <w:t>- Cannot detect long-range allosteric effects</w:t>
        <w:br/>
        <w:t>- Does not model post-translational modifications</w:t>
        <w:br/>
        <w:t>- Single-chain focused analysis</w:t>
      </w:r>
    </w:p>
    <w:p>
      <w:pPr>
        <w:pStyle w:val="Heading2"/>
      </w:pPr>
      <w:r>
        <w:t>6. Intended Use Cases</w:t>
      </w:r>
    </w:p>
    <w:p>
      <w:r>
        <w:t>- Academic research</w:t>
        <w:br/>
        <w:t>- Variant prioritization</w:t>
        <w:br/>
        <w:t>- Structural biology education</w:t>
        <w:br/>
        <w:t>- Thesis and dissertation work</w:t>
        <w:br/>
        <w:t>- Pre-screening before wet-lab experiments</w:t>
      </w:r>
    </w:p>
    <w:p>
      <w:pPr>
        <w:pStyle w:val="Heading2"/>
      </w:pPr>
      <w:r>
        <w:t>7. Ethical &amp; Scientific Responsibility</w:t>
      </w:r>
    </w:p>
    <w:p>
      <w:r>
        <w:t>Protomeus 2 is designed to explicitly prevent overinterpretation. Users are responsible for downstream conclusions and must validate findings experimentally.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