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00"/>
      </w:pPr>
      <w:r>
        <w:rPr>
          <w:rFonts w:ascii="Calibri" w:hAnsi="Calibri" w:eastAsia="Calibri" w:cs="Calibri"/>
          <w:b/>
          <w:color w:val="176BFF"/>
          <w:sz w:val="19"/>
        </w:rPr>
        <w:t>SEO MANAGER REVIEW</w:t>
      </w:r>
    </w:p>
    <w:p>
      <w:pPr>
        <w:pStyle w:val="Title"/>
      </w:pPr>
      <w:r>
        <w:rPr>
          <w:rFonts w:ascii="Calibri" w:hAnsi="Calibri" w:eastAsia="Calibri" w:cs="Calibri"/>
          <w:b/>
          <w:color w:val="0A1020"/>
          <w:sz w:val="50"/>
        </w:rPr>
        <w:t>Innovatek SWD - Head Tag SEO Review</w:t>
      </w:r>
    </w:p>
    <w:p>
      <w:pPr>
        <w:pStyle w:val="Subtitle"/>
      </w:pPr>
      <w:r>
        <w:rPr>
          <w:rFonts w:ascii="Calibri" w:hAnsi="Calibri" w:eastAsia="Calibri" w:cs="Calibri"/>
          <w:b w:val="0"/>
          <w:i/>
          <w:color w:val="5C667A"/>
          <w:sz w:val="25"/>
        </w:rPr>
        <w:t>All current page titles, meta descriptions and implemented keyword tags - one feedback field</w:t>
      </w:r>
    </w:p>
    <w:p>
      <w:pPr>
        <w:spacing w:before="60" w:after="220" w:line="274" w:lineRule="auto"/>
        <w:ind w:left="140" w:right="140"/>
        <w:shd w:fill="EDF2F9"/>
        <w:pBdr>
          <w:top w:val="single" w:sz="6" w:space="5" w:color="DDE3EE"/>
          <w:left w:val="single" w:sz="6" w:space="5" w:color="DDE3EE"/>
          <w:bottom w:val="single" w:sz="6" w:space="5" w:color="DDE3EE"/>
          <w:right w:val="single" w:sz="6" w:space="5" w:color="DDE3EE"/>
        </w:pBdr>
      </w:pPr>
      <w:r>
        <w:rPr>
          <w:rFonts w:ascii="Calibri" w:hAnsi="Calibri" w:eastAsia="Calibri" w:cs="Calibri"/>
          <w:b/>
          <w:i w:val="0"/>
          <w:color w:val="0A1020"/>
          <w:sz w:val="19"/>
        </w:rPr>
        <w:t xml:space="preserve">Scope: </w:t>
      </w:r>
      <w:r>
        <w:rPr>
          <w:rFonts w:ascii="Calibri" w:hAnsi="Calibri" w:eastAsia="Calibri" w:cs="Calibri"/>
          <w:b w:val="0"/>
          <w:i w:val="0"/>
          <w:color w:val="0A1020"/>
          <w:sz w:val="19"/>
        </w:rPr>
        <w:t>20 rendered routes. This file includes only SEO information from the HTML head: title tags, meta descriptions, implemented keyword tags and robots index status. It does not include headings or body-page content.</w:t>
      </w:r>
    </w:p>
    <w:p>
      <w:pPr>
        <w:spacing w:before="60" w:after="220" w:line="274" w:lineRule="auto"/>
        <w:ind w:left="140" w:right="140"/>
        <w:shd w:fill="FFF6D9"/>
        <w:pBdr>
          <w:top w:val="single" w:sz="6" w:space="5" w:color="DDE3EE"/>
          <w:left w:val="single" w:sz="6" w:space="5" w:color="DDE3EE"/>
          <w:bottom w:val="single" w:sz="6" w:space="5" w:color="DDE3EE"/>
          <w:right w:val="single" w:sz="6" w:space="5" w:color="DDE3EE"/>
        </w:pBdr>
      </w:pPr>
      <w:r>
        <w:rPr>
          <w:rFonts w:ascii="Calibri" w:hAnsi="Calibri" w:eastAsia="Calibri" w:cs="Calibri"/>
          <w:b/>
          <w:i w:val="0"/>
          <w:color w:val="0A1020"/>
          <w:sz w:val="19"/>
        </w:rPr>
        <w:t xml:space="preserve">Keyword tag status: </w:t>
      </w:r>
      <w:r>
        <w:rPr>
          <w:rFonts w:ascii="Calibri" w:hAnsi="Calibri" w:eastAsia="Calibri" w:cs="Calibri"/>
          <w:b w:val="0"/>
          <w:i w:val="0"/>
          <w:color w:val="0A1020"/>
          <w:sz w:val="19"/>
        </w:rPr>
        <w:t>Implemented on all 20 reviewed routes. Every page has its own focused English or Arabic &lt;meta name="keywords"&gt; value, and the exact values are shown below.</w:t>
      </w:r>
    </w:p>
    <w:p>
      <w:pPr>
        <w:pStyle w:val="Heading1"/>
      </w:pPr>
      <w:r>
        <w:rPr>
          <w:rFonts w:ascii="Calibri" w:hAnsi="Calibri" w:eastAsia="Calibri" w:cs="Calibri"/>
          <w:b/>
          <w:i w:val="0"/>
          <w:color w:val="0D51CD"/>
          <w:sz w:val="32"/>
        </w:rPr>
        <w:t>Consolidated keywords implemented in current head tags</w:t>
      </w:r>
    </w:p>
    <w:p>
      <w:pPr>
        <w:spacing w:before="0" w:after="60" w:line="276" w:lineRule="auto"/>
      </w:pPr>
      <w:r>
        <w:rPr>
          <w:rFonts w:ascii="Calibri" w:hAnsi="Calibri" w:eastAsia="Calibri" w:cs="Calibri"/>
          <w:b/>
          <w:i w:val="0"/>
          <w:color w:val="0D51CD"/>
          <w:sz w:val="21"/>
        </w:rPr>
        <w:t>English keyword tags</w:t>
      </w:r>
    </w:p>
    <w:p>
      <w:pPr>
        <w:spacing w:before="0" w:after="160" w:line="276" w:lineRule="auto"/>
      </w:pPr>
      <w:r>
        <w:rPr>
          <w:rFonts w:ascii="Calibri" w:hAnsi="Calibri" w:eastAsia="Calibri" w:cs="Calibri"/>
          <w:b w:val="0"/>
          <w:i w:val="0"/>
          <w:color w:val="0A1020"/>
          <w:sz w:val="15"/>
        </w:rPr>
        <w:t>Innovatek SWD; AI operational software UAE; Arabic-ready business software; donation management software; facility management software; visitor management system; AI customer communication platform; Dubai software company; operational software solutions UAE; donation management platform; CMMS software UAE; facilities maintenance software; visitor management software; AI communication platform; Arabic-ready software; UAE software company; Arabic software development; operational software product team; enterprise software integration UAE; AI software company UAE; Innovatek SWD contact; book software consultation Dubai; operational software working session; AI software consultation UAE; donation software demo; facility management software demo; visitor management system demo; Innovatek SWD sales; Donation Hub; donation management software UAE; charity donation platform; fundraising management software; donation kiosk software; digital donation platform; donation reconciliation software; foundation management software; Bunyan CMMS; Twin AI; maintenance management system; asset management software; work order management; facilities maintenance platform; Smart VMS; visitor management system UAE; visitor registration software; contractor management system; reception management software; access control visitor management; host notification system; secure visitor check-in; Communication Platform; omnichannel customer service UAE; unified inbox software; customer engagement platform; AI customer support software; email messaging workflow; customer request management; Innovatek SWD privacy notice; website privacy policy UAE; Innovatek data privacy; Innovatek SWD website terms; website terms of use UAE; Innovatek terms and conditions</w:t>
      </w:r>
    </w:p>
    <w:p>
      <w:pPr>
        <w:spacing w:before="0" w:after="60" w:line="276" w:lineRule="auto"/>
        <w:bidi w:val="1"/>
        <w:jc w:val="right"/>
      </w:pPr>
      <w:r>
        <w:rPr>
          <w:rFonts w:ascii="Arial" w:hAnsi="Arial" w:eastAsia="Arial" w:cs="Arial"/>
          <w:b/>
          <w:i w:val="0"/>
          <w:color w:val="0D51CD"/>
          <w:sz w:val="21"/>
        </w:rPr>
        <w:t>الكلمات المفتاحية العربية</w:t>
      </w:r>
    </w:p>
    <w:p>
      <w:pPr>
        <w:spacing w:before="0" w:after="0" w:line="276" w:lineRule="auto"/>
        <w:bidi w:val="1"/>
        <w:jc w:val="right"/>
      </w:pPr>
      <w:r>
        <w:rPr>
          <w:rFonts w:ascii="Arial" w:hAnsi="Arial" w:eastAsia="Arial" w:cs="Arial"/>
          <w:b w:val="0"/>
          <w:i w:val="0"/>
          <w:color w:val="0A1020"/>
          <w:sz w:val="15"/>
        </w:rPr>
        <w:t>إنوفاتك SWD؛ برمجيات تشغيلية ذكية في الإمارات؛ برمجيات أعمال عربية؛ برنامج إدارة التبرعات؛ برنامج إدارة المرافق؛ نظام إدارة الزوار؛ منصة تواصل ذكية مع العملاء؛ شركة برمجيات في دبي؛ حلول البرمجيات التشغيلية؛ نظام إدارة صيانة المرافق؛ برنامج CMMS في الإمارات؛ منصة تواصل ذكية؛ شركة برمجيات في الإمارات؛ تطوير برمجيات عربية؛ فريق منتجات برمجية؛ تكامل الأنظمة في الإمارات؛ شركة ذكاء اصطناعي في الإمارات؛ التواصل مع إنوفاتك SWD؛ حجز استشارة برمجيات في دبي؛ جلسة عمل للبرمجيات التشغيلية؛ استشارة ذكاء اصطناعي في الإمارات؛ عرض برنامج إدارة التبرعات؛ عرض برنامج إدارة المرافق؛ عرض نظام إدارة الزوار؛ مبيعات إنوفاتك؛ Donation Hub؛ برنامج إدارة التبرعات في الإمارات؛ منصة تبرعات للجمعيات الخيرية؛ برنامج إدارة جمع التبرعات؛ برنامج أكشاك التبرع؛ منصة تبرعات رقمية؛ برنامج مطابقة التبرعات؛ برنامج إدارة المؤسسات الخيرية؛ بنيان CMMS؛ Twin AI؛ نظام إدارة الصيانة؛ برنامج إدارة الأصول؛ إدارة أوامر العمل؛ منصة صيانة المرافق؛ Smart VMS؛ نظام إدارة الزوار في الإمارات؛ برنامج تسجيل الزوار؛ نظام إدارة المقاولين؛ برنامج إدارة الاستقبال؛ إدارة الزوار والتحكم بالدخول؛ نظام إشعارات المضيف؛ تسجيل دخول الزوار الآمن؛ منصة التواصل؛ خدمة عملاء متعددة القنوات في الإمارات؛ برنامج صندوق وارد موحد؛ منصة تفاعل العملاء؛ برنامج دعم العملاء بالذكاء الاصطناعي؛ مسارات البريد والمراسلة؛ إدارة طلبات العملاء؛ إشعار خصوصية إنوفاتك SWD؛ سياسة خصوصية الموقع في الإمارات؛ خصوصية البيانات في إنوفاتك؛ شروط موقع إنوفاتك SWD؛ شروط استخدام الموقع في الإمارات؛ أحكام وشروط إنوفاتك</w:t>
      </w:r>
    </w:p>
    <w:p>
      <w:pPr>
        <w:pStyle w:val="Heading1"/>
        <w:pageBreakBefore/>
      </w:pPr>
      <w:r>
        <w:rPr>
          <w:rFonts w:ascii="Calibri" w:hAnsi="Calibri" w:eastAsia="Calibri" w:cs="Calibri"/>
          <w:b/>
          <w:color w:val="0D51CD"/>
          <w:sz w:val="32"/>
        </w:rPr>
        <w:t>English pages - current head tags</w:t>
      </w:r>
    </w:p>
    <w:p>
      <w:pPr>
        <w:spacing w:before="0" w:after="120" w:line="276" w:lineRule="auto"/>
      </w:pPr>
      <w:r>
        <w:rPr>
          <w:rFonts w:ascii="Calibri" w:hAnsi="Calibri" w:eastAsia="Calibri" w:cs="Calibri"/>
          <w:b w:val="0"/>
          <w:i/>
          <w:color w:val="5C667A"/>
          <w:sz w:val="18"/>
        </w:rPr>
        <w:t>Exact rendered values as of 15 August 2026.</w:t>
      </w:r>
    </w:p>
    <w:tbl>
      <w:tblPr>
        <w:tblStyle w:val="TableGrid"/>
        <w:tblW w:type="dxa" w:w="13968"/>
        <w:tblLayout w:type="fixed"/>
        <w:tblLook w:firstColumn="1" w:firstRow="1" w:lastColumn="0" w:lastRow="0" w:noHBand="0" w:noVBand="1" w:val="04A0"/>
        <w:jc w:val="left"/>
        <w:tblInd w:type="dxa" w:w="120"/>
      </w:tblPr>
      <w:tblGrid>
        <w:gridCol w:w="2100"/>
        <w:gridCol w:w="3000"/>
        <w:gridCol w:w="4000"/>
        <w:gridCol w:w="3800"/>
        <w:gridCol w:w="1068"/>
      </w:tblGrid>
      <w:tr>
        <w:trPr>
          <w:tblHeader w:val="true"/>
        </w:trPr>
        <w:tc>
          <w:tcPr>
            <w:tcW w:type="dxa" w:w="21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left"/>
            </w:pPr>
            <w:r/>
            <w:r>
              <w:rPr>
                <w:rFonts w:ascii="Calibri" w:hAnsi="Calibri" w:eastAsia="Calibri" w:cs="Calibri"/>
                <w:b/>
                <w:i w:val="0"/>
                <w:color w:val="0A1020"/>
                <w:sz w:val="14"/>
              </w:rPr>
              <w:t>Route</w:t>
            </w:r>
          </w:p>
        </w:tc>
        <w:tc>
          <w:tcPr>
            <w:tcW w:type="dxa" w:w="30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left"/>
            </w:pPr>
            <w:r/>
            <w:r>
              <w:rPr>
                <w:rFonts w:ascii="Calibri" w:hAnsi="Calibri" w:eastAsia="Calibri" w:cs="Calibri"/>
                <w:b/>
                <w:i w:val="0"/>
                <w:color w:val="0A1020"/>
                <w:sz w:val="14"/>
              </w:rPr>
              <w:t>Title tag</w:t>
            </w:r>
          </w:p>
        </w:tc>
        <w:tc>
          <w:tcPr>
            <w:tcW w:type="dxa" w:w="40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left"/>
            </w:pPr>
            <w:r/>
            <w:r>
              <w:rPr>
                <w:rFonts w:ascii="Calibri" w:hAnsi="Calibri" w:eastAsia="Calibri" w:cs="Calibri"/>
                <w:b/>
                <w:i w:val="0"/>
                <w:color w:val="0A1020"/>
                <w:sz w:val="14"/>
              </w:rPr>
              <w:t>Meta description</w:t>
            </w:r>
          </w:p>
        </w:tc>
        <w:tc>
          <w:tcPr>
            <w:tcW w:type="dxa" w:w="38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left"/>
            </w:pPr>
            <w:r/>
            <w:r>
              <w:rPr>
                <w:rFonts w:ascii="Calibri" w:hAnsi="Calibri" w:eastAsia="Calibri" w:cs="Calibri"/>
                <w:b/>
                <w:i w:val="0"/>
                <w:color w:val="0A1020"/>
                <w:sz w:val="14"/>
              </w:rPr>
              <w:t>Keyword tag</w:t>
            </w:r>
          </w:p>
        </w:tc>
        <w:tc>
          <w:tcPr>
            <w:tcW w:type="dxa" w:w="1068"/>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center"/>
            </w:pPr>
            <w:r/>
            <w:r>
              <w:rPr>
                <w:rFonts w:ascii="Calibri" w:hAnsi="Calibri" w:eastAsia="Calibri" w:cs="Calibri"/>
                <w:b/>
                <w:i w:val="0"/>
                <w:color w:val="0A1020"/>
                <w:sz w:val="14"/>
              </w:rPr>
              <w:t>Robots</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AI Software for Giving &amp; Facility Management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 builds modular, Arabic-ready software for donations, facilities, visitor management and customer engagement across the UAE and MENA.</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SWD,AI operational software UAE,Arabic-ready business software,donation management software,facility management software,visitor management system,AI customer communication platform,Dubai software company</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/solutions</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Operational Software Solutions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Explore Innovatek SWD software for donation management, facilities and CMMS, visitor management and AI-powered customer communication.</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operational software solutions UAE,donation management platform,CMMS software UAE,facilities maintenance software,visitor management software,AI communication platform,Arabic-ready software,Innovatek SWD</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/about</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About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Meet the Innovatek SWD product approach: Arabic-ready, modular operational software designed close to the teams who use it.</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SWD,UAE software company,Dubai software company,Arabic software development,operational software product team,enterprise software integration UAE,AI software company UAE</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/contact</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Book a Working Session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Bring Innovatek one real operational workflow and prepare a focused working session around the people, systems and next decision involved.</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 contact,book software consultation Dubai,operational software working session,AI software consultation UAE,donation software demo,facility management software demo,visitor management system demo,Innovatek SWD sales</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/solutions/donation-hub</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Donation Hub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Bring campaigns, kiosks, cash, card and digital gifts into one operational ledger so finance and fundraising teams work from the same source.</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Donation Hub,donation management software UAE,charity donation platform,fundraising management software,donation kiosk software,digital donation platform,donation reconciliation software,foundation management software</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/solutions/bunyan-cmms</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Bunyan + Twin AI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Give every asset, request, work order and service commitment one owner and one history—from the technician on site to the leader reviewing performance.</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Bunyan CMMS,Twin AI,CMMS software UAE,facility management software,maintenance management system,asset management software,work order management,facilities maintenance platform</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/solutions/visitor-management-system</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Smart VMS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Coordinate visitor and contractor registration, reception checks, host notifications and access rules without losing the human welcome.</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Smart VMS,visitor management system UAE,visitor registration software,contractor management system,reception management software,access control visitor management,host notification system,secure visitor check-in</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/solutions/communication-platform</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Communication Platform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Bring web, email, messaging and phone requests into shared workflows where AI handles routine answers and the right team owns the rest.</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Communication Platform,AI customer communication platform,omnichannel customer service UAE,unified inbox software,customer engagement platform,AI customer support software,email messaging workflow,customer request management</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/privacy</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Website Privacy Notice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Operational privacy notice for the Innovatek SWD website build.</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 privacy notice,website privacy policy UAE,Innovatek data privacy</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noindex</w:t>
            </w:r>
          </w:p>
        </w:tc>
      </w:tr>
      <w:tr>
        <w:trPr>
          <w:cantSplit/>
        </w:trPr>
        <w:tc>
          <w:tcPr>
            <w:tcW w:type="dxa" w:w="21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1"/>
              </w:rPr>
              <w:t>/terms</w:t>
            </w:r>
          </w:p>
        </w:tc>
        <w:tc>
          <w:tcPr>
            <w:tcW w:type="dxa" w:w="3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Website Terms of Use | Innovatek SWD</w:t>
            </w:r>
          </w:p>
        </w:tc>
        <w:tc>
          <w:tcPr>
            <w:tcW w:type="dxa" w:w="40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Operational terms of use for the Innovatek SWD website build.</w:t>
            </w:r>
          </w:p>
        </w:tc>
        <w:tc>
          <w:tcPr>
            <w:tcW w:type="dxa" w:w="38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val="0"/>
                <w:i w:val="0"/>
                <w:color w:val="0A1020"/>
                <w:sz w:val="12"/>
              </w:rPr>
              <w:t>Innovatek SWD website terms,website terms of use UAE,Innovatek terms and conditions</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noindex</w:t>
            </w:r>
          </w:p>
        </w:tc>
      </w:tr>
    </w:tbl>
    <w:p>
      <w:pPr>
        <w:pStyle w:val="Heading1"/>
        <w:pageBreakBefore/>
      </w:pPr>
      <w:r>
        <w:rPr>
          <w:rFonts w:ascii="Calibri" w:hAnsi="Calibri" w:eastAsia="Calibri" w:cs="Calibri"/>
          <w:b/>
          <w:color w:val="0D51CD"/>
          <w:sz w:val="32"/>
        </w:rPr>
        <w:t>Arabic pages - current head tags</w:t>
      </w:r>
    </w:p>
    <w:p>
      <w:pPr>
        <w:spacing w:before="0" w:after="120" w:line="276" w:lineRule="auto"/>
      </w:pPr>
      <w:r>
        <w:rPr>
          <w:rFonts w:ascii="Calibri" w:hAnsi="Calibri" w:eastAsia="Calibri" w:cs="Calibri"/>
          <w:b w:val="0"/>
          <w:i/>
          <w:color w:val="5C667A"/>
          <w:sz w:val="18"/>
        </w:rPr>
        <w:t>Exact rendered values as of 15 August 2026.</w:t>
      </w:r>
    </w:p>
    <w:tbl>
      <w:tblPr>
        <w:tblStyle w:val="TableGrid"/>
        <w:tblW w:type="dxa" w:w="13968"/>
        <w:tblLayout w:type="fixed"/>
        <w:tblLook w:firstColumn="1" w:firstRow="1" w:lastColumn="0" w:lastRow="0" w:noHBand="0" w:noVBand="1" w:val="04A0"/>
        <w:jc w:val="left"/>
        <w:tblInd w:type="dxa" w:w="120"/>
      </w:tblPr>
      <w:tblGrid>
        <w:gridCol w:w="2200"/>
        <w:gridCol w:w="2900"/>
        <w:gridCol w:w="3950"/>
        <w:gridCol w:w="3850"/>
        <w:gridCol w:w="1068"/>
      </w:tblGrid>
      <w:tr>
        <w:trPr>
          <w:tblHeader w:val="true"/>
        </w:trPr>
        <w:tc>
          <w:tcPr>
            <w:tcW w:type="dxa" w:w="22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left"/>
            </w:pPr>
            <w:r/>
            <w:r>
              <w:rPr>
                <w:rFonts w:ascii="Arial" w:hAnsi="Arial" w:eastAsia="Arial" w:cs="Arial"/>
                <w:b/>
                <w:i w:val="0"/>
                <w:color w:val="0A1020"/>
                <w:sz w:val="16"/>
              </w:rPr>
              <w:t>المسار</w:t>
            </w:r>
          </w:p>
        </w:tc>
        <w:tc>
          <w:tcPr>
            <w:tcW w:type="dxa" w:w="290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right"/>
              <w:bidi w:val="1"/>
            </w:pPr>
            <w:r/>
            <w:r>
              <w:rPr>
                <w:rFonts w:ascii="Arial" w:hAnsi="Arial" w:eastAsia="Arial" w:cs="Arial"/>
                <w:b/>
                <w:i w:val="0"/>
                <w:color w:val="0A1020"/>
                <w:sz w:val="16"/>
              </w:rPr>
              <w:t>عنوان الصفحة</w:t>
            </w:r>
          </w:p>
        </w:tc>
        <w:tc>
          <w:tcPr>
            <w:tcW w:type="dxa" w:w="395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right"/>
              <w:bidi w:val="1"/>
            </w:pPr>
            <w:r/>
            <w:r>
              <w:rPr>
                <w:rFonts w:ascii="Arial" w:hAnsi="Arial" w:eastAsia="Arial" w:cs="Arial"/>
                <w:b/>
                <w:i w:val="0"/>
                <w:color w:val="0A1020"/>
                <w:sz w:val="16"/>
              </w:rPr>
              <w:t>الوصف التعريفي</w:t>
            </w:r>
          </w:p>
        </w:tc>
        <w:tc>
          <w:tcPr>
            <w:tcW w:type="dxa" w:w="3850"/>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right"/>
              <w:bidi w:val="1"/>
            </w:pPr>
            <w:r/>
            <w:r>
              <w:rPr>
                <w:rFonts w:ascii="Arial" w:hAnsi="Arial" w:eastAsia="Arial" w:cs="Arial"/>
                <w:b/>
                <w:i w:val="0"/>
                <w:color w:val="0A1020"/>
                <w:sz w:val="16"/>
              </w:rPr>
              <w:t>الكلمات المفتاحية</w:t>
            </w:r>
          </w:p>
        </w:tc>
        <w:tc>
          <w:tcPr>
            <w:tcW w:type="dxa" w:w="1068"/>
            <w:shd w:fill="E8EEF5"/>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jc w:val="center"/>
            </w:pPr>
            <w:r/>
            <w:r>
              <w:rPr>
                <w:rFonts w:ascii="Arial" w:hAnsi="Arial" w:eastAsia="Arial" w:cs="Arial"/>
                <w:b/>
                <w:i w:val="0"/>
                <w:color w:val="0A1020"/>
                <w:sz w:val="16"/>
              </w:rPr>
              <w:t>الفهرسة</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إنوفاتك SWD | برمجيات ذكية للعطاء وإدارة المرافق</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تبني إنوفاتك SWD منصات معيارية ثنائية اللغة لإدارة التبرعات والمرافق والزوار وتفاعل العملاء في الإمارات ومنطقة الشرق الأوسط.</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إنوفاتك SWD,برمجيات تشغيلية ذكية في الإمارات,برمجيات أعمال عربية,برنامج إدارة التبرعات,برنامج إدارة المرافق,نظام إدارة الزوار,منصة تواصل ذكية مع العملاء,شركة برمجيات في دبي</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/ar/solutions</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حلول البرمجيات التشغيلية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استكشف حلول إنوفاتك لإدارة التبرعات والمرافق والصيانة والزوار والتواصل الذكي مع العملاء.</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حلول البرمجيات التشغيلية,برنامج إدارة التبرعات,نظام إدارة صيانة المرافق,برنامج CMMS في الإمارات,نظام إدارة الزوار,منصة تواصل ذكية,برمجيات أعمال عربية,إنوفاتك SWD</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/ar/about</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عن إنوفاتك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تعرّف إلى منهج إنوفاتك SWD في بناء برمجيات تشغيلية عربية ومعيارية بالقرب من الفرق التي تستخدمها.</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إنوفاتك SWD,شركة برمجيات في الإمارات,شركة برمجيات في دبي,تطوير برمجيات عربية,فريق منتجات برمجية,تكامل الأنظمة في الإمارات,شركة ذكاء اصطناعي في الإمارات</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/ar/contact</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احجز جلسة عمل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أحضر إلى إنوفاتك مسار عمل حقيقياً وجهّز جلسة مركزة حول الأشخاص والأنظمة والقرار التالي.</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التواصل مع إنوفاتك SWD,حجز استشارة برمجيات في دبي,جلسة عمل للبرمجيات التشغيلية,استشارة ذكاء اصطناعي في الإمارات,عرض برنامج إدارة التبرعات,عرض برنامج إدارة المرافق,عرض نظام إدارة الزوار,مبيعات إنوفاتك</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/ar/solutions/donation-hub</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Donation Hub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اجمع الحملات والأكشاك والتبرعات النقدية والبطاقات والقنوات الرقمية في سجل تشغيلي واحد، لتعمل المالية وتنمية الموارد من المصدر نفسه.</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Donation Hub,برنامج إدارة التبرعات في الإمارات,منصة تبرعات للجمعيات الخيرية,برنامج إدارة جمع التبرعات,برنامج أكشاك التبرع,منصة تبرعات رقمية,برنامج مطابقة التبرعات,برنامج إدارة المؤسسات الخيرية</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/ar/solutions/bunyan-cmms</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بنيان + Twin AI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امنح كل أصل وطلب وأمر عمل والتزام خدمة مسؤولاً واحداً وتاريخاً واحداً، من الفني في الموقع إلى القائد الذي يراجع الأداء.</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بنيان CMMS,Twin AI,برنامج CMMS في الإمارات,برنامج إدارة المرافق,نظام إدارة الصيانة,برنامج إدارة الأصول,إدارة أوامر العمل,منصة صيانة المرافق</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/ar/solutions/visitor-management-system</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Smart VMS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نسّق تسجيل الزوار والمقاولين والتحقق في الاستقبال وإشعارات المضيف وقواعد الدخول دون فقدان حفاوة الترحيب.</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Smart VMS,نظام إدارة الزوار في الإمارات,برنامج تسجيل الزوار,نظام إدارة المقاولين,برنامج إدارة الاستقبال,إدارة الزوار والتحكم بالدخول,نظام إشعارات المضيف,تسجيل دخول الزوار الآمن</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/ar/solutions/communication-platform</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منصة التواصل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اجمع طلبات الموقع والبريد والمراسلة والهاتف في مسارات مشتركة، يتعامل فيها الذكاء مع الإجابات المتكررة ويتولى الفريق المناسب ما تبقى.</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منصة التواصل,منصة تواصل ذكية مع العملاء,خدمة عملاء متعددة القنوات في الإمارات,برنامج صندوق وارد موحد,منصة تفاعل العملاء,برنامج دعم العملاء بالذكاء الاصطناعي,مسارات البريد والمراسلة,إدارة طلبات العملاء</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/ar/privacy</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إشعار خصوصية الموقع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إشعار خصوصية تشغيلي لإصدار موقع إنوفاتك SWD.</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إشعار خصوصية إنوفاتك SWD,سياسة خصوصية الموقع في الإمارات,خصوصية البيانات في إنوفاتك</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noindex</w:t>
            </w:r>
          </w:p>
        </w:tc>
      </w:tr>
      <w:tr>
        <w:trPr>
          <w:cantSplit/>
        </w:trPr>
        <w:tc>
          <w:tcPr>
            <w:tcW w:type="dxa" w:w="22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left"/>
            </w:pPr>
            <w:r/>
            <w:r>
              <w:rPr>
                <w:rFonts w:ascii="Calibri" w:hAnsi="Calibri" w:eastAsia="Calibri" w:cs="Calibri"/>
                <w:b/>
                <w:i w:val="0"/>
                <w:color w:val="0A1020"/>
                <w:sz w:val="12"/>
              </w:rPr>
              <w:t>/ar/terms</w:t>
            </w:r>
          </w:p>
        </w:tc>
        <w:tc>
          <w:tcPr>
            <w:tcW w:type="dxa" w:w="290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شروط استخدام الموقع | إنوفاتك SWD</w:t>
            </w:r>
          </w:p>
        </w:tc>
        <w:tc>
          <w:tcPr>
            <w:tcW w:type="dxa" w:w="39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شروط استخدام تشغيلية لإصدار موقع إنوفاتك SWD.</w:t>
            </w:r>
          </w:p>
        </w:tc>
        <w:tc>
          <w:tcPr>
            <w:tcW w:type="dxa" w:w="3850"/>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right"/>
              <w:bidi w:val="1"/>
            </w:pPr>
            <w:r/>
            <w:r>
              <w:rPr>
                <w:rFonts w:ascii="Arial" w:hAnsi="Arial" w:eastAsia="Arial" w:cs="Arial"/>
                <w:b w:val="0"/>
                <w:i w:val="0"/>
                <w:color w:val="0A1020"/>
                <w:sz w:val="13"/>
              </w:rPr>
              <w:t>شروط موقع إنوفاتك SWD,شروط استخدام الموقع في الإمارات,أحكام وشروط إنوفاتك</w:t>
            </w:r>
          </w:p>
        </w:tc>
        <w:tc>
          <w:tcPr>
            <w:tcW w:type="dxa" w:w="1068"/>
            <w:shd w:fill="FFFFFF"/>
            <w:tcBorders>
              <w:top w:val="single" w:sz="5" w:color="DDE3EE"/>
              <w:left w:val="single" w:sz="5" w:color="DDE3EE"/>
              <w:bottom w:val="single" w:sz="5" w:color="DDE3EE"/>
              <w:right w:val="single" w:sz="5" w:color="DDE3EE"/>
              <w:insideH w:val="single" w:sz="5" w:color="DDE3EE"/>
              <w:insideV w:val="single" w:sz="5" w:color="DDE3EE"/>
            </w:tcBorders>
            <w:tcMar>
              <w:top w:w="80" w:type="dxa"/>
              <w:bottom w:w="80" w:type="dxa"/>
              <w:start w:w="120" w:type="dxa"/>
              <w:end w:w="120" w:type="dxa"/>
            </w:tcMar>
            <w:vAlign w:val="center"/>
          </w:tcPr>
          <w:p>
            <w:pPr>
              <w:spacing w:before="0" w:after="0" w:line="240" w:lineRule="auto"/>
              <w:jc w:val="center"/>
            </w:pPr>
            <w:r/>
            <w:r>
              <w:rPr>
                <w:rFonts w:ascii="Calibri" w:hAnsi="Calibri" w:eastAsia="Calibri" w:cs="Calibri"/>
                <w:b w:val="0"/>
                <w:i w:val="0"/>
                <w:color w:val="0A1020"/>
                <w:sz w:val="12"/>
              </w:rPr>
              <w:t>noindex</w:t>
            </w:r>
          </w:p>
        </w:tc>
      </w:tr>
    </w:tbl>
    <w:p>
      <w:pPr>
        <w:pStyle w:val="Heading1"/>
        <w:pageBreakBefore/>
      </w:pPr>
      <w:r>
        <w:rPr>
          <w:rFonts w:ascii="Calibri" w:hAnsi="Calibri" w:eastAsia="Calibri" w:cs="Calibri"/>
          <w:b/>
          <w:color w:val="0D51CD"/>
          <w:sz w:val="32"/>
        </w:rPr>
        <w:t>Overall manager feedback</w:t>
      </w:r>
    </w:p>
    <w:p>
      <w:pPr>
        <w:spacing w:before="0" w:after="200" w:line="276" w:lineRule="auto"/>
      </w:pPr>
      <w:r>
        <w:rPr>
          <w:rFonts w:ascii="Calibri" w:hAnsi="Calibri" w:eastAsia="Calibri" w:cs="Calibri"/>
          <w:b w:val="0"/>
          <w:i w:val="0"/>
          <w:color w:val="5C667A"/>
          <w:sz w:val="20"/>
        </w:rPr>
        <w:t>Use this single field for the complete review. Include any requested title, description or keyword-tag changes in one response.</w:t>
      </w:r>
    </w:p>
    <w:tbl>
      <w:tblPr>
        <w:tblStyle w:val="TableGrid"/>
        <w:tblW w:type="dxa" w:w="13968"/>
        <w:jc w:val="left"/>
        <w:tblLayout w:type="fixed"/>
        <w:tblLook w:firstColumn="1" w:firstRow="1" w:lastColumn="0" w:lastRow="0" w:noHBand="0" w:noVBand="1" w:val="04A0"/>
        <w:tblInd w:type="dxa" w:w="120"/>
      </w:tblPr>
      <w:tblGrid>
        <w:gridCol w:w="13968"/>
      </w:tblGrid>
      <w:tr>
        <w:trPr>
          <w:tblHeader w:val="true"/>
        </w:trPr>
        <w:tc>
          <w:tcPr>
            <w:tcW w:type="dxa" w:w="13968"/>
            <w:shd w:fill="FFF6D9"/>
            <w:tcBorders>
              <w:top w:val="single" w:sz="6" w:color="E6C85A"/>
              <w:left w:val="single" w:sz="6" w:color="E6C85A"/>
              <w:bottom w:val="single" w:sz="6" w:color="E6C85A"/>
              <w:right w:val="single" w:sz="6" w:color="E6C85A"/>
              <w:insideH w:val="single" w:sz="6" w:color="E6C85A"/>
              <w:insideV w:val="single" w:sz="6" w:color="E6C85A"/>
            </w:tcBorders>
            <w:tcMar>
              <w:top w:w="80" w:type="dxa"/>
              <w:bottom w:w="80" w:type="dxa"/>
              <w:start w:w="120" w:type="dxa"/>
              <w:end w:w="120" w:type="dxa"/>
            </w:tcMar>
          </w:tcPr>
          <w:p>
            <w:pPr>
              <w:spacing w:after="0"/>
            </w:pPr>
            <w:r/>
            <w:r>
              <w:rPr>
                <w:rFonts w:ascii="Calibri" w:hAnsi="Calibri" w:eastAsia="Calibri" w:cs="Calibri"/>
                <w:b/>
                <w:color w:val="0A1020"/>
                <w:sz w:val="21"/>
              </w:rPr>
              <w:t>ONE OVERALL FEEDBACK RESPONSE</w:t>
            </w:r>
          </w:p>
        </w:tc>
      </w:tr>
      <w:tr>
        <w:trPr/>
        <w:tc>
          <w:tcPr>
            <w:tcW w:type="dxa" w:w="13968"/>
            <w:shd w:fill="FFFDF4"/>
            <w:tcBorders>
              <w:top w:val="single" w:sz="6" w:color="E6C85A"/>
              <w:left w:val="single" w:sz="6" w:color="E6C85A"/>
              <w:bottom w:val="single" w:sz="6" w:color="E6C85A"/>
              <w:right w:val="single" w:sz="6" w:color="E6C85A"/>
              <w:insideH w:val="single" w:sz="6" w:color="E6C85A"/>
              <w:insideV w:val="single" w:sz="6" w:color="E6C85A"/>
            </w:tcBorders>
            <w:tcMar>
              <w:top w:w="80" w:type="dxa"/>
              <w:bottom w:w="80" w:type="dxa"/>
              <w:start w:w="120" w:type="dxa"/>
              <w:end w:w="120" w:type="dxa"/>
            </w:tcMar>
            <w:vAlign w:val="top"/>
          </w:tcPr>
          <w:p>
            <w:pPr>
              <w:spacing w:after="0"/>
            </w:pPr>
            <w:r/>
            <w:r>
              <w:rPr>
                <w:rFonts w:ascii="Calibri" w:hAnsi="Calibri" w:eastAsia="Calibri" w:cs="Calibri"/>
                <w:i/>
                <w:color w:val="5C667A"/>
                <w:sz w:val="20"/>
              </w:rPr>
              <w:t>Type all feedback here once. For each requested edit, include the route and the exact replacement title, description, or keyword direction. If everything is approved, write: Approved as presented.</w:t>
            </w: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p>
            <w:pPr>
              <w:spacing w:after="160"/>
            </w:pPr>
          </w:p>
        </w:tc>
      </w:tr>
    </w:tbl>
    <w:sectPr w:rsidR="00FC693F" w:rsidRPr="0006063C" w:rsidSect="00034616">
      <w:headerReference w:type="default" r:id="rId9"/>
      <w:footerReference w:type="default" r:id="rId10"/>
      <w:pgSz w:w="15840" w:h="12240" w:orient="landscape"/>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C667A"/>
        <w:sz w:val="16"/>
      </w:rPr>
      <w:t xml:space="preserve">Manager review  |  15 August 2026  |  Page </w:t>
    </w:r>
    <w:r>
      <w:rPr>
        <w:rFonts w:ascii="Calibri" w:hAnsi="Calibri" w:eastAsia="Calibri" w:cs="Calibri"/>
        <w:color w:val="5C667A"/>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0A1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D51C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D51C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b/>
      <w:color w:val="0A102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5C66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Innovatek SWD - Head Tag SEO Review with Implemented Keywords</dc:title>
  <dc:subject>Current page titles, descriptions, implemented keyword tags and one feedback field</dc:subject>
  <dc:creator>Innovatek SWD</dc:creator>
  <cp:keywords>Innovatek SWD, SEO title tags, meta descriptions, keyword terms</cp:keywords>
  <dc:description>Prepared from rendered website head tags on 15 August 2026 after keyword implementation.</dc:description>
  <cp:lastModifiedBy>Innovatek SWD</cp:lastModifiedBy>
  <cp:revision>1</cp:revision>
  <dcterms:created xsi:type="dcterms:W3CDTF">2013-12-23T23:15:00Z</dcterms:created>
  <dcterms:modified xsi:type="dcterms:W3CDTF">2013-12-23T23:15:00Z</dcterms:modified>
  <cp:category/>
</cp:coreProperties>
</file>