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00"/>
      </w:pPr>
      <w:r>
        <w:rPr>
          <w:rFonts w:ascii="Calibri" w:hAnsi="Calibri" w:eastAsia="Calibri" w:cs="Calibri"/>
          <w:b/>
          <w:color w:val="176BFF"/>
          <w:sz w:val="19"/>
        </w:rPr>
        <w:t>SEO MANAGER REVIEW</w:t>
      </w:r>
    </w:p>
    <w:p>
      <w:pPr>
        <w:pStyle w:val="Title"/>
      </w:pPr>
      <w:r>
        <w:rPr>
          <w:rFonts w:ascii="Calibri" w:hAnsi="Calibri" w:eastAsia="Calibri" w:cs="Calibri"/>
          <w:b/>
          <w:color w:val="0A1020"/>
          <w:sz w:val="50"/>
        </w:rPr>
        <w:t>Innovatek SWD - Head Tag SEO Review</w:t>
      </w:r>
    </w:p>
    <w:p>
      <w:pPr>
        <w:pStyle w:val="Subtitle"/>
      </w:pPr>
      <w:r>
        <w:rPr>
          <w:rFonts w:ascii="Calibri" w:hAnsi="Calibri" w:eastAsia="Calibri" w:cs="Calibri"/>
          <w:color w:val="5C667A"/>
          <w:sz w:val="25"/>
        </w:rPr>
        <w:t>All current page titles, meta descriptions and keyword-bearing terms - one feedback field</w:t>
      </w:r>
    </w:p>
    <w:p>
      <w:pPr>
        <w:spacing w:before="60" w:after="220" w:line="274" w:lineRule="auto"/>
        <w:ind w:left="140" w:right="140"/>
        <w:shd w:fill="EDF2F9"/>
        <w:pBdr>
          <w:top w:val="single" w:sz="6" w:space="5" w:color="DDE3EE"/>
          <w:left w:val="single" w:sz="6" w:space="5" w:color="DDE3EE"/>
          <w:bottom w:val="single" w:sz="6" w:space="5" w:color="DDE3EE"/>
          <w:right w:val="single" w:sz="6" w:space="5" w:color="DDE3EE"/>
        </w:pBdr>
      </w:pPr>
      <w:r>
        <w:rPr>
          <w:rFonts w:ascii="Calibri" w:hAnsi="Calibri" w:eastAsia="Calibri" w:cs="Calibri"/>
          <w:b/>
          <w:color w:val="0A1020"/>
          <w:sz w:val="19"/>
        </w:rPr>
        <w:t xml:space="preserve">Scope: </w:t>
      </w:r>
      <w:r>
        <w:rPr>
          <w:rFonts w:ascii="Calibri" w:hAnsi="Calibri" w:eastAsia="Calibri" w:cs="Calibri"/>
          <w:color w:val="0A1020"/>
          <w:sz w:val="19"/>
        </w:rPr>
        <w:t>20 rendered routes. This file includes only SEO information from the HTML head: title tags, meta descriptions and robots index status. It does not include headings or body-page content.</w:t>
      </w:r>
    </w:p>
    <w:p>
      <w:pPr>
        <w:spacing w:before="60" w:after="220" w:line="274" w:lineRule="auto"/>
        <w:ind w:left="140" w:right="140"/>
        <w:shd w:fill="FFF6D9"/>
        <w:pBdr>
          <w:top w:val="single" w:sz="6" w:space="5" w:color="DDE3EE"/>
          <w:left w:val="single" w:sz="6" w:space="5" w:color="DDE3EE"/>
          <w:bottom w:val="single" w:sz="6" w:space="5" w:color="DDE3EE"/>
          <w:right w:val="single" w:sz="6" w:space="5" w:color="DDE3EE"/>
        </w:pBdr>
      </w:pPr>
      <w:r>
        <w:rPr>
          <w:rFonts w:ascii="Calibri" w:hAnsi="Calibri" w:eastAsia="Calibri" w:cs="Calibri"/>
          <w:b/>
          <w:color w:val="0A1020"/>
          <w:sz w:val="19"/>
        </w:rPr>
        <w:t xml:space="preserve">Meta keywords status: </w:t>
      </w:r>
      <w:r>
        <w:rPr>
          <w:rFonts w:ascii="Calibri" w:hAnsi="Calibri" w:eastAsia="Calibri" w:cs="Calibri"/>
          <w:color w:val="0A1020"/>
          <w:sz w:val="19"/>
        </w:rPr>
        <w:t>The site does not use a &lt;meta name="keywords"&gt; tag. The terms below are consolidated only from the current title and meta description tags; they are not search-volume research.</w:t>
      </w:r>
    </w:p>
    <w:p>
      <w:pPr>
        <w:pStyle w:val="Heading1"/>
      </w:pPr>
      <w:r>
        <w:rPr>
          <w:rFonts w:ascii="Calibri" w:hAnsi="Calibri" w:eastAsia="Calibri" w:cs="Calibri"/>
          <w:b/>
          <w:color w:val="0D51CD"/>
          <w:sz w:val="32"/>
        </w:rPr>
        <w:t>Consolidated keyword terms used in current head tags</w:t>
      </w:r>
    </w:p>
    <w:p>
      <w:pPr>
        <w:spacing w:before="0" w:after="60" w:line="276" w:lineRule="auto"/>
      </w:pPr>
      <w:r>
        <w:rPr>
          <w:rFonts w:ascii="Calibri" w:hAnsi="Calibri" w:eastAsia="Calibri" w:cs="Calibri"/>
          <w:b/>
          <w:i w:val="0"/>
          <w:color w:val="0D51CD"/>
          <w:sz w:val="21"/>
        </w:rPr>
        <w:t>English terms</w:t>
      </w:r>
    </w:p>
    <w:p>
      <w:pPr>
        <w:spacing w:before="0" w:after="160" w:line="276" w:lineRule="auto"/>
      </w:pPr>
      <w:r>
        <w:rPr>
          <w:rFonts w:ascii="Calibri" w:hAnsi="Calibri" w:eastAsia="Calibri" w:cs="Calibri"/>
          <w:b w:val="0"/>
          <w:i w:val="0"/>
          <w:color w:val="0A1020"/>
          <w:sz w:val="18"/>
        </w:rPr>
        <w:t>Innovatek SWD; AI software; modular software; Arabic-ready software; operational software; software solutions; giving; donation management; donations; facilities; facility management; CMMS; visitor management; customer engagement; customer communication; operational workflow; working session; Donation Hub; campaigns; kiosks; cash; card; digital gifts; operational ledger; finance; fundraising; Bunyan; Twin AI; assets; requests; work orders; service commitment; technician; performance; Smart VMS; visitor registration; contractor registration; reception checks; host notifications; access rules; Communication Platform; web requests; email requests; messaging requests; phone requests; shared workflows; routine answers; privacy notice; terms of use; UAE; MENA</w:t>
      </w:r>
    </w:p>
    <w:p>
      <w:pPr>
        <w:spacing w:before="0" w:after="60" w:line="276" w:lineRule="auto"/>
        <w:bidi w:val="1"/>
        <w:jc w:val="right"/>
      </w:pPr>
      <w:r>
        <w:rPr>
          <w:rFonts w:ascii="Arial" w:hAnsi="Arial" w:eastAsia="Arial" w:cs="Arial"/>
          <w:b/>
          <w:i w:val="0"/>
          <w:color w:val="0D51CD"/>
          <w:sz w:val="21"/>
        </w:rPr>
        <w:t>المصطلحات العربية</w:t>
      </w:r>
    </w:p>
    <w:p>
      <w:pPr>
        <w:spacing w:before="0" w:after="0" w:line="276" w:lineRule="auto"/>
        <w:bidi w:val="1"/>
        <w:jc w:val="right"/>
      </w:pPr>
      <w:r>
        <w:rPr>
          <w:rFonts w:ascii="Arial" w:hAnsi="Arial" w:eastAsia="Arial" w:cs="Arial"/>
          <w:b w:val="0"/>
          <w:i w:val="0"/>
          <w:color w:val="0A1020"/>
          <w:sz w:val="18"/>
        </w:rPr>
        <w:t>إنوفاتك SWD؛ برمجيات ذكية؛ منصات معيارية؛ ثنائية اللغة؛ إدارة التبرعات؛ المرافق؛ الزوار؛ تفاعل العملاء؛ الإمارات؛ منطقة الشرق الأوسط؛ حلول البرمجيات التشغيلية؛ الصيانة؛ التواصل الذكي؛ برمجيات تشغيلية عربية؛ جلسة عمل؛ مسار عمل؛ Donation Hub؛ الحملات؛ الأكشاك؛ التبرعات النقدية؛ البطاقات؛ القنوات الرقمية؛ سجل تشغيلي؛ المالية؛ تنمية الموارد؛ بنيان؛ Twin AI؛ أصل؛ طلب؛ أمر عمل؛ التزام خدمة؛ الفني؛ الأداء؛ Smart VMS؛ تسجيل الزوار؛ المقاولين؛ الاستقبال؛ إشعارات المضيف؛ قواعد الدخول؛ منصة التواصل؛ الموقع؛ البريد؛ المراسلة؛ الهاتف؛ الذكاء؛ الإجابات المتكررة؛ إشعار خصوصية الموقع؛ شروط استخدام الموقع</w:t>
      </w:r>
    </w:p>
    <w:p>
      <w:r>
        <w:br w:type="page"/>
      </w:r>
    </w:p>
    <w:p>
      <w:pPr>
        <w:pStyle w:val="Heading1"/>
      </w:pPr>
      <w:r>
        <w:rPr>
          <w:rFonts w:ascii="Calibri" w:hAnsi="Calibri" w:eastAsia="Calibri" w:cs="Calibri"/>
          <w:b/>
          <w:color w:val="0D51CD"/>
          <w:sz w:val="32"/>
        </w:rPr>
        <w:t>English pages - current head tags</w:t>
      </w:r>
    </w:p>
    <w:p>
      <w:pPr>
        <w:spacing w:before="0" w:after="120" w:line="276" w:lineRule="auto"/>
      </w:pPr>
      <w:r>
        <w:rPr>
          <w:rFonts w:ascii="Calibri" w:hAnsi="Calibri" w:eastAsia="Calibri" w:cs="Calibri"/>
          <w:b w:val="0"/>
          <w:i/>
          <w:color w:val="5C667A"/>
          <w:sz w:val="18"/>
        </w:rPr>
        <w:t>Exact rendered values as of 15 August 2026.</w:t>
      </w:r>
    </w:p>
    <w:tbl>
      <w:tblPr>
        <w:tblStyle w:val="TableGrid"/>
        <w:tblW w:type="dxa" w:w="13968"/>
        <w:jc w:val="left"/>
        <w:tblLayout w:type="fixed"/>
        <w:tblLook w:firstColumn="1" w:firstRow="1" w:lastColumn="0" w:lastRow="0" w:noHBand="0" w:noVBand="1" w:val="04A0"/>
        <w:tblInd w:type="dxa" w:w="120"/>
      </w:tblPr>
      <w:tblGrid>
        <w:gridCol w:w="2880"/>
        <w:gridCol w:w="4032"/>
        <w:gridCol w:w="5904"/>
        <w:gridCol w:w="1152"/>
      </w:tblGrid>
      <w:tr>
        <w:trPr>
          <w:tblHeader w:val="true"/>
        </w:trPr>
        <w:tc>
          <w:tcPr>
            <w:tcW w:type="dxa" w:w="288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left"/>
            </w:pPr>
            <w:r/>
            <w:r>
              <w:rPr>
                <w:rFonts w:ascii="Calibri" w:hAnsi="Calibri" w:eastAsia="Calibri" w:cs="Calibri"/>
                <w:b/>
                <w:color w:val="0A1020"/>
                <w:sz w:val="17"/>
              </w:rPr>
              <w:t>Route</w:t>
            </w:r>
          </w:p>
        </w:tc>
        <w:tc>
          <w:tcPr>
            <w:tcW w:type="dxa" w:w="4032"/>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left"/>
            </w:pPr>
            <w:r/>
            <w:r>
              <w:rPr>
                <w:rFonts w:ascii="Calibri" w:hAnsi="Calibri" w:eastAsia="Calibri" w:cs="Calibri"/>
                <w:b/>
                <w:color w:val="0A1020"/>
                <w:sz w:val="17"/>
              </w:rPr>
              <w:t>Title tag</w:t>
            </w:r>
          </w:p>
        </w:tc>
        <w:tc>
          <w:tcPr>
            <w:tcW w:type="dxa" w:w="5904"/>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left"/>
            </w:pPr>
            <w:r/>
            <w:r>
              <w:rPr>
                <w:rFonts w:ascii="Calibri" w:hAnsi="Calibri" w:eastAsia="Calibri" w:cs="Calibri"/>
                <w:b/>
                <w:color w:val="0A1020"/>
                <w:sz w:val="17"/>
              </w:rPr>
              <w:t>Meta description</w:t>
            </w:r>
          </w:p>
        </w:tc>
        <w:tc>
          <w:tcPr>
            <w:tcW w:type="dxa" w:w="1152"/>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center"/>
            </w:pPr>
            <w:r/>
            <w:r>
              <w:rPr>
                <w:rFonts w:ascii="Calibri" w:hAnsi="Calibri" w:eastAsia="Calibri" w:cs="Calibri"/>
                <w:b/>
                <w:color w:val="0A1020"/>
                <w:sz w:val="17"/>
              </w:rPr>
              <w:t>Robots</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AI Software for Giving &amp; Facility Management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Innovatek SWD builds modular, Arabic-ready software for donations, facilities, visitor management and customer engagement across the UAE and MENA.</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/solutions</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Operational Software Solutions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Explore Innovatek SWD software for donation management, facilities and CMMS, visitor management and AI-powered customer communication.</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/about</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About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Meet the Innovatek SWD product approach: Arabic-ready, modular operational software designed close to the teams who use it.</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/contact</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Book a Working Session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Bring Innovatek one real operational workflow and prepare a focused working session around the people, systems and next decision involved.</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/solutions/donation-hub</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Donation Hub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Bring campaigns, kiosks, cash, card and digital gifts into one operational ledger so finance and fundraising teams work from the same source.</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/solutions/bunyan-cmms</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Bunyan + Twin AI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Give every asset, request, work order and service commitment one owner and one history—from the technician on site to the leader reviewing performance.</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/solutions/visitor-management-system</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Smart VMS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Coordinate visitor and contractor registration, reception checks, host notifications and access rules without losing the human welcome.</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/solutions/communication-platform</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Communication Platform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Bring web, email, messaging and phone requests into shared workflows where AI handles routine answers and the right team owns the rest.</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/privacy</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Website Privacy Notice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Operational privacy notice for the Innovatek SWD website build.</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noindex</w:t>
            </w:r>
          </w:p>
        </w:tc>
      </w:tr>
      <w:tr>
        <w:trPr>
          <w:cantSplit/>
        </w:trPr>
        <w:tc>
          <w:tcPr>
            <w:tcW w:type="dxa" w:w="288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/terms</w:t>
            </w:r>
          </w:p>
        </w:tc>
        <w:tc>
          <w:tcPr>
            <w:tcW w:type="dxa" w:w="403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Website Terms of Use | Innovatek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val="0"/>
                <w:color w:val="0A1020"/>
                <w:sz w:val="15"/>
              </w:rPr>
              <w:t>Operational terms of use for the Innovatek SWD website build.</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noindex</w:t>
            </w:r>
          </w:p>
        </w:tc>
      </w:tr>
    </w:tbl>
    <w:p>
      <w:r>
        <w:br w:type="page"/>
      </w:r>
    </w:p>
    <w:p>
      <w:pPr>
        <w:pStyle w:val="Heading1"/>
      </w:pPr>
      <w:r>
        <w:rPr>
          <w:rFonts w:ascii="Calibri" w:hAnsi="Calibri" w:eastAsia="Calibri" w:cs="Calibri"/>
          <w:b/>
          <w:color w:val="0D51CD"/>
          <w:sz w:val="32"/>
        </w:rPr>
        <w:t>Arabic pages - current head tags</w:t>
      </w:r>
    </w:p>
    <w:p>
      <w:pPr>
        <w:spacing w:before="0" w:after="120" w:line="276" w:lineRule="auto"/>
      </w:pPr>
      <w:r>
        <w:rPr>
          <w:rFonts w:ascii="Calibri" w:hAnsi="Calibri" w:eastAsia="Calibri" w:cs="Calibri"/>
          <w:b w:val="0"/>
          <w:i/>
          <w:color w:val="5C667A"/>
          <w:sz w:val="18"/>
        </w:rPr>
        <w:t>Exact rendered values as of 15 August 2026.</w:t>
      </w:r>
    </w:p>
    <w:tbl>
      <w:tblPr>
        <w:tblStyle w:val="TableGrid"/>
        <w:tblW w:type="dxa" w:w="13968"/>
        <w:jc w:val="left"/>
        <w:tblLayout w:type="fixed"/>
        <w:tblLook w:firstColumn="1" w:firstRow="1" w:lastColumn="0" w:lastRow="0" w:noHBand="0" w:noVBand="1" w:val="04A0"/>
        <w:tblInd w:type="dxa" w:w="120"/>
      </w:tblPr>
      <w:tblGrid>
        <w:gridCol w:w="3168"/>
        <w:gridCol w:w="3744"/>
        <w:gridCol w:w="5904"/>
        <w:gridCol w:w="1152"/>
      </w:tblGrid>
      <w:tr>
        <w:trPr>
          <w:tblHeader w:val="true"/>
        </w:trPr>
        <w:tc>
          <w:tcPr>
            <w:tcW w:type="dxa" w:w="3168"/>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left"/>
            </w:pPr>
            <w:r/>
            <w:r>
              <w:rPr>
                <w:rFonts w:ascii="Arial" w:hAnsi="Arial" w:eastAsia="Arial" w:cs="Arial"/>
                <w:b/>
                <w:color w:val="0A1020"/>
                <w:sz w:val="17"/>
              </w:rPr>
              <w:t>المسار</w:t>
            </w:r>
          </w:p>
        </w:tc>
        <w:tc>
          <w:tcPr>
            <w:tcW w:type="dxa" w:w="3744"/>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right"/>
              <w:bidi w:val="1"/>
            </w:pPr>
            <w:r/>
            <w:r>
              <w:rPr>
                <w:rFonts w:ascii="Arial" w:hAnsi="Arial" w:eastAsia="Arial" w:cs="Arial"/>
                <w:b/>
                <w:color w:val="0A1020"/>
                <w:sz w:val="17"/>
              </w:rPr>
              <w:t>عنوان الصفحة</w:t>
            </w:r>
          </w:p>
        </w:tc>
        <w:tc>
          <w:tcPr>
            <w:tcW w:type="dxa" w:w="5904"/>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right"/>
              <w:bidi w:val="1"/>
            </w:pPr>
            <w:r/>
            <w:r>
              <w:rPr>
                <w:rFonts w:ascii="Arial" w:hAnsi="Arial" w:eastAsia="Arial" w:cs="Arial"/>
                <w:b/>
                <w:color w:val="0A1020"/>
                <w:sz w:val="17"/>
              </w:rPr>
              <w:t>الوصف التعريفي</w:t>
            </w:r>
          </w:p>
        </w:tc>
        <w:tc>
          <w:tcPr>
            <w:tcW w:type="dxa" w:w="1152"/>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after="0"/>
              <w:jc w:val="right"/>
              <w:bidi w:val="1"/>
            </w:pPr>
            <w:r/>
            <w:r>
              <w:rPr>
                <w:rFonts w:ascii="Arial" w:hAnsi="Arial" w:eastAsia="Arial" w:cs="Arial"/>
                <w:b/>
                <w:color w:val="0A1020"/>
                <w:sz w:val="17"/>
              </w:rPr>
              <w:t>الفهرسة</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إنوفاتك SWD | برمجيات ذكية للعطاء وإدارة المرافق</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تبني إنوفاتك SWD منصات معيارية ثنائية اللغة لإدارة التبرعات والمرافق والزوار وتفاعل العملاء في الإمارات ومنطقة الشرق الأوسط.</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/ar/solutions</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حلول البرمجيات التشغيلية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استكشف حلول إنوفاتك لإدارة التبرعات والمرافق والصيانة والزوار والتواصل الذكي مع العملاء.</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/ar/about</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عن إنوفاتك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تعرّف إلى منهج إنوفاتك SWD في بناء برمجيات تشغيلية عربية ومعيارية بالقرب من الفرق التي تستخدمها.</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/ar/contact</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احجز جلسة عمل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أحضر إلى إنوفاتك مسار عمل حقيقياً وجهّز جلسة مركزة حول الأشخاص والأنظمة والقرار التالي.</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/ar/solutions/donation-hub</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Donation Hub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اجمع الحملات والأكشاك والتبرعات النقدية والبطاقات والقنوات الرقمية في سجل تشغيلي واحد، لتعمل المالية وتنمية الموارد من المصدر نفسه.</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/ar/solutions/bunyan-cmms</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بنيان + Twin AI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امنح كل أصل وطلب وأمر عمل والتزام خدمة مسؤولاً واحداً وتاريخاً واحداً، من الفني في الموقع إلى القائد الذي يراجع الأداء.</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/ar/solutions/visitor-management-system</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Smart VMS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نسّق تسجيل الزوار والمقاولين والتحقق في الاستقبال وإشعارات المضيف وقواعد الدخول دون فقدان حفاوة الترحيب.</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/ar/solutions/communication-platform</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منصة التواصل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اجمع طلبات الموقع والبريد والمراسلة والهاتف في مسارات مشتركة، يتعامل فيها الذكاء مع الإجابات المتكررة ويتولى الفريق المناسب ما تبقى.</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/ar/privacy</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إشعار خصوصية الموقع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إشعار خصوصية تشغيلي لإصدار موقع إنوفاتك SWD.</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noindex</w:t>
            </w:r>
          </w:p>
        </w:tc>
      </w:tr>
      <w:tr>
        <w:trPr>
          <w:cantSplit/>
        </w:trPr>
        <w:tc>
          <w:tcPr>
            <w:tcW w:type="dxa" w:w="31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left"/>
            </w:pPr>
            <w:r/>
            <w:r>
              <w:rPr>
                <w:rFonts w:ascii="Calibri" w:hAnsi="Calibri" w:eastAsia="Calibri" w:cs="Calibri"/>
                <w:b/>
                <w:color w:val="0A1020"/>
                <w:sz w:val="14"/>
              </w:rPr>
              <w:t>/ar/terms</w:t>
            </w:r>
          </w:p>
        </w:tc>
        <w:tc>
          <w:tcPr>
            <w:tcW w:type="dxa" w:w="374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شروط استخدام الموقع | إنوفاتك SWD</w:t>
            </w:r>
          </w:p>
        </w:tc>
        <w:tc>
          <w:tcPr>
            <w:tcW w:type="dxa" w:w="5904"/>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right"/>
              <w:bidi w:val="1"/>
            </w:pPr>
            <w:r/>
            <w:r>
              <w:rPr>
                <w:rFonts w:ascii="Arial" w:hAnsi="Arial" w:eastAsia="Arial" w:cs="Arial"/>
                <w:b w:val="0"/>
                <w:color w:val="0A1020"/>
                <w:sz w:val="15"/>
              </w:rPr>
              <w:t>شروط استخدام تشغيلية لإصدار موقع إنوفاتك SWD.</w:t>
            </w:r>
          </w:p>
        </w:tc>
        <w:tc>
          <w:tcPr>
            <w:tcW w:type="dxa" w:w="1152"/>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50" w:lineRule="auto"/>
              <w:jc w:val="center"/>
            </w:pPr>
            <w:r/>
            <w:r>
              <w:rPr>
                <w:rFonts w:ascii="Calibri" w:hAnsi="Calibri" w:eastAsia="Calibri" w:cs="Calibri"/>
                <w:b w:val="0"/>
                <w:color w:val="0A1020"/>
                <w:sz w:val="15"/>
              </w:rPr>
              <w:t>noindex</w:t>
            </w:r>
          </w:p>
        </w:tc>
      </w:tr>
    </w:tbl>
    <w:p>
      <w:r>
        <w:br w:type="page"/>
      </w:r>
    </w:p>
    <w:p>
      <w:pPr>
        <w:pStyle w:val="Heading1"/>
      </w:pPr>
      <w:r>
        <w:rPr>
          <w:rFonts w:ascii="Calibri" w:hAnsi="Calibri" w:eastAsia="Calibri" w:cs="Calibri"/>
          <w:b/>
          <w:color w:val="0D51CD"/>
          <w:sz w:val="32"/>
        </w:rPr>
        <w:t>Overall manager feedback</w:t>
      </w:r>
    </w:p>
    <w:p>
      <w:pPr>
        <w:spacing w:before="0" w:after="200" w:line="276" w:lineRule="auto"/>
      </w:pPr>
      <w:r>
        <w:rPr>
          <w:rFonts w:ascii="Calibri" w:hAnsi="Calibri" w:eastAsia="Calibri" w:cs="Calibri"/>
          <w:b w:val="0"/>
          <w:i w:val="0"/>
          <w:color w:val="5C667A"/>
          <w:sz w:val="20"/>
        </w:rPr>
        <w:t>Use this single field for the complete review. There are no separate feedback boxes for individual pages.</w:t>
      </w:r>
    </w:p>
    <w:tbl>
      <w:tblPr>
        <w:tblStyle w:val="TableGrid"/>
        <w:tblW w:type="dxa" w:w="13968"/>
        <w:jc w:val="left"/>
        <w:tblLayout w:type="fixed"/>
        <w:tblLook w:firstColumn="1" w:firstRow="1" w:lastColumn="0" w:lastRow="0" w:noHBand="0" w:noVBand="1" w:val="04A0"/>
        <w:tblInd w:type="dxa" w:w="120"/>
      </w:tblPr>
      <w:tblGrid>
        <w:gridCol w:w="13968"/>
      </w:tblGrid>
      <w:tr>
        <w:trPr>
          <w:tblHeader w:val="true"/>
        </w:trPr>
        <w:tc>
          <w:tcPr>
            <w:tcW w:type="dxa" w:w="13968"/>
            <w:shd w:fill="FFF6D9"/>
            <w:tcBorders>
              <w:top w:val="single" w:sz="6" w:color="E6C85A"/>
              <w:left w:val="single" w:sz="6" w:color="E6C85A"/>
              <w:bottom w:val="single" w:sz="6" w:color="E6C85A"/>
              <w:right w:val="single" w:sz="6" w:color="E6C85A"/>
              <w:insideH w:val="single" w:sz="6" w:color="E6C85A"/>
              <w:insideV w:val="single" w:sz="6" w:color="E6C85A"/>
            </w:tcBorders>
            <w:tcMar>
              <w:top w:w="80" w:type="dxa"/>
              <w:bottom w:w="80" w:type="dxa"/>
              <w:start w:w="120" w:type="dxa"/>
              <w:end w:w="120" w:type="dxa"/>
            </w:tcMar>
          </w:tcPr>
          <w:p>
            <w:pPr>
              <w:spacing w:after="0"/>
            </w:pPr>
            <w:r/>
            <w:r>
              <w:rPr>
                <w:rFonts w:ascii="Calibri" w:hAnsi="Calibri" w:eastAsia="Calibri" w:cs="Calibri"/>
                <w:b/>
                <w:color w:val="0A1020"/>
                <w:sz w:val="21"/>
              </w:rPr>
              <w:t>ONE OVERALL FEEDBACK RESPONSE</w:t>
            </w:r>
          </w:p>
        </w:tc>
      </w:tr>
      <w:tr>
        <w:trPr/>
        <w:tc>
          <w:tcPr>
            <w:tcW w:type="dxa" w:w="13968"/>
            <w:shd w:fill="FFFDF4"/>
            <w:tcBorders>
              <w:top w:val="single" w:sz="6" w:color="E6C85A"/>
              <w:left w:val="single" w:sz="6" w:color="E6C85A"/>
              <w:bottom w:val="single" w:sz="6" w:color="E6C85A"/>
              <w:right w:val="single" w:sz="6" w:color="E6C85A"/>
              <w:insideH w:val="single" w:sz="6" w:color="E6C85A"/>
              <w:insideV w:val="single" w:sz="6" w:color="E6C85A"/>
            </w:tcBorders>
            <w:tcMar>
              <w:top w:w="80" w:type="dxa"/>
              <w:bottom w:w="80" w:type="dxa"/>
              <w:start w:w="120" w:type="dxa"/>
              <w:end w:w="120" w:type="dxa"/>
            </w:tcMar>
            <w:vAlign w:val="top"/>
          </w:tcPr>
          <w:p>
            <w:pPr>
              <w:spacing w:after="0"/>
            </w:pPr>
            <w:r/>
            <w:r>
              <w:rPr>
                <w:rFonts w:ascii="Calibri" w:hAnsi="Calibri" w:eastAsia="Calibri" w:cs="Calibri"/>
                <w:i/>
                <w:color w:val="5C667A"/>
                <w:sz w:val="20"/>
              </w:rPr>
              <w:t>Type all feedback here once. For each requested edit, include the route and the exact replacement title, description, or keyword direction. If everything is approved, write: Approved as presented.</w:t>
            </w:r>
          </w:p>
          <w:p>
            <w:pPr>
              <w:spacing w:after="160"/>
            </w:pPr>
          </w:p>
          <w:p>
            <w:pPr>
              <w:spacing w:after="160"/>
            </w:pPr>
          </w:p>
          <w:p>
            <w:pPr>
              <w:spacing w:after="160"/>
            </w:pPr>
          </w:p>
          <w:p>
            <w:pPr>
              <w:spacing w:after="160"/>
            </w:pPr>
          </w:p>
          <w:p>
            <w:pPr>
              <w:spacing w:after="160"/>
            </w:pPr>
          </w:p>
          <w:p>
            <w:pPr>
              <w:spacing w:after="160"/>
            </w:pPr>
          </w:p>
          <w:p>
            <w:pPr>
              <w:spacing w:after="160"/>
            </w:pPr>
          </w:p>
          <w:p>
            <w:pPr>
              <w:spacing w:after="160"/>
            </w:pPr>
          </w:p>
          <w:p>
            <w:pPr>
              <w:spacing w:after="160"/>
            </w:pPr>
          </w:p>
          <w:p>
            <w:pPr>
              <w:spacing w:after="160"/>
            </w:pPr>
          </w:p>
        </w:tc>
      </w:tr>
    </w:tbl>
    <w:sectPr w:rsidR="00FC693F" w:rsidRPr="0006063C" w:rsidSect="00034616">
      <w:headerReference w:type="default" r:id="rId9"/>
      <w:footerReference w:type="default" r:id="rId10"/>
      <w:pgSz w:w="15840" w:h="12240" w:orient="landscape"/>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C667A"/>
        <w:sz w:val="16"/>
      </w:rPr>
      <w:t xml:space="preserve">Manager review  |  15 August 2026  |  Page </w:t>
    </w:r>
    <w:r>
      <w:rPr>
        <w:rFonts w:ascii="Calibri" w:hAnsi="Calibri" w:eastAsia="Calibri" w:cs="Calibri"/>
        <w:color w:val="5C667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0A1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D51C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D51C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color w:val="0A10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iCs/>
      <w:color w:val="5C66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Innovatek SWD - Head Tag SEO Review</dc:title>
  <dc:subject>Current title tags, meta descriptions, keyword terms and one overall feedback field</dc:subject>
  <dc:creator>Innovatek SWD</dc:creator>
  <cp:keywords>Innovatek SWD, SEO title tags, meta descriptions, keyword terms</cp:keywords>
  <dc:description>Prepared from rendered website head tags on 15 August 2026.</dc:description>
  <cp:lastModifiedBy>Innovatek SWD</cp:lastModifiedBy>
  <cp:revision>1</cp:revision>
  <dcterms:created xsi:type="dcterms:W3CDTF">2013-12-23T23:15:00Z</dcterms:created>
  <dcterms:modified xsi:type="dcterms:W3CDTF">2013-12-23T23:15:00Z</dcterms:modified>
  <cp:category/>
</cp:coreProperties>
</file>