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560"/>
      </w:pPr>
      <w:r>
        <w:drawing>
          <wp:inline xmlns:a="http://schemas.openxmlformats.org/drawingml/2006/main" xmlns:pic="http://schemas.openxmlformats.org/drawingml/2006/picture">
            <wp:extent cx="1600200" cy="445126"/>
            <wp:docPr id="1" name="Picture 1" descr="Innovatek software design logo" title="Innovatek software design log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novatek-logo-prima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4451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rPr>
          <w:rFonts w:ascii="Calibri" w:hAnsi="Calibri" w:eastAsia="Calibri" w:cs="Calibri"/>
          <w:b/>
          <w:color w:val="176BFF"/>
          <w:sz w:val="20"/>
        </w:rPr>
        <w:t>SEO REVIEW PACK</w:t>
      </w:r>
    </w:p>
    <w:p>
      <w:pPr>
        <w:pStyle w:val="Title"/>
      </w:pPr>
      <w:r>
        <w:rPr>
          <w:rFonts w:ascii="Calibri" w:hAnsi="Calibri" w:eastAsia="Calibri" w:cs="Calibri"/>
          <w:b/>
          <w:color w:val="0A1020"/>
          <w:sz w:val="56"/>
        </w:rPr>
        <w:t>Innovatek SWD — SEO Manager Review</w:t>
      </w:r>
    </w:p>
    <w:p>
      <w:pPr>
        <w:pStyle w:val="Subtitle"/>
      </w:pPr>
      <w:r>
        <w:rPr>
          <w:rFonts w:ascii="Calibri" w:hAnsi="Calibri" w:eastAsia="Calibri" w:cs="Calibri"/>
          <w:color w:val="5C667A"/>
          <w:sz w:val="27"/>
        </w:rPr>
        <w:t>Executive decisions, approvals and feedback requested for the bilingual website</w:t>
      </w:r>
    </w:p>
    <w:p>
      <w:pPr>
        <w:spacing w:after="60"/>
      </w:pPr>
      <w:r>
        <w:rPr>
          <w:rFonts w:ascii="Calibri" w:hAnsi="Calibri" w:eastAsia="Calibri" w:cs="Calibri"/>
          <w:b/>
          <w:color w:val="0A1020"/>
          <w:sz w:val="21"/>
        </w:rPr>
        <w:t xml:space="preserve">Prepared for: </w:t>
      </w:r>
      <w:r>
        <w:rPr>
          <w:rFonts w:ascii="Calibri" w:hAnsi="Calibri" w:eastAsia="Calibri" w:cs="Calibri"/>
          <w:color w:val="0A1020"/>
          <w:sz w:val="21"/>
        </w:rPr>
        <w:t>Innovatek SWD management review</w:t>
      </w:r>
    </w:p>
    <w:p>
      <w:pPr>
        <w:spacing w:after="60"/>
      </w:pPr>
      <w:r>
        <w:rPr>
          <w:rFonts w:ascii="Calibri" w:hAnsi="Calibri" w:eastAsia="Calibri" w:cs="Calibri"/>
          <w:b/>
          <w:color w:val="0A1020"/>
          <w:sz w:val="21"/>
        </w:rPr>
        <w:t xml:space="preserve">Prepared on: </w:t>
      </w:r>
      <w:r>
        <w:rPr>
          <w:rFonts w:ascii="Calibri" w:hAnsi="Calibri" w:eastAsia="Calibri" w:cs="Calibri"/>
          <w:color w:val="0A1020"/>
          <w:sz w:val="21"/>
        </w:rPr>
        <w:t>15 August 2026</w:t>
      </w:r>
    </w:p>
    <w:p>
      <w:pPr>
        <w:spacing w:after="60"/>
      </w:pPr>
      <w:r>
        <w:rPr>
          <w:rFonts w:ascii="Calibri" w:hAnsi="Calibri" w:eastAsia="Calibri" w:cs="Calibri"/>
          <w:b/>
          <w:color w:val="0A1020"/>
          <w:sz w:val="21"/>
        </w:rPr>
        <w:t xml:space="preserve">Production origin: </w:t>
      </w:r>
      <w:r>
        <w:rPr>
          <w:rFonts w:ascii="Calibri" w:hAnsi="Calibri" w:eastAsia="Calibri" w:cs="Calibri"/>
          <w:color w:val="0A1020"/>
          <w:sz w:val="21"/>
        </w:rPr>
        <w:t>https://www.innovatek.ae</w:t>
      </w:r>
    </w:p>
    <w:p>
      <w:pPr>
        <w:spacing w:after="60"/>
      </w:pPr>
      <w:r>
        <w:rPr>
          <w:rFonts w:ascii="Calibri" w:hAnsi="Calibri" w:eastAsia="Calibri" w:cs="Calibri"/>
          <w:b/>
          <w:color w:val="0A1020"/>
          <w:sz w:val="21"/>
        </w:rPr>
        <w:t xml:space="preserve">Document status: </w:t>
      </w:r>
      <w:r>
        <w:rPr>
          <w:rFonts w:ascii="Calibri" w:hAnsi="Calibri" w:eastAsia="Calibri" w:cs="Calibri"/>
          <w:color w:val="0A1020"/>
          <w:sz w:val="21"/>
        </w:rPr>
        <w:t>Editable review draft</w:t>
      </w:r>
    </w:p>
    <w:p/>
    <w:p>
      <w:pPr>
        <w:spacing w:before="80" w:after="200" w:line="276" w:lineRule="auto"/>
        <w:ind w:left="160" w:right="160"/>
        <w:shd w:fill="EDF2F9"/>
        <w:pBdr>
          <w:top w:val="single" w:sz="8" w:space="5" w:color="DDE3EE"/>
          <w:left w:val="single" w:sz="8" w:space="5" w:color="DDE3EE"/>
          <w:bottom w:val="single" w:sz="8" w:space="5" w:color="DDE3EE"/>
          <w:right w:val="single" w:sz="8" w:space="5" w:color="DDE3EE"/>
        </w:pBdr>
      </w:pPr>
      <w:r>
        <w:rPr>
          <w:rFonts w:ascii="Calibri" w:hAnsi="Calibri" w:eastAsia="Calibri" w:cs="Calibri"/>
          <w:b/>
          <w:color w:val="0A1020"/>
          <w:sz w:val="21"/>
        </w:rPr>
        <w:t xml:space="preserve">How to use this file: </w:t>
      </w:r>
      <w:r>
        <w:rPr>
          <w:rFonts w:ascii="Calibri" w:hAnsi="Calibri" w:eastAsia="Calibri" w:cs="Calibri"/>
          <w:color w:val="0A1020"/>
          <w:sz w:val="21"/>
        </w:rPr>
        <w:t>Read the current settings, mark Approve or Change, and type feedback directly in the shaded manager-notes cells. Page-level wording is documented separately in File 02.</w:t>
      </w:r>
    </w:p>
    <w:p>
      <w:r>
        <w:br w:type="page"/>
      </w:r>
    </w:p>
    <w:p>
      <w:pPr>
        <w:pStyle w:val="Heading1"/>
      </w:pPr>
      <w:r>
        <w:rPr>
          <w:rFonts w:ascii="Calibri" w:hAnsi="Calibri" w:eastAsia="Calibri" w:cs="Calibri"/>
          <w:b/>
          <w:color w:val="0D51CD"/>
          <w:sz w:val="32"/>
        </w:rPr>
        <w:t>Purpose of this review</w:t>
      </w:r>
    </w:p>
    <w:p>
      <w:pPr>
        <w:spacing w:before="0" w:after="120" w:line="283" w:lineRule="auto"/>
      </w:pPr>
      <w:r>
        <w:rPr>
          <w:rFonts w:ascii="Calibri" w:hAnsi="Calibri" w:eastAsia="Calibri" w:cs="Calibri"/>
          <w:i w:val="0"/>
          <w:color w:val="0A1020"/>
          <w:sz w:val="22"/>
        </w:rPr>
        <w:t>This pack converts the website's SEO implementation into business language. It separates what is already implemented from items that require management, product-owner or legal approval. It does not claim external keyword-volume validation, rankings or Search Console data.</w:t>
      </w:r>
    </w:p>
    <w:p>
      <w:pPr>
        <w:spacing w:before="80" w:after="200" w:line="276" w:lineRule="auto"/>
        <w:ind w:left="160" w:right="160"/>
        <w:shd w:fill="EDF2F9"/>
        <w:pBdr>
          <w:top w:val="single" w:sz="8" w:space="5" w:color="DDE3EE"/>
          <w:left w:val="single" w:sz="8" w:space="5" w:color="DDE3EE"/>
          <w:bottom w:val="single" w:sz="8" w:space="5" w:color="DDE3EE"/>
          <w:right w:val="single" w:sz="8" w:space="5" w:color="DDE3EE"/>
        </w:pBdr>
      </w:pPr>
      <w:r>
        <w:rPr>
          <w:rFonts w:ascii="Calibri" w:hAnsi="Calibri" w:eastAsia="Calibri" w:cs="Calibri"/>
          <w:b/>
          <w:color w:val="0A1020"/>
          <w:sz w:val="21"/>
        </w:rPr>
        <w:t xml:space="preserve">Current position: </w:t>
      </w:r>
      <w:r>
        <w:rPr>
          <w:rFonts w:ascii="Calibri" w:hAnsi="Calibri" w:eastAsia="Calibri" w:cs="Calibri"/>
          <w:color w:val="0A1020"/>
          <w:sz w:val="21"/>
        </w:rPr>
        <w:t>The site is configured for a bilingual UAE/MENA launch with 16 indexable pages, 4 legal pages marked noindex until approval, and one English/Arabic alternate pair for every customer-facing page.</w:t>
      </w:r>
    </w:p>
    <w:p>
      <w:pPr>
        <w:pStyle w:val="Heading1"/>
      </w:pPr>
      <w:r>
        <w:rPr>
          <w:rFonts w:ascii="Calibri" w:hAnsi="Calibri" w:eastAsia="Calibri" w:cs="Calibri"/>
          <w:b/>
          <w:color w:val="0D51CD"/>
          <w:sz w:val="32"/>
        </w:rPr>
        <w:t>SEO coverage at a glance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shd w:fill="E8EEF5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 w:cs="Calibri"/>
                <w:b/>
                <w:color w:val="0A1020"/>
                <w:sz w:val="18"/>
              </w:rPr>
              <w:t>Area</w:t>
            </w:r>
          </w:p>
        </w:tc>
        <w:tc>
          <w:tcPr>
            <w:tcW w:type="dxa" w:w="6960"/>
            <w:shd w:fill="E8EEF5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 w:cs="Calibri"/>
                <w:b/>
                <w:color w:val="0A1020"/>
                <w:sz w:val="18"/>
              </w:rPr>
              <w:t>Current implementation</w:t>
            </w:r>
          </w:p>
        </w:tc>
      </w:tr>
      <w:tr>
        <w:trPr>
          <w:cantSplit/>
        </w:trPr>
        <w:tc>
          <w:tcPr>
            <w:tcW w:type="dxa" w:w="2400"/>
            <w:shd w:fill="FFFFFF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8"/>
              </w:rPr>
              <w:t>Production origin</w:t>
            </w:r>
          </w:p>
        </w:tc>
        <w:tc>
          <w:tcPr>
            <w:tcW w:type="dxa" w:w="6960"/>
            <w:shd w:fill="FFFFFF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8"/>
              </w:rPr>
              <w:t>https://www.innovatek.ae</w:t>
            </w:r>
          </w:p>
        </w:tc>
      </w:tr>
      <w:tr>
        <w:trPr>
          <w:cantSplit/>
        </w:trPr>
        <w:tc>
          <w:tcPr>
            <w:tcW w:type="dxa" w:w="2400"/>
            <w:shd w:fill="FFFFFF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8"/>
              </w:rPr>
              <w:t>Indexable URLs</w:t>
            </w:r>
          </w:p>
        </w:tc>
        <w:tc>
          <w:tcPr>
            <w:tcW w:type="dxa" w:w="6960"/>
            <w:shd w:fill="FFFFFF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8"/>
              </w:rPr>
              <w:t>16: home, solutions, about, contact and four solution pages in English and Arabic</w:t>
            </w:r>
          </w:p>
        </w:tc>
      </w:tr>
      <w:tr>
        <w:trPr>
          <w:cantSplit/>
        </w:trPr>
        <w:tc>
          <w:tcPr>
            <w:tcW w:type="dxa" w:w="2400"/>
            <w:shd w:fill="FFFFFF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8"/>
              </w:rPr>
              <w:t>Noindex URLs</w:t>
            </w:r>
          </w:p>
        </w:tc>
        <w:tc>
          <w:tcPr>
            <w:tcW w:type="dxa" w:w="6960"/>
            <w:shd w:fill="FFFFFF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8"/>
              </w:rPr>
              <w:t>4: English/Arabic privacy and terms pages, pending legal approval</w:t>
            </w:r>
          </w:p>
        </w:tc>
      </w:tr>
      <w:tr>
        <w:trPr>
          <w:cantSplit/>
        </w:trPr>
        <w:tc>
          <w:tcPr>
            <w:tcW w:type="dxa" w:w="2400"/>
            <w:shd w:fill="FFFFFF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8"/>
              </w:rPr>
              <w:t>Languages</w:t>
            </w:r>
          </w:p>
        </w:tc>
        <w:tc>
          <w:tcPr>
            <w:tcW w:type="dxa" w:w="6960"/>
            <w:shd w:fill="FFFFFF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8"/>
              </w:rPr>
              <w:t>English en-AE / left-to-right; Arabic ar-AE / right-to-left</w:t>
            </w:r>
          </w:p>
        </w:tc>
      </w:tr>
      <w:tr>
        <w:trPr>
          <w:cantSplit/>
        </w:trPr>
        <w:tc>
          <w:tcPr>
            <w:tcW w:type="dxa" w:w="2400"/>
            <w:shd w:fill="FFFFFF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8"/>
              </w:rPr>
              <w:t>Primary conversion</w:t>
            </w:r>
          </w:p>
        </w:tc>
        <w:tc>
          <w:tcPr>
            <w:tcW w:type="dxa" w:w="6960"/>
            <w:shd w:fill="FFFFFF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right"/>
              <w:bidi w:val="1"/>
            </w:pPr>
            <w:r/>
            <w:r>
              <w:rPr>
                <w:rFonts w:ascii="Arial" w:hAnsi="Arial" w:eastAsia="Arial" w:cs="Arial"/>
                <w:color w:val="0A1020"/>
                <w:sz w:val="18"/>
              </w:rPr>
              <w:t>Book a working session / احجز جلسة عمل</w:t>
            </w:r>
          </w:p>
        </w:tc>
      </w:tr>
      <w:tr>
        <w:trPr>
          <w:cantSplit/>
        </w:trPr>
        <w:tc>
          <w:tcPr>
            <w:tcW w:type="dxa" w:w="2400"/>
            <w:shd w:fill="FFFFFF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8"/>
              </w:rPr>
              <w:t>Main geography</w:t>
            </w:r>
          </w:p>
        </w:tc>
        <w:tc>
          <w:tcPr>
            <w:tcW w:type="dxa" w:w="6960"/>
            <w:shd w:fill="FFFFFF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8"/>
              </w:rPr>
              <w:t>United Arab Emirates, with supporting MENA positioning in core descriptions</w:t>
            </w:r>
          </w:p>
        </w:tc>
      </w:tr>
      <w:tr>
        <w:trPr>
          <w:cantSplit/>
        </w:trPr>
        <w:tc>
          <w:tcPr>
            <w:tcW w:type="dxa" w:w="2400"/>
            <w:shd w:fill="FFFFFF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8"/>
              </w:rPr>
              <w:t>Searchable product areas</w:t>
            </w:r>
          </w:p>
        </w:tc>
        <w:tc>
          <w:tcPr>
            <w:tcW w:type="dxa" w:w="6960"/>
            <w:shd w:fill="FFFFFF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8"/>
              </w:rPr>
              <w:t>Donation management, facilities/CMMS, visitor management and AI customer communication</w:t>
            </w:r>
          </w:p>
        </w:tc>
      </w:tr>
      <w:tr>
        <w:trPr>
          <w:cantSplit/>
        </w:trPr>
        <w:tc>
          <w:tcPr>
            <w:tcW w:type="dxa" w:w="2400"/>
            <w:shd w:fill="FFFFFF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8"/>
              </w:rPr>
              <w:t>Structured data</w:t>
            </w:r>
          </w:p>
        </w:tc>
        <w:tc>
          <w:tcPr>
            <w:tcW w:type="dxa" w:w="6960"/>
            <w:shd w:fill="FFFFFF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8"/>
              </w:rPr>
              <w:t>Organization, WebSite, WebPage, ItemList, FAQPage, Service, BreadcrumbList, AboutPage and ContactPage</w:t>
            </w:r>
          </w:p>
        </w:tc>
      </w:tr>
      <w:tr>
        <w:trPr>
          <w:cantSplit/>
        </w:trPr>
        <w:tc>
          <w:tcPr>
            <w:tcW w:type="dxa" w:w="2400"/>
            <w:shd w:fill="FFFFFF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8"/>
              </w:rPr>
              <w:t>Social sharing</w:t>
            </w:r>
          </w:p>
        </w:tc>
        <w:tc>
          <w:tcPr>
            <w:tcW w:type="dxa" w:w="6960"/>
            <w:shd w:fill="FFFFFF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8"/>
              </w:rPr>
              <w:t>Open Graph and large-image Twitter metadata; 1200×630 brand social image plus solution-specific contextual images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rPr>
          <w:rFonts w:ascii="Calibri" w:hAnsi="Calibri" w:eastAsia="Calibri" w:cs="Calibri"/>
          <w:b/>
          <w:color w:val="0D51CD"/>
          <w:sz w:val="32"/>
        </w:rPr>
        <w:t>Management decisions requested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3100"/>
        <w:gridCol w:w="2600"/>
        <w:gridCol w:w="1960"/>
      </w:tblGrid>
      <w:tr>
        <w:trPr>
          <w:tblHeader w:val="true"/>
        </w:trPr>
        <w:tc>
          <w:tcPr>
            <w:tcW w:type="dxa" w:w="1700"/>
            <w:shd w:fill="FFF4CC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 w:cs="Calibri"/>
                <w:b/>
                <w:color w:val="0A1020"/>
                <w:sz w:val="17"/>
              </w:rPr>
              <w:t>Decision area</w:t>
            </w:r>
          </w:p>
        </w:tc>
        <w:tc>
          <w:tcPr>
            <w:tcW w:type="dxa" w:w="3100"/>
            <w:shd w:fill="FFF4CC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 w:cs="Calibri"/>
                <w:b/>
                <w:color w:val="0A1020"/>
                <w:sz w:val="17"/>
              </w:rPr>
              <w:t>Current implementation</w:t>
            </w:r>
          </w:p>
        </w:tc>
        <w:tc>
          <w:tcPr>
            <w:tcW w:type="dxa" w:w="2600"/>
            <w:shd w:fill="FFF4CC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 w:cs="Calibri"/>
                <w:b/>
                <w:color w:val="0A1020"/>
                <w:sz w:val="17"/>
              </w:rPr>
              <w:t>Decision needed</w:t>
            </w:r>
          </w:p>
        </w:tc>
        <w:tc>
          <w:tcPr>
            <w:tcW w:type="dxa" w:w="1960"/>
            <w:shd w:fill="FFF4CC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 w:cs="Calibri"/>
                <w:b/>
                <w:color w:val="0A1020"/>
                <w:sz w:val="17"/>
              </w:rPr>
              <w:t>Manager notes</w:t>
            </w:r>
          </w:p>
        </w:tc>
      </w:tr>
      <w:tr>
        <w:trPr>
          <w:cantSplit/>
        </w:trPr>
        <w:tc>
          <w:tcPr>
            <w:tcW w:type="dxa" w:w="1700"/>
            <w:shd w:fill="FFFDF4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Brand name</w:t>
            </w:r>
          </w:p>
        </w:tc>
        <w:tc>
          <w:tcPr>
            <w:tcW w:type="dxa" w:w="3100"/>
            <w:shd w:fill="FFFDF4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right"/>
              <w:bidi w:val="1"/>
            </w:pPr>
            <w:r/>
            <w:r>
              <w:rPr>
                <w:rFonts w:ascii="Arial" w:hAnsi="Arial" w:eastAsia="Arial" w:cs="Arial"/>
                <w:color w:val="0A1020"/>
                <w:sz w:val="17"/>
              </w:rPr>
              <w:t>Innovatek SWD / إنوفاتك SWD</w:t>
            </w:r>
          </w:p>
        </w:tc>
        <w:tc>
          <w:tcPr>
            <w:tcW w:type="dxa" w:w="2600"/>
            <w:shd w:fill="FFFDF4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Confirm exact public spelling and whether SWD must appear on every result.</w:t>
            </w:r>
          </w:p>
        </w:tc>
        <w:tc>
          <w:tcPr>
            <w:tcW w:type="dxa" w:w="1960"/>
            <w:shd w:fill="FFFDF4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[Type feedback]</w:t>
            </w:r>
          </w:p>
        </w:tc>
      </w:tr>
      <w:tr>
        <w:trPr>
          <w:cantSplit/>
        </w:trPr>
        <w:tc>
          <w:tcPr>
            <w:tcW w:type="dxa" w:w="1700"/>
            <w:shd w:fill="FFFDF4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Company promise</w:t>
            </w:r>
          </w:p>
        </w:tc>
        <w:tc>
          <w:tcPr>
            <w:tcW w:type="dxa" w:w="3100"/>
            <w:shd w:fill="FFFDF4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Modular, Arabic-ready operational software for giving, facilities, visitors and customer engagement.</w:t>
            </w:r>
          </w:p>
        </w:tc>
        <w:tc>
          <w:tcPr>
            <w:tcW w:type="dxa" w:w="2600"/>
            <w:shd w:fill="FFFDF4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Approve or provide the preferred one-sentence corporate descriptor.</w:t>
            </w:r>
          </w:p>
        </w:tc>
        <w:tc>
          <w:tcPr>
            <w:tcW w:type="dxa" w:w="1960"/>
            <w:shd w:fill="FFFDF4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[Type feedback]</w:t>
            </w:r>
          </w:p>
        </w:tc>
      </w:tr>
      <w:tr>
        <w:trPr>
          <w:cantSplit/>
        </w:trPr>
        <w:tc>
          <w:tcPr>
            <w:tcW w:type="dxa" w:w="1700"/>
            <w:shd w:fill="FFFDF4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Geography</w:t>
            </w:r>
          </w:p>
        </w:tc>
        <w:tc>
          <w:tcPr>
            <w:tcW w:type="dxa" w:w="3100"/>
            <w:shd w:fill="FFFDF4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UAE is primary; MENA appears in English/Arabic home descriptions.</w:t>
            </w:r>
          </w:p>
        </w:tc>
        <w:tc>
          <w:tcPr>
            <w:tcW w:type="dxa" w:w="2600"/>
            <w:shd w:fill="FFFDF4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Choose: UAE only / UAE + GCC / UAE + MENA.</w:t>
            </w:r>
          </w:p>
        </w:tc>
        <w:tc>
          <w:tcPr>
            <w:tcW w:type="dxa" w:w="1960"/>
            <w:shd w:fill="FFFDF4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[Type feedback]</w:t>
            </w:r>
          </w:p>
        </w:tc>
      </w:tr>
      <w:tr>
        <w:trPr>
          <w:cantSplit/>
        </w:trPr>
        <w:tc>
          <w:tcPr>
            <w:tcW w:type="dxa" w:w="1700"/>
            <w:shd w:fill="FFFDF4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Primary audiences</w:t>
            </w:r>
          </w:p>
        </w:tc>
        <w:tc>
          <w:tcPr>
            <w:tcW w:type="dxa" w:w="3100"/>
            <w:shd w:fill="FFFDF4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Foundations, charities, Awqaf, government, health authorities, facilities, finance, visitor services and customer care.</w:t>
            </w:r>
          </w:p>
        </w:tc>
        <w:tc>
          <w:tcPr>
            <w:tcW w:type="dxa" w:w="2600"/>
            <w:shd w:fill="FFFDF4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Confirm priority order and any sector to remove or add.</w:t>
            </w:r>
          </w:p>
        </w:tc>
        <w:tc>
          <w:tcPr>
            <w:tcW w:type="dxa" w:w="1960"/>
            <w:shd w:fill="FFFDF4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[Type feedback]</w:t>
            </w:r>
          </w:p>
        </w:tc>
      </w:tr>
      <w:tr>
        <w:trPr>
          <w:cantSplit/>
        </w:trPr>
        <w:tc>
          <w:tcPr>
            <w:tcW w:type="dxa" w:w="1700"/>
            <w:shd w:fill="FFFDF4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Product naming</w:t>
            </w:r>
          </w:p>
        </w:tc>
        <w:tc>
          <w:tcPr>
            <w:tcW w:type="dxa" w:w="3100"/>
            <w:shd w:fill="FFFDF4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Donation Hub; Bunyan + Twin AI; Smart VMS; Communication Platform.</w:t>
            </w:r>
          </w:p>
        </w:tc>
        <w:tc>
          <w:tcPr>
            <w:tcW w:type="dxa" w:w="2600"/>
            <w:shd w:fill="FFFDF4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Approve spelling, capitalization and Arabic product names.</w:t>
            </w:r>
          </w:p>
        </w:tc>
        <w:tc>
          <w:tcPr>
            <w:tcW w:type="dxa" w:w="1960"/>
            <w:shd w:fill="FFFDF4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[Type feedback]</w:t>
            </w:r>
          </w:p>
        </w:tc>
      </w:tr>
      <w:tr>
        <w:trPr>
          <w:cantSplit/>
        </w:trPr>
        <w:tc>
          <w:tcPr>
            <w:tcW w:type="dxa" w:w="1700"/>
            <w:shd w:fill="FFFDF4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Primary CTA</w:t>
            </w:r>
          </w:p>
        </w:tc>
        <w:tc>
          <w:tcPr>
            <w:tcW w:type="dxa" w:w="3100"/>
            <w:shd w:fill="FFFDF4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Book a working session; the contact flow prepares an email draft.</w:t>
            </w:r>
          </w:p>
        </w:tc>
        <w:tc>
          <w:tcPr>
            <w:tcW w:type="dxa" w:w="2600"/>
            <w:shd w:fill="FFFDF4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Approve CTA wording and contact method.</w:t>
            </w:r>
          </w:p>
        </w:tc>
        <w:tc>
          <w:tcPr>
            <w:tcW w:type="dxa" w:w="1960"/>
            <w:shd w:fill="FFFDF4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[Type feedback]</w:t>
            </w:r>
          </w:p>
        </w:tc>
      </w:tr>
      <w:tr>
        <w:trPr>
          <w:cantSplit/>
        </w:trPr>
        <w:tc>
          <w:tcPr>
            <w:tcW w:type="dxa" w:w="1700"/>
            <w:shd w:fill="FFFDF4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Sales contact</w:t>
            </w:r>
          </w:p>
        </w:tc>
        <w:tc>
          <w:tcPr>
            <w:tcW w:type="dxa" w:w="3100"/>
            <w:shd w:fill="FFFDF4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Sales@innovatek-swd.com; 055 889 1317; Business Bay, Dubai, UAE.</w:t>
            </w:r>
          </w:p>
        </w:tc>
        <w:tc>
          <w:tcPr>
            <w:tcW w:type="dxa" w:w="2600"/>
            <w:shd w:fill="FFFDF4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Confirm these are the approved public contact details.</w:t>
            </w:r>
          </w:p>
        </w:tc>
        <w:tc>
          <w:tcPr>
            <w:tcW w:type="dxa" w:w="1960"/>
            <w:shd w:fill="FFFDF4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[Type feedback]</w:t>
            </w:r>
          </w:p>
        </w:tc>
      </w:tr>
      <w:tr>
        <w:trPr>
          <w:cantSplit/>
        </w:trPr>
        <w:tc>
          <w:tcPr>
            <w:tcW w:type="dxa" w:w="1700"/>
            <w:shd w:fill="FFFDF4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Arabic positioning</w:t>
            </w:r>
          </w:p>
        </w:tc>
        <w:tc>
          <w:tcPr>
            <w:tcW w:type="dxa" w:w="3100"/>
            <w:shd w:fill="FFFDF4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Arabic-ready / bilingual workflows are a core differentiator.</w:t>
            </w:r>
          </w:p>
        </w:tc>
        <w:tc>
          <w:tcPr>
            <w:tcW w:type="dxa" w:w="2600"/>
            <w:shd w:fill="FFFDF4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Approve terminology and whether this should be stronger in English titles.</w:t>
            </w:r>
          </w:p>
        </w:tc>
        <w:tc>
          <w:tcPr>
            <w:tcW w:type="dxa" w:w="1960"/>
            <w:shd w:fill="FFFDF4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[Type feedback]</w:t>
            </w:r>
          </w:p>
        </w:tc>
      </w:tr>
      <w:tr>
        <w:trPr>
          <w:cantSplit/>
        </w:trPr>
        <w:tc>
          <w:tcPr>
            <w:tcW w:type="dxa" w:w="1700"/>
            <w:shd w:fill="FFFDF4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Legal indexing</w:t>
            </w:r>
          </w:p>
        </w:tc>
        <w:tc>
          <w:tcPr>
            <w:tcW w:type="dxa" w:w="3100"/>
            <w:shd w:fill="FFFDF4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Privacy and terms are noindex, follow and excluded from the sitemap until legal review.</w:t>
            </w:r>
          </w:p>
        </w:tc>
        <w:tc>
          <w:tcPr>
            <w:tcW w:type="dxa" w:w="2600"/>
            <w:shd w:fill="FFFDF4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Approve current temporary policy or request a launch date for indexing.</w:t>
            </w:r>
          </w:p>
        </w:tc>
        <w:tc>
          <w:tcPr>
            <w:tcW w:type="dxa" w:w="1960"/>
            <w:shd w:fill="FFFDF4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[Type feedback]</w:t>
            </w:r>
          </w:p>
        </w:tc>
      </w:tr>
      <w:tr>
        <w:trPr>
          <w:cantSplit/>
        </w:trPr>
        <w:tc>
          <w:tcPr>
            <w:tcW w:type="dxa" w:w="1700"/>
            <w:shd w:fill="FFFDF4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Claims policy</w:t>
            </w:r>
          </w:p>
        </w:tc>
        <w:tc>
          <w:tcPr>
            <w:tcW w:type="dxa" w:w="3100"/>
            <w:shd w:fill="FFFDF4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No unverified customer statistics, performance claims or testimonial identities are used.</w:t>
            </w:r>
          </w:p>
        </w:tc>
        <w:tc>
          <w:tcPr>
            <w:tcW w:type="dxa" w:w="2600"/>
            <w:shd w:fill="FFFDF4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List any approved proof points and their evidence owner.</w:t>
            </w:r>
          </w:p>
        </w:tc>
        <w:tc>
          <w:tcPr>
            <w:tcW w:type="dxa" w:w="1960"/>
            <w:shd w:fill="FFFDF4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[Type feedback]</w:t>
            </w:r>
          </w:p>
        </w:tc>
      </w:tr>
      <w:tr>
        <w:trPr>
          <w:cantSplit/>
        </w:trPr>
        <w:tc>
          <w:tcPr>
            <w:tcW w:type="dxa" w:w="1700"/>
            <w:shd w:fill="FFFDF4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Social preview</w:t>
            </w:r>
          </w:p>
        </w:tc>
        <w:tc>
          <w:tcPr>
            <w:tcW w:type="dxa" w:w="3100"/>
            <w:shd w:fill="FFFDF4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One 1200×630 brand image plus contextual product/about images.</w:t>
            </w:r>
          </w:p>
        </w:tc>
        <w:tc>
          <w:tcPr>
            <w:tcW w:type="dxa" w:w="2600"/>
            <w:shd w:fill="FFFDF4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Approve imagery and public brand wording.</w:t>
            </w:r>
          </w:p>
        </w:tc>
        <w:tc>
          <w:tcPr>
            <w:tcW w:type="dxa" w:w="1960"/>
            <w:shd w:fill="FFFDF4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7"/>
              </w:rPr>
              <w:t>[Type feedback]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rPr>
          <w:rFonts w:ascii="Calibri" w:hAnsi="Calibri" w:eastAsia="Calibri" w:cs="Calibri"/>
          <w:b/>
          <w:color w:val="0D51CD"/>
          <w:sz w:val="32"/>
        </w:rPr>
        <w:t>Claims and approval boundaries</w:t>
      </w:r>
    </w:p>
    <w:p>
      <w:pPr>
        <w:spacing w:before="0" w:after="120" w:line="283" w:lineRule="auto"/>
      </w:pPr>
      <w:r>
        <w:rPr>
          <w:rFonts w:ascii="Calibri" w:hAnsi="Calibri" w:eastAsia="Calibri" w:cs="Calibri"/>
          <w:i w:val="0"/>
          <w:color w:val="0A1020"/>
          <w:sz w:val="22"/>
        </w:rPr>
        <w:t>Current customer logos: Nine supplied UAE foundation/government logos appear in the trust panel. Management should confirm that Innovatek has permission to display every logo publicly.</w:t>
      </w:r>
    </w:p>
    <w:p>
      <w:pPr>
        <w:spacing w:before="0" w:after="120" w:line="283" w:lineRule="auto"/>
      </w:pPr>
      <w:r>
        <w:rPr>
          <w:rFonts w:ascii="Calibri" w:hAnsi="Calibri" w:eastAsia="Calibri" w:cs="Calibri"/>
          <w:i w:val="0"/>
          <w:color w:val="0A1020"/>
          <w:sz w:val="22"/>
        </w:rPr>
        <w:t>Current location fact: Business Bay, Dubai, UAE is published in the visible contact details and Organization structured data. Management should confirm this is the approved public business address.</w:t>
      </w:r>
    </w:p>
    <w:p>
      <w:pPr>
        <w:spacing w:before="0" w:after="120" w:line="283" w:lineRule="auto"/>
      </w:pPr>
      <w:r>
        <w:rPr>
          <w:rFonts w:ascii="Calibri" w:hAnsi="Calibri" w:eastAsia="Calibri" w:cs="Calibri"/>
          <w:i w:val="0"/>
          <w:color w:val="0A1020"/>
          <w:sz w:val="22"/>
        </w:rPr>
        <w:t>Current service area fact: Solution structured data states United Arab Emirates. Management should confirm whether service availability should be UAE, GCC or MENA.</w:t>
      </w:r>
    </w:p>
    <w:p>
      <w:pPr>
        <w:spacing w:before="0" w:after="120" w:line="283" w:lineRule="auto"/>
      </w:pPr>
      <w:r>
        <w:rPr>
          <w:rFonts w:ascii="Calibri" w:hAnsi="Calibri" w:eastAsia="Calibri" w:cs="Calibri"/>
          <w:i w:val="0"/>
          <w:color w:val="0A1020"/>
          <w:sz w:val="22"/>
        </w:rPr>
        <w:t>Current contact facts: Sales@innovatek-swd.com and 055 889 1317 are published for sales enquiries; +971 55 889 1317 is used in structured data. Confirm both channels are monitored and approved for public enquiries.</w:t>
      </w:r>
    </w:p>
    <w:p>
      <w:pPr>
        <w:pStyle w:val="Heading1"/>
      </w:pPr>
      <w:r>
        <w:rPr>
          <w:rFonts w:ascii="Calibri" w:hAnsi="Calibri" w:eastAsia="Calibri" w:cs="Calibri"/>
          <w:b/>
          <w:color w:val="0D51CD"/>
          <w:sz w:val="32"/>
        </w:rPr>
        <w:t>Overall manager sign-off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shd w:fill="FFF4CC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 w:cs="Calibri"/>
                <w:b/>
                <w:color w:val="0A1020"/>
                <w:sz w:val="18"/>
              </w:rPr>
              <w:t>Field</w:t>
            </w:r>
          </w:p>
        </w:tc>
        <w:tc>
          <w:tcPr>
            <w:tcW w:type="dxa" w:w="6760"/>
            <w:shd w:fill="FFF4CC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 w:cs="Calibri"/>
                <w:b/>
                <w:color w:val="0A1020"/>
                <w:sz w:val="18"/>
              </w:rPr>
              <w:t>Manager response</w:t>
            </w:r>
          </w:p>
        </w:tc>
      </w:tr>
      <w:tr>
        <w:trPr>
          <w:cantSplit/>
        </w:trPr>
        <w:tc>
          <w:tcPr>
            <w:tcW w:type="dxa" w:w="2600"/>
            <w:shd w:fill="FFFBEA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8"/>
              </w:rPr>
              <w:t>Overall status</w:t>
            </w:r>
          </w:p>
        </w:tc>
        <w:tc>
          <w:tcPr>
            <w:tcW w:type="dxa" w:w="6760"/>
            <w:shd w:fill="FFFBEA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8"/>
              </w:rPr>
              <w:t>□ Approved  □ Approved with changes  □ Discussion required</w:t>
            </w:r>
          </w:p>
        </w:tc>
      </w:tr>
      <w:tr>
        <w:trPr>
          <w:cantSplit/>
        </w:trPr>
        <w:tc>
          <w:tcPr>
            <w:tcW w:type="dxa" w:w="2600"/>
            <w:shd w:fill="FFFBEA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8"/>
              </w:rPr>
              <w:t>Highest-priority change</w:t>
            </w:r>
          </w:p>
        </w:tc>
        <w:tc>
          <w:tcPr>
            <w:tcW w:type="dxa" w:w="6760"/>
            <w:shd w:fill="FFFBEA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8"/>
              </w:rPr>
              <w:t>[Type here]</w:t>
            </w:r>
          </w:p>
        </w:tc>
      </w:tr>
      <w:tr>
        <w:trPr>
          <w:cantSplit/>
        </w:trPr>
        <w:tc>
          <w:tcPr>
            <w:tcW w:type="dxa" w:w="2600"/>
            <w:shd w:fill="FFFBEA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8"/>
              </w:rPr>
              <w:t>Approved company descriptor</w:t>
            </w:r>
          </w:p>
        </w:tc>
        <w:tc>
          <w:tcPr>
            <w:tcW w:type="dxa" w:w="6760"/>
            <w:shd w:fill="FFFBEA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8"/>
              </w:rPr>
              <w:t>[Type here or write “Current wording approved”]</w:t>
            </w:r>
          </w:p>
        </w:tc>
      </w:tr>
      <w:tr>
        <w:trPr>
          <w:cantSplit/>
        </w:trPr>
        <w:tc>
          <w:tcPr>
            <w:tcW w:type="dxa" w:w="2600"/>
            <w:shd w:fill="FFFBEA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8"/>
              </w:rPr>
              <w:t>Approved geography</w:t>
            </w:r>
          </w:p>
        </w:tc>
        <w:tc>
          <w:tcPr>
            <w:tcW w:type="dxa" w:w="6760"/>
            <w:shd w:fill="FFFBEA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8"/>
              </w:rPr>
              <w:t>[Type here]</w:t>
            </w:r>
          </w:p>
        </w:tc>
      </w:tr>
      <w:tr>
        <w:trPr>
          <w:cantSplit/>
        </w:trPr>
        <w:tc>
          <w:tcPr>
            <w:tcW w:type="dxa" w:w="2600"/>
            <w:shd w:fill="FFFBEA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8"/>
              </w:rPr>
              <w:t>Approved product names</w:t>
            </w:r>
          </w:p>
        </w:tc>
        <w:tc>
          <w:tcPr>
            <w:tcW w:type="dxa" w:w="6760"/>
            <w:shd w:fill="FFFBEA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8"/>
              </w:rPr>
              <w:t>[Type here or write “All approved”]</w:t>
            </w:r>
          </w:p>
        </w:tc>
      </w:tr>
      <w:tr>
        <w:trPr>
          <w:cantSplit/>
        </w:trPr>
        <w:tc>
          <w:tcPr>
            <w:tcW w:type="dxa" w:w="2600"/>
            <w:shd w:fill="FFFBEA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8"/>
              </w:rPr>
              <w:t>Reviewer name and role</w:t>
            </w:r>
          </w:p>
        </w:tc>
        <w:tc>
          <w:tcPr>
            <w:tcW w:type="dxa" w:w="6760"/>
            <w:shd w:fill="FFFBEA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8"/>
              </w:rPr>
              <w:t>[Type here]</w:t>
            </w:r>
          </w:p>
        </w:tc>
      </w:tr>
      <w:tr>
        <w:trPr>
          <w:cantSplit/>
        </w:trPr>
        <w:tc>
          <w:tcPr>
            <w:tcW w:type="dxa" w:w="2600"/>
            <w:shd w:fill="FFFBEA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8"/>
              </w:rPr>
              <w:t>Review date</w:t>
            </w:r>
          </w:p>
        </w:tc>
        <w:tc>
          <w:tcPr>
            <w:tcW w:type="dxa" w:w="6760"/>
            <w:shd w:fill="FFFBEA"/>
            <w:tcBorders>
              <w:top w:val="single" w:sz="6" w:color="DDE3EE"/>
              <w:left w:val="single" w:sz="6" w:color="DDE3EE"/>
              <w:bottom w:val="single" w:sz="6" w:color="DDE3EE"/>
              <w:right w:val="single" w:sz="6" w:color="DDE3EE"/>
              <w:insideH w:val="single" w:sz="6" w:color="DDE3EE"/>
              <w:insideV w:val="single" w:sz="6" w:color="DDE3E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Calibri" w:hAnsi="Calibri" w:eastAsia="Calibri" w:cs="Calibri"/>
                <w:color w:val="0A1020"/>
                <w:sz w:val="18"/>
              </w:rPr>
              <w:t>[Type here]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eastAsia="Calibri" w:cs="Calibri"/>
        <w:color w:val="5C667A"/>
        <w:sz w:val="17"/>
      </w:rPr>
      <w:t xml:space="preserve">Innovatek SWD  •  Executive Review  •  Page </w:t>
    </w:r>
    <w:r>
      <w:rPr>
        <w:rFonts w:ascii="Calibri" w:hAnsi="Calibri" w:eastAsia="Calibri" w:cs="Calibri"/>
        <w:color w:val="5C667A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jc w:val="left"/>
    </w:pPr>
    <w:r>
      <w:rPr>
        <w:rFonts w:ascii="Calibri" w:hAnsi="Calibri" w:eastAsia="Calibri" w:cs="Calibri"/>
        <w:b/>
        <w:color w:val="5C667A"/>
        <w:sz w:val="17"/>
      </w:rPr>
      <w:t>INNOVATEK SWD  |  SEO REVIEW PACK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0A102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D51C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D51C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A102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360"/>
    </w:pPr>
    <w:rPr>
      <w:rFonts w:asciiTheme="majorHAnsi" w:eastAsiaTheme="majorEastAsia" w:hAnsiTheme="majorHAnsi" w:cstheme="majorBidi" w:ascii="Calibri" w:hAnsi="Calibri"/>
      <w:i/>
      <w:iCs/>
      <w:color w:val="5C667A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Innovatek SWD — SEO Manager Review</dc:title>
  <dc:subject>Executive decisions, approvals and feedback requested for the bilingual website</dc:subject>
  <dc:creator>Innovatek SWD</dc:creator>
  <cp:keywords>SEO, metadata, bilingual website, manager review, Innovatek SWD</cp:keywords>
  <dc:description>Prepared from the rendered website and source configuration on 15 August 2026.</dc:description>
  <cp:lastModifiedBy>Innovatek SWD</cp:lastModifiedBy>
  <cp:revision>1</cp:revision>
  <dcterms:created xsi:type="dcterms:W3CDTF">2013-12-23T23:15:00Z</dcterms:created>
  <dcterms:modified xsi:type="dcterms:W3CDTF">2013-12-23T23:15:00Z</dcterms:modified>
  <cp:category/>
</cp:coreProperties>
</file>