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132B" w14:textId="1261BDA0" w:rsidR="002511A6" w:rsidRDefault="00863833" w:rsidP="00863833">
      <w:pPr>
        <w:pStyle w:val="Heading1"/>
      </w:pPr>
      <w:r>
        <w:t>Updated Assumptions</w:t>
      </w:r>
    </w:p>
    <w:p w14:paraId="04FD9184" w14:textId="77777777" w:rsidR="00863833" w:rsidRDefault="00863833" w:rsidP="00863833">
      <w:pPr>
        <w:spacing w:after="0"/>
        <w:rPr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2750"/>
        <w:gridCol w:w="3479"/>
      </w:tblGrid>
      <w:tr w:rsidR="00863833" w:rsidRPr="00863833" w14:paraId="25075F46" w14:textId="77777777" w:rsidTr="000D3DA9">
        <w:trPr>
          <w:tblHeader/>
          <w:tblCellSpacing w:w="15" w:type="dxa"/>
        </w:trPr>
        <w:tc>
          <w:tcPr>
            <w:tcW w:w="0" w:type="auto"/>
            <w:hideMark/>
          </w:tcPr>
          <w:p w14:paraId="5C9CC015" w14:textId="77777777" w:rsidR="00863833" w:rsidRPr="00863833" w:rsidRDefault="00863833" w:rsidP="000D3DA9">
            <w:pPr>
              <w:spacing w:after="0"/>
              <w:rPr>
                <w:b/>
                <w:bCs/>
                <w:sz w:val="20"/>
                <w:szCs w:val="20"/>
              </w:rPr>
            </w:pPr>
            <w:r w:rsidRPr="00863833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hideMark/>
          </w:tcPr>
          <w:p w14:paraId="0481D07B" w14:textId="77777777" w:rsidR="00863833" w:rsidRPr="00863833" w:rsidRDefault="00863833" w:rsidP="000D3DA9">
            <w:pPr>
              <w:spacing w:after="0"/>
              <w:rPr>
                <w:b/>
                <w:bCs/>
                <w:sz w:val="20"/>
                <w:szCs w:val="20"/>
              </w:rPr>
            </w:pPr>
            <w:r w:rsidRPr="00863833">
              <w:rPr>
                <w:b/>
                <w:bCs/>
                <w:sz w:val="20"/>
                <w:szCs w:val="20"/>
              </w:rPr>
              <w:t>Why It Matters</w:t>
            </w:r>
          </w:p>
        </w:tc>
        <w:tc>
          <w:tcPr>
            <w:tcW w:w="0" w:type="auto"/>
            <w:hideMark/>
          </w:tcPr>
          <w:p w14:paraId="0327B2EA" w14:textId="77777777" w:rsidR="00863833" w:rsidRPr="00863833" w:rsidRDefault="00863833" w:rsidP="000D3DA9">
            <w:pPr>
              <w:spacing w:after="0"/>
              <w:rPr>
                <w:b/>
                <w:bCs/>
                <w:sz w:val="20"/>
                <w:szCs w:val="20"/>
              </w:rPr>
            </w:pPr>
            <w:r w:rsidRPr="00863833">
              <w:rPr>
                <w:b/>
                <w:bCs/>
                <w:sz w:val="20"/>
                <w:szCs w:val="20"/>
              </w:rPr>
              <w:t>Provisional Assumption</w:t>
            </w:r>
          </w:p>
        </w:tc>
      </w:tr>
      <w:tr w:rsidR="00863833" w:rsidRPr="00863833" w14:paraId="033F9A77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26DED6FA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How many intermediaries will participate, and of what types?</w:t>
            </w:r>
          </w:p>
        </w:tc>
        <w:tc>
          <w:tcPr>
            <w:tcW w:w="0" w:type="auto"/>
            <w:hideMark/>
          </w:tcPr>
          <w:p w14:paraId="4DE9F76E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Largest driver of duplicated implementation and governance cost</w:t>
            </w:r>
          </w:p>
        </w:tc>
        <w:tc>
          <w:tcPr>
            <w:tcW w:w="0" w:type="auto"/>
            <w:hideMark/>
          </w:tcPr>
          <w:p w14:paraId="23C62329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 xml:space="preserve">Base case: </w:t>
            </w:r>
            <w:r>
              <w:rPr>
                <w:sz w:val="20"/>
                <w:szCs w:val="20"/>
              </w:rPr>
              <w:t>1</w:t>
            </w:r>
            <w:r w:rsidRPr="00863833">
              <w:rPr>
                <w:sz w:val="20"/>
                <w:szCs w:val="20"/>
              </w:rPr>
              <w:t xml:space="preserve"> intermediar</w:t>
            </w:r>
            <w:r>
              <w:rPr>
                <w:sz w:val="20"/>
                <w:szCs w:val="20"/>
              </w:rPr>
              <w:t>y</w:t>
            </w:r>
          </w:p>
        </w:tc>
      </w:tr>
      <w:tr w:rsidR="00863833" w:rsidRPr="00863833" w14:paraId="35B68F2A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3A156E0B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How many STLT jurisdictions, provider networks, and individual facilities are expected?</w:t>
            </w:r>
          </w:p>
        </w:tc>
        <w:tc>
          <w:tcPr>
            <w:tcW w:w="0" w:type="auto"/>
            <w:hideMark/>
          </w:tcPr>
          <w:p w14:paraId="632B7948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Determines onboarding, interface, subaward, legal, and evaluation scale</w:t>
            </w:r>
          </w:p>
        </w:tc>
        <w:tc>
          <w:tcPr>
            <w:tcW w:w="0" w:type="auto"/>
            <w:hideMark/>
          </w:tcPr>
          <w:p w14:paraId="15D8B579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 xml:space="preserve">Base: </w:t>
            </w:r>
            <w:r>
              <w:rPr>
                <w:sz w:val="20"/>
                <w:szCs w:val="20"/>
              </w:rPr>
              <w:t xml:space="preserve">1 </w:t>
            </w:r>
            <w:r w:rsidRPr="00863833">
              <w:rPr>
                <w:sz w:val="20"/>
                <w:szCs w:val="20"/>
              </w:rPr>
              <w:t>STLTs, 6 provider networks</w:t>
            </w:r>
          </w:p>
        </w:tc>
      </w:tr>
      <w:tr w:rsidR="00863833" w:rsidRPr="00863833" w14:paraId="5B5A2D9A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379F1E8B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What is the definitive project duration and required live-operation period?</w:t>
            </w:r>
          </w:p>
        </w:tc>
        <w:tc>
          <w:tcPr>
            <w:tcW w:w="0" w:type="auto"/>
            <w:hideMark/>
          </w:tcPr>
          <w:p w14:paraId="6E637DA1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Drives PM, support, hosting, and evaluation</w:t>
            </w:r>
          </w:p>
        </w:tc>
        <w:tc>
          <w:tcPr>
            <w:tcW w:w="0" w:type="auto"/>
            <w:hideMark/>
          </w:tcPr>
          <w:p w14:paraId="79D78019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863833">
              <w:rPr>
                <w:sz w:val="20"/>
                <w:szCs w:val="20"/>
              </w:rPr>
              <w:t xml:space="preserve"> months total; 4 months live operations</w:t>
            </w:r>
          </w:p>
        </w:tc>
      </w:tr>
      <w:tr w:rsidR="00863833" w:rsidRPr="00863833" w14:paraId="511E1D6A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2D9443CA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Which chronic domain and measures will be mandatory?</w:t>
            </w:r>
          </w:p>
        </w:tc>
        <w:tc>
          <w:tcPr>
            <w:tcW w:w="0" w:type="auto"/>
            <w:hideMark/>
          </w:tcPr>
          <w:p w14:paraId="2BF963DE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Determines data requirements, SME mix, licensing, and validation</w:t>
            </w:r>
          </w:p>
        </w:tc>
        <w:tc>
          <w:tcPr>
            <w:tcW w:w="0" w:type="auto"/>
            <w:hideMark/>
          </w:tcPr>
          <w:p w14:paraId="1978FA11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One hypertension or diabetes domain; 1–2 measures</w:t>
            </w:r>
          </w:p>
        </w:tc>
      </w:tr>
      <w:tr w:rsidR="00863833" w:rsidRPr="00863833" w14:paraId="33FEFDF9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0B5B510A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Is the optional referral extension part of the funded pilot?</w:t>
            </w:r>
          </w:p>
        </w:tc>
        <w:tc>
          <w:tcPr>
            <w:tcW w:w="0" w:type="auto"/>
            <w:hideMark/>
          </w:tcPr>
          <w:p w14:paraId="4940A4D4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Could add an independent workstream and new organization types</w:t>
            </w:r>
          </w:p>
        </w:tc>
        <w:tc>
          <w:tcPr>
            <w:tcW w:w="0" w:type="auto"/>
            <w:hideMark/>
          </w:tcPr>
          <w:p w14:paraId="50003BB2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Exclude from base; model separately</w:t>
            </w:r>
          </w:p>
        </w:tc>
      </w:tr>
      <w:tr w:rsidR="00863833" w:rsidRPr="00863833" w14:paraId="1DE0B4B7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5861F8EC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Will a new shared pilot hub be built, or will each intermediary host all processing?</w:t>
            </w:r>
          </w:p>
        </w:tc>
        <w:tc>
          <w:tcPr>
            <w:tcW w:w="0" w:type="auto"/>
            <w:hideMark/>
          </w:tcPr>
          <w:p w14:paraId="419749CE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A central platform could be the largest fixed technical cost</w:t>
            </w:r>
          </w:p>
        </w:tc>
        <w:tc>
          <w:tcPr>
            <w:tcW w:w="0" w:type="auto"/>
            <w:hideMark/>
          </w:tcPr>
          <w:p w14:paraId="63F73608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Existing intermediary hosting in base case</w:t>
            </w:r>
          </w:p>
        </w:tc>
      </w:tr>
      <w:tr w:rsidR="00863833" w:rsidRPr="00863833" w14:paraId="7A6271B4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508181DC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 xml:space="preserve">What existing FHIR endpoints and source connections are </w:t>
            </w:r>
            <w:proofErr w:type="gramStart"/>
            <w:r w:rsidRPr="00863833">
              <w:rPr>
                <w:sz w:val="20"/>
                <w:szCs w:val="20"/>
              </w:rPr>
              <w:t>actually available</w:t>
            </w:r>
            <w:proofErr w:type="gramEnd"/>
            <w:r w:rsidRPr="00863833">
              <w:rPr>
                <w:sz w:val="20"/>
                <w:szCs w:val="20"/>
              </w:rPr>
              <w:t>?</w:t>
            </w:r>
          </w:p>
        </w:tc>
        <w:tc>
          <w:tcPr>
            <w:tcW w:w="0" w:type="auto"/>
            <w:hideMark/>
          </w:tcPr>
          <w:p w14:paraId="135FA34D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Determines whether the project is configuration or greenfield integration</w:t>
            </w:r>
          </w:p>
        </w:tc>
        <w:tc>
          <w:tcPr>
            <w:tcW w:w="0" w:type="auto"/>
            <w:hideMark/>
          </w:tcPr>
          <w:p w14:paraId="5708744C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 xml:space="preserve">At least </w:t>
            </w:r>
            <w:r>
              <w:rPr>
                <w:sz w:val="20"/>
                <w:szCs w:val="20"/>
              </w:rPr>
              <w:t>5</w:t>
            </w:r>
            <w:r w:rsidRPr="00863833">
              <w:rPr>
                <w:sz w:val="20"/>
                <w:szCs w:val="20"/>
              </w:rPr>
              <w:t>0% of source pathways already connected</w:t>
            </w:r>
          </w:p>
        </w:tc>
      </w:tr>
      <w:tr w:rsidR="00863833" w:rsidRPr="00863833" w14:paraId="5C581BB2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2DB10E63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Who will receive direct funding—STLTs, intermediaries, HCCNs, providers, vendors, CBOs?</w:t>
            </w:r>
          </w:p>
        </w:tc>
        <w:tc>
          <w:tcPr>
            <w:tcW w:w="0" w:type="auto"/>
            <w:hideMark/>
          </w:tcPr>
          <w:p w14:paraId="7C81B983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Required to distinguish sponsor cost from total economic cost</w:t>
            </w:r>
          </w:p>
        </w:tc>
        <w:tc>
          <w:tcPr>
            <w:tcW w:w="0" w:type="auto"/>
            <w:hideMark/>
          </w:tcPr>
          <w:p w14:paraId="17B6D6B8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Fund STLTs/intermediaries; track provider effort in kind</w:t>
            </w:r>
          </w:p>
        </w:tc>
      </w:tr>
      <w:tr w:rsidR="00863833" w:rsidRPr="00863833" w14:paraId="65334EC5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3B2B671D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What data-access level will each consumer receive?</w:t>
            </w:r>
          </w:p>
        </w:tc>
        <w:tc>
          <w:tcPr>
            <w:tcW w:w="0" w:type="auto"/>
            <w:hideMark/>
          </w:tcPr>
          <w:p w14:paraId="0B1F8926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Changes privacy, security, de-identification, and architecture</w:t>
            </w:r>
          </w:p>
        </w:tc>
        <w:tc>
          <w:tcPr>
            <w:tcW w:w="0" w:type="auto"/>
            <w:hideMark/>
          </w:tcPr>
          <w:p w14:paraId="53DD2077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STLTs may receive line-level; national uses primarily de-identified or aggregate</w:t>
            </w:r>
          </w:p>
        </w:tc>
      </w:tr>
      <w:tr w:rsidR="00863833" w:rsidRPr="00863833" w14:paraId="64C79CC9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7C61B7BA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Are HRSA and NCQA formal pilot participants or advisory stakeholders?</w:t>
            </w:r>
          </w:p>
        </w:tc>
        <w:tc>
          <w:tcPr>
            <w:tcW w:w="0" w:type="auto"/>
            <w:hideMark/>
          </w:tcPr>
          <w:p w14:paraId="4BD24472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Changes measure licensing, validation, deliverables, and governance</w:t>
            </w:r>
          </w:p>
        </w:tc>
        <w:tc>
          <w:tcPr>
            <w:tcW w:w="0" w:type="auto"/>
            <w:hideMark/>
          </w:tcPr>
          <w:p w14:paraId="5C989637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Advisory in base case</w:t>
            </w:r>
          </w:p>
        </w:tc>
      </w:tr>
      <w:tr w:rsidR="00863833" w:rsidRPr="00863833" w14:paraId="703B5A75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58D6BEEF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What security framework and approval process applies?</w:t>
            </w:r>
          </w:p>
        </w:tc>
        <w:tc>
          <w:tcPr>
            <w:tcW w:w="0" w:type="auto"/>
            <w:hideMark/>
          </w:tcPr>
          <w:p w14:paraId="4167B097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 xml:space="preserve">Security </w:t>
            </w:r>
            <w:proofErr w:type="gramStart"/>
            <w:r w:rsidRPr="00863833">
              <w:rPr>
                <w:sz w:val="20"/>
                <w:szCs w:val="20"/>
              </w:rPr>
              <w:t>review</w:t>
            </w:r>
            <w:proofErr w:type="gramEnd"/>
            <w:r w:rsidRPr="00863833">
              <w:rPr>
                <w:sz w:val="20"/>
                <w:szCs w:val="20"/>
              </w:rPr>
              <w:t xml:space="preserve"> can materially affect schedule and cost</w:t>
            </w:r>
          </w:p>
        </w:tc>
        <w:tc>
          <w:tcPr>
            <w:tcW w:w="0" w:type="auto"/>
            <w:hideMark/>
          </w:tcPr>
          <w:p w14:paraId="41EE5B8F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Intermediary controls plus participant review; no CDC ATO assumed unless CDC-hosted</w:t>
            </w:r>
          </w:p>
        </w:tc>
      </w:tr>
      <w:tr w:rsidR="00863833" w:rsidRPr="00863833" w14:paraId="02011296" w14:textId="77777777" w:rsidTr="000D3DA9">
        <w:trPr>
          <w:tblCellSpacing w:w="15" w:type="dxa"/>
        </w:trPr>
        <w:tc>
          <w:tcPr>
            <w:tcW w:w="0" w:type="auto"/>
            <w:hideMark/>
          </w:tcPr>
          <w:p w14:paraId="300A2EB8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What are the required acceptance thresholds?</w:t>
            </w:r>
          </w:p>
        </w:tc>
        <w:tc>
          <w:tcPr>
            <w:tcW w:w="0" w:type="auto"/>
            <w:hideMark/>
          </w:tcPr>
          <w:p w14:paraId="11AF1832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Necessary to determine testing and remediation scope</w:t>
            </w:r>
          </w:p>
        </w:tc>
        <w:tc>
          <w:tcPr>
            <w:tcW w:w="0" w:type="auto"/>
            <w:hideMark/>
          </w:tcPr>
          <w:p w14:paraId="053FF75B" w14:textId="77777777" w:rsidR="00863833" w:rsidRPr="00863833" w:rsidRDefault="00863833" w:rsidP="000D3DA9">
            <w:pPr>
              <w:spacing w:after="0"/>
              <w:rPr>
                <w:sz w:val="20"/>
                <w:szCs w:val="20"/>
              </w:rPr>
            </w:pPr>
            <w:r w:rsidRPr="00863833">
              <w:rPr>
                <w:sz w:val="20"/>
                <w:szCs w:val="20"/>
              </w:rPr>
              <w:t>Defined during design; cap at two remediation cycles</w:t>
            </w:r>
          </w:p>
        </w:tc>
      </w:tr>
    </w:tbl>
    <w:p w14:paraId="16051900" w14:textId="77777777" w:rsidR="00863833" w:rsidRPr="00863833" w:rsidRDefault="00863833" w:rsidP="00863833">
      <w:pPr>
        <w:spacing w:after="0"/>
        <w:rPr>
          <w:sz w:val="20"/>
          <w:szCs w:val="20"/>
        </w:rPr>
      </w:pPr>
    </w:p>
    <w:sectPr w:rsidR="00863833" w:rsidRPr="00863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33"/>
    <w:rsid w:val="001A0342"/>
    <w:rsid w:val="002511A6"/>
    <w:rsid w:val="00616671"/>
    <w:rsid w:val="0077766D"/>
    <w:rsid w:val="007A3D51"/>
    <w:rsid w:val="00863833"/>
    <w:rsid w:val="00CA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C685"/>
  <w15:chartTrackingRefBased/>
  <w15:docId w15:val="{6551630C-3CDB-4FAB-B6AF-03D7E126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303</Words>
  <Characters>1911</Characters>
  <Application>Microsoft Office Word</Application>
  <DocSecurity>0</DocSecurity>
  <Lines>91</Lines>
  <Paragraphs>45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Hunter</dc:creator>
  <cp:keywords/>
  <dc:description/>
  <cp:lastModifiedBy>Mike Hunter</cp:lastModifiedBy>
  <cp:revision>1</cp:revision>
  <dcterms:created xsi:type="dcterms:W3CDTF">2026-07-14T15:43:00Z</dcterms:created>
  <dcterms:modified xsi:type="dcterms:W3CDTF">2026-07-14T15:46:00Z</dcterms:modified>
</cp:coreProperties>
</file>