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610"/>
        <w:gridCol w:w="1303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17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position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General education teacher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General education teacher,University faculty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Parent,Adult with disabilities,General education teacher,Industry professional,Other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Parent,Adult with disabilities,Special education teacher,University faculty,Researcher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Parent,General education teacher,Industry professional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Parent,Researcher,Other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Parent,University faculty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Researcher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Researcher,Other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Special education teacher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(18%)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Special education teacher,University faculty,Researcher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(12%)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University faculty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(18%)</w:t>
            </w:r>
          </w:p>
        </w:tc>
      </w:tr>
      <w:tr>
        <w:trPr>
          <w:trHeight w:val="61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school_level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College/University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(24%)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College/University,Other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Early childhood / Pre‑K,Kindergarten,Elementary school,Middle school,College/University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Early childhood / Pre‑K,Kindergarten,Elementary school,Middle school,High school,College/University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Elementary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Elementary school,Middle school,High school,College/University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(24%)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Kindergarten,Elementary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(12%)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Kindergarten,Elementary school,Middle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Middle school,College/University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spanish_hispanic_latino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None of these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(94%)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53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(12%)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(18%)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(59%)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White,Asian,Native Hawaiian or 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(5.9%)</w:t>
            </w:r>
          </w:p>
        </w:tc>
      </w:tr>
      <w:tr>
        <w:trPr>
          <w:trHeight w:val="53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(88%)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(12%)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2025-06-14T01:58:28Z</dcterms:modified>
  <cp:category/>
</cp:coreProperties>
</file>