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610"/>
        <w:gridCol w:w="1303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position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 education teacher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 education teacher,University faculty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Parent,Adult with disabilities,General education teacher,Industry professional,Other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Parent,Adult with disabilities,Special education teacher,University faculty,Researcher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Parent,General education teacher,Industry professional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Parent,Researcher,Other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Parent,University faculty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Researcher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Researcher,Other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Special education teacher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(18%)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Special education teacher,University faculty,Researcher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(12%)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 faculty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(18%)</w:t>
            </w:r>
          </w:p>
        </w:tc>
      </w:tr>
      <w:tr>
        <w:trPr>
          <w:trHeight w:val="61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school_level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College/University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(24%)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College/University,Other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Early childhood / Pre‑K,Kindergarten,Elementary school,Middle school,College/University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Early childhood / Pre‑K,Kindergarten,Elementary school,Middle school,High school,College/University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Elementary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Elementary school,Middle school,High school,College/University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(24%)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Kindergarten,Elementary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(12%)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Kindergarten,Elementary school,Middle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 school,College/University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61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spanish_hispanic_latino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(94%)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53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(12%)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 or 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(18%)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(59%)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White,Asian,Native Hawaiian or 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(5.9%)</w:t>
            </w:r>
          </w:p>
        </w:tc>
      </w:tr>
      <w:tr>
        <w:trPr>
          <w:trHeight w:val="53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(88%)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(12%)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2025-06-18T15:14:48Z</dcterms:modified>
  <cp:category/>
</cp:coreProperties>
</file>