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1BC1" w:rsidRPr="00E874F8" w:rsidRDefault="008D1BC1" w:rsidP="008D1BC1">
      <w:pPr>
        <w:shd w:val="clear" w:color="auto" w:fill="FFFFFF"/>
        <w:spacing w:beforeAutospacing="1" w:after="0" w:afterAutospacing="1" w:line="315" w:lineRule="atLeast"/>
        <w:textAlignment w:val="top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fldChar w:fldCharType="begin"/>
      </w:r>
      <w:r>
        <w:instrText xml:space="preserve"> HYPERLINK "http://cyberleninka.ru/article/n/rezultaty-klinicheskogo-nablyudeniya-po-primeneniyu-preparata-memantin-akatinol-pri-lechenii-dementsii-1" </w:instrText>
      </w:r>
      <w:r>
        <w:fldChar w:fldCharType="separate"/>
      </w:r>
      <w:r w:rsidRPr="00E874F8">
        <w:rPr>
          <w:rFonts w:ascii="Times New Roman" w:eastAsia="Times New Roman" w:hAnsi="Times New Roman" w:cs="Times New Roman"/>
          <w:caps/>
          <w:color w:val="075383"/>
          <w:sz w:val="28"/>
          <w:szCs w:val="28"/>
          <w:lang w:eastAsia="ru-RU"/>
        </w:rPr>
        <w:t>РЕЗУЛЬТАТЫ КЛИНИЧЕСКОГО НАБЛЮДЕНИЯ ПО ПРИМЕНЕНИЮ ПРЕПАРАТА МЕМАНТИН ПРИ ЛЕЧЕНИИ ДЕМЕНЦИИ</w:t>
      </w:r>
      <w:r>
        <w:rPr>
          <w:rFonts w:ascii="Times New Roman" w:eastAsia="Times New Roman" w:hAnsi="Times New Roman" w:cs="Times New Roman"/>
          <w:caps/>
          <w:color w:val="075383"/>
          <w:sz w:val="28"/>
          <w:szCs w:val="28"/>
          <w:lang w:eastAsia="ru-RU"/>
        </w:rPr>
        <w:fldChar w:fldCharType="end"/>
      </w:r>
      <w:bookmarkStart w:id="0" w:name="_GoBack"/>
      <w:bookmarkEnd w:id="0"/>
      <w:r w:rsidRPr="00E874F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ПЕТРОВА Т. В., ОВЧИННИКОВА В. К., КВАЧЕГИНА Л. М., НОВИЦКАЯ Л. С., КУТЕНКОВА И. Л. </w:t>
      </w:r>
    </w:p>
    <w:p w:rsidR="008D1BC1" w:rsidRPr="00E874F8" w:rsidRDefault="008D1BC1" w:rsidP="008D1BC1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lang w:eastAsia="ru-RU"/>
        </w:rPr>
      </w:pPr>
      <w:r w:rsidRPr="00E874F8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﻿</w:t>
      </w:r>
      <w:r w:rsidRPr="00E874F8">
        <w:rPr>
          <w:rFonts w:ascii="Times New Roman" w:eastAsia="Times New Roman" w:hAnsi="Times New Roman" w:cs="Times New Roman"/>
          <w:b/>
          <w:color w:val="000000"/>
          <w:lang w:eastAsia="ru-RU"/>
        </w:rPr>
        <w:t xml:space="preserve">Опыт клинического </w:t>
      </w:r>
      <w:proofErr w:type="gramStart"/>
      <w:r w:rsidRPr="00E874F8">
        <w:rPr>
          <w:rFonts w:ascii="Times New Roman" w:eastAsia="Times New Roman" w:hAnsi="Times New Roman" w:cs="Times New Roman"/>
          <w:b/>
          <w:color w:val="000000"/>
          <w:lang w:eastAsia="ru-RU"/>
        </w:rPr>
        <w:t xml:space="preserve">применения  </w:t>
      </w:r>
      <w:proofErr w:type="spellStart"/>
      <w:r w:rsidRPr="00E874F8">
        <w:rPr>
          <w:rFonts w:ascii="Times New Roman" w:eastAsia="Times New Roman" w:hAnsi="Times New Roman" w:cs="Times New Roman"/>
          <w:b/>
          <w:color w:val="000000"/>
          <w:lang w:eastAsia="ru-RU"/>
        </w:rPr>
        <w:t>Мемантина</w:t>
      </w:r>
      <w:proofErr w:type="spellEnd"/>
      <w:proofErr w:type="gramEnd"/>
      <w:r w:rsidRPr="00E874F8">
        <w:rPr>
          <w:rFonts w:ascii="Times New Roman" w:eastAsia="Times New Roman" w:hAnsi="Times New Roman" w:cs="Times New Roman"/>
          <w:b/>
          <w:color w:val="000000"/>
          <w:lang w:eastAsia="ru-RU"/>
        </w:rPr>
        <w:t xml:space="preserve"> при сосудистой деменции </w:t>
      </w:r>
      <w:r w:rsidRPr="00E874F8">
        <w:rPr>
          <w:rFonts w:ascii="Times New Roman" w:eastAsia="Times New Roman" w:hAnsi="Times New Roman" w:cs="Times New Roman"/>
          <w:b/>
          <w:color w:val="000000"/>
          <w:lang w:eastAsia="ru-RU"/>
        </w:rPr>
        <w:br/>
        <w:t xml:space="preserve">С.Е. </w:t>
      </w:r>
      <w:proofErr w:type="spellStart"/>
      <w:r w:rsidRPr="00E874F8">
        <w:rPr>
          <w:rFonts w:ascii="Times New Roman" w:eastAsia="Times New Roman" w:hAnsi="Times New Roman" w:cs="Times New Roman"/>
          <w:b/>
          <w:color w:val="000000"/>
          <w:lang w:eastAsia="ru-RU"/>
        </w:rPr>
        <w:t>Хатькова</w:t>
      </w:r>
      <w:proofErr w:type="spellEnd"/>
      <w:r w:rsidRPr="00E874F8">
        <w:rPr>
          <w:rFonts w:ascii="Times New Roman" w:eastAsia="Times New Roman" w:hAnsi="Times New Roman" w:cs="Times New Roman"/>
          <w:b/>
          <w:color w:val="000000"/>
          <w:lang w:eastAsia="ru-RU"/>
        </w:rPr>
        <w:t>, А.Н. Кузнецов</w:t>
      </w:r>
      <w:r w:rsidRPr="00E874F8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 xml:space="preserve"> </w:t>
      </w:r>
      <w:r w:rsidRPr="00E874F8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br/>
      </w:r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t xml:space="preserve">Одной из наиболее актуальных проблем современной неврологии и психиатрии является лечение деменции, частота встречаемости которой у лиц пожилого возраста весьма высока и имеет тенденцию к дальнейшему росту. Традиционно поиски адекватных терапевтических средств для лечения деменции в основном были сосредоточены на различных способах коррекции холинергической недостаточности в корковых и иных отделах головного мозга (использование предшественников ацетилхолина, ингибиторов </w:t>
      </w:r>
      <w:proofErr w:type="spellStart"/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t>аце-тилхолинэстеразы</w:t>
      </w:r>
      <w:proofErr w:type="spellEnd"/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t xml:space="preserve">) [1, 4]. </w:t>
      </w:r>
      <w:r w:rsidRPr="00E874F8">
        <w:rPr>
          <w:rFonts w:ascii="Times New Roman" w:eastAsia="Times New Roman" w:hAnsi="Times New Roman" w:cs="Times New Roman"/>
          <w:b/>
          <w:color w:val="000000"/>
          <w:lang w:eastAsia="ru-RU"/>
        </w:rPr>
        <w:t xml:space="preserve">В последние годы большое внимание уделяется изучению роли </w:t>
      </w:r>
      <w:proofErr w:type="spellStart"/>
      <w:r w:rsidRPr="00E874F8">
        <w:rPr>
          <w:rFonts w:ascii="Times New Roman" w:eastAsia="Times New Roman" w:hAnsi="Times New Roman" w:cs="Times New Roman"/>
          <w:b/>
          <w:color w:val="000000"/>
          <w:lang w:eastAsia="ru-RU"/>
        </w:rPr>
        <w:t>глугаматергических</w:t>
      </w:r>
      <w:proofErr w:type="spellEnd"/>
      <w:r w:rsidRPr="00E874F8">
        <w:rPr>
          <w:rFonts w:ascii="Times New Roman" w:eastAsia="Times New Roman" w:hAnsi="Times New Roman" w:cs="Times New Roman"/>
          <w:b/>
          <w:color w:val="000000"/>
          <w:lang w:eastAsia="ru-RU"/>
        </w:rPr>
        <w:t xml:space="preserve"> систем мозга в патогенезе деменции. В результате был предложен и стал широко применяться </w:t>
      </w:r>
      <w:proofErr w:type="spellStart"/>
      <w:r w:rsidRPr="00E874F8">
        <w:rPr>
          <w:rFonts w:ascii="Times New Roman" w:eastAsia="Times New Roman" w:hAnsi="Times New Roman" w:cs="Times New Roman"/>
          <w:b/>
          <w:color w:val="000000"/>
          <w:lang w:eastAsia="ru-RU"/>
        </w:rPr>
        <w:t>низкоаффинный</w:t>
      </w:r>
      <w:proofErr w:type="spellEnd"/>
      <w:r w:rsidRPr="00E874F8">
        <w:rPr>
          <w:rFonts w:ascii="Times New Roman" w:eastAsia="Times New Roman" w:hAnsi="Times New Roman" w:cs="Times New Roman"/>
          <w:b/>
          <w:color w:val="000000"/>
          <w:lang w:eastAsia="ru-RU"/>
        </w:rPr>
        <w:t xml:space="preserve"> неконкурентный антагонист </w:t>
      </w:r>
      <w:r w:rsidRPr="00E874F8">
        <w:rPr>
          <w:rFonts w:ascii="Times New Roman" w:eastAsia="Times New Roman" w:hAnsi="Times New Roman" w:cs="Times New Roman"/>
          <w:b/>
          <w:color w:val="000000"/>
          <w:lang w:val="en-US" w:eastAsia="ru-RU"/>
        </w:rPr>
        <w:t>NMDA</w:t>
      </w:r>
      <w:r w:rsidRPr="00E874F8">
        <w:rPr>
          <w:rFonts w:ascii="Times New Roman" w:eastAsia="Times New Roman" w:hAnsi="Times New Roman" w:cs="Times New Roman"/>
          <w:b/>
          <w:color w:val="000000"/>
          <w:lang w:eastAsia="ru-RU"/>
        </w:rPr>
        <w:t>-ре-</w:t>
      </w:r>
      <w:proofErr w:type="spellStart"/>
      <w:r w:rsidRPr="00E874F8">
        <w:rPr>
          <w:rFonts w:ascii="Times New Roman" w:eastAsia="Times New Roman" w:hAnsi="Times New Roman" w:cs="Times New Roman"/>
          <w:b/>
          <w:color w:val="000000"/>
          <w:lang w:eastAsia="ru-RU"/>
        </w:rPr>
        <w:t>цепторов</w:t>
      </w:r>
      <w:proofErr w:type="spellEnd"/>
      <w:r w:rsidRPr="00E874F8">
        <w:rPr>
          <w:rFonts w:ascii="Times New Roman" w:eastAsia="Times New Roman" w:hAnsi="Times New Roman" w:cs="Times New Roman"/>
          <w:b/>
          <w:color w:val="000000"/>
          <w:lang w:eastAsia="ru-RU"/>
        </w:rPr>
        <w:t xml:space="preserve"> и агонист </w:t>
      </w:r>
      <w:r w:rsidRPr="00E874F8">
        <w:rPr>
          <w:rFonts w:ascii="Times New Roman" w:eastAsia="Times New Roman" w:hAnsi="Times New Roman" w:cs="Times New Roman"/>
          <w:b/>
          <w:color w:val="000000"/>
          <w:lang w:val="en-US" w:eastAsia="ru-RU"/>
        </w:rPr>
        <w:t>NMDA</w:t>
      </w:r>
      <w:r w:rsidRPr="00E874F8">
        <w:rPr>
          <w:rFonts w:ascii="Times New Roman" w:eastAsia="Times New Roman" w:hAnsi="Times New Roman" w:cs="Times New Roman"/>
          <w:b/>
          <w:color w:val="000000"/>
          <w:lang w:eastAsia="ru-RU"/>
        </w:rPr>
        <w:t xml:space="preserve">-рецепторов </w:t>
      </w:r>
      <w:proofErr w:type="spellStart"/>
      <w:r w:rsidRPr="00E874F8">
        <w:rPr>
          <w:rFonts w:ascii="Times New Roman" w:eastAsia="Times New Roman" w:hAnsi="Times New Roman" w:cs="Times New Roman"/>
          <w:b/>
          <w:color w:val="000000"/>
          <w:lang w:eastAsia="ru-RU"/>
        </w:rPr>
        <w:t>глугамата</w:t>
      </w:r>
      <w:proofErr w:type="spellEnd"/>
      <w:r w:rsidRPr="00E874F8">
        <w:rPr>
          <w:rFonts w:ascii="Times New Roman" w:eastAsia="Times New Roman" w:hAnsi="Times New Roman" w:cs="Times New Roman"/>
          <w:b/>
          <w:color w:val="000000"/>
          <w:lang w:eastAsia="ru-RU"/>
        </w:rPr>
        <w:t xml:space="preserve"> - </w:t>
      </w:r>
      <w:proofErr w:type="spellStart"/>
      <w:r w:rsidRPr="00E874F8">
        <w:rPr>
          <w:rFonts w:ascii="Times New Roman" w:eastAsia="Times New Roman" w:hAnsi="Times New Roman" w:cs="Times New Roman"/>
          <w:b/>
          <w:color w:val="000000"/>
          <w:lang w:eastAsia="ru-RU"/>
        </w:rPr>
        <w:t>Мемантин</w:t>
      </w:r>
      <w:proofErr w:type="spellEnd"/>
      <w:r w:rsidRPr="00E874F8">
        <w:rPr>
          <w:rFonts w:ascii="Times New Roman" w:eastAsia="Times New Roman" w:hAnsi="Times New Roman" w:cs="Times New Roman"/>
          <w:b/>
          <w:color w:val="000000"/>
          <w:lang w:eastAsia="ru-RU"/>
        </w:rPr>
        <w:t xml:space="preserve">. </w:t>
      </w:r>
      <w:r w:rsidRPr="00E874F8">
        <w:rPr>
          <w:rFonts w:ascii="Times New Roman" w:eastAsia="Times New Roman" w:hAnsi="Times New Roman" w:cs="Times New Roman"/>
          <w:b/>
          <w:color w:val="000000"/>
          <w:lang w:eastAsia="ru-RU"/>
        </w:rPr>
        <w:br/>
      </w:r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t xml:space="preserve">Механизм действия </w:t>
      </w:r>
      <w:proofErr w:type="spellStart"/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t>Мемантина</w:t>
      </w:r>
      <w:proofErr w:type="spellEnd"/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t xml:space="preserve"> является комплексным и заключается как в предотвращении </w:t>
      </w:r>
      <w:proofErr w:type="spellStart"/>
      <w:r w:rsidRPr="00E874F8">
        <w:rPr>
          <w:rFonts w:ascii="Times New Roman" w:eastAsia="Times New Roman" w:hAnsi="Times New Roman" w:cs="Times New Roman"/>
          <w:b/>
          <w:color w:val="000000"/>
          <w:lang w:eastAsia="ru-RU"/>
        </w:rPr>
        <w:t>эксайтотоксич-ности</w:t>
      </w:r>
      <w:proofErr w:type="spellEnd"/>
      <w:r w:rsidRPr="00E874F8">
        <w:rPr>
          <w:rFonts w:ascii="Times New Roman" w:eastAsia="Times New Roman" w:hAnsi="Times New Roman" w:cs="Times New Roman"/>
          <w:b/>
          <w:color w:val="000000"/>
          <w:lang w:eastAsia="ru-RU"/>
        </w:rPr>
        <w:t xml:space="preserve"> (</w:t>
      </w:r>
      <w:proofErr w:type="spellStart"/>
      <w:r w:rsidRPr="00E874F8">
        <w:rPr>
          <w:rFonts w:ascii="Times New Roman" w:eastAsia="Times New Roman" w:hAnsi="Times New Roman" w:cs="Times New Roman"/>
          <w:b/>
          <w:color w:val="000000"/>
          <w:lang w:eastAsia="ru-RU"/>
        </w:rPr>
        <w:t>нейропротективный</w:t>
      </w:r>
      <w:proofErr w:type="spellEnd"/>
      <w:r w:rsidRPr="00E874F8">
        <w:rPr>
          <w:rFonts w:ascii="Times New Roman" w:eastAsia="Times New Roman" w:hAnsi="Times New Roman" w:cs="Times New Roman"/>
          <w:b/>
          <w:color w:val="000000"/>
          <w:lang w:eastAsia="ru-RU"/>
        </w:rPr>
        <w:t xml:space="preserve"> эффект</w:t>
      </w:r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t xml:space="preserve">), так и в положительном влиянии на процессы обучения и запоминания. </w:t>
      </w:r>
      <w:proofErr w:type="spellStart"/>
      <w:r w:rsidRPr="00E874F8">
        <w:rPr>
          <w:rFonts w:ascii="Times New Roman" w:eastAsia="Times New Roman" w:hAnsi="Times New Roman" w:cs="Times New Roman"/>
          <w:b/>
          <w:color w:val="000000"/>
          <w:lang w:eastAsia="ru-RU"/>
        </w:rPr>
        <w:t>Противодементное</w:t>
      </w:r>
      <w:proofErr w:type="spellEnd"/>
      <w:r w:rsidRPr="00E874F8">
        <w:rPr>
          <w:rFonts w:ascii="Times New Roman" w:eastAsia="Times New Roman" w:hAnsi="Times New Roman" w:cs="Times New Roman"/>
          <w:b/>
          <w:color w:val="000000"/>
          <w:lang w:eastAsia="ru-RU"/>
        </w:rPr>
        <w:t xml:space="preserve"> действие </w:t>
      </w:r>
      <w:proofErr w:type="spellStart"/>
      <w:r w:rsidRPr="00E874F8">
        <w:rPr>
          <w:rFonts w:ascii="Times New Roman" w:eastAsia="Times New Roman" w:hAnsi="Times New Roman" w:cs="Times New Roman"/>
          <w:b/>
          <w:color w:val="000000"/>
          <w:lang w:eastAsia="ru-RU"/>
        </w:rPr>
        <w:t>Мемантина</w:t>
      </w:r>
      <w:proofErr w:type="spellEnd"/>
      <w:r w:rsidRPr="00E874F8">
        <w:rPr>
          <w:rFonts w:ascii="Times New Roman" w:eastAsia="Times New Roman" w:hAnsi="Times New Roman" w:cs="Times New Roman"/>
          <w:b/>
          <w:color w:val="000000"/>
          <w:lang w:eastAsia="ru-RU"/>
        </w:rPr>
        <w:t xml:space="preserve"> обусловлено его </w:t>
      </w:r>
      <w:proofErr w:type="spellStart"/>
      <w:r w:rsidRPr="00E874F8">
        <w:rPr>
          <w:rFonts w:ascii="Times New Roman" w:eastAsia="Times New Roman" w:hAnsi="Times New Roman" w:cs="Times New Roman"/>
          <w:b/>
          <w:color w:val="000000"/>
          <w:lang w:eastAsia="ru-RU"/>
        </w:rPr>
        <w:t>магнийподоб-ным</w:t>
      </w:r>
      <w:proofErr w:type="spellEnd"/>
      <w:r w:rsidRPr="00E874F8">
        <w:rPr>
          <w:rFonts w:ascii="Times New Roman" w:eastAsia="Times New Roman" w:hAnsi="Times New Roman" w:cs="Times New Roman"/>
          <w:b/>
          <w:color w:val="000000"/>
          <w:lang w:eastAsia="ru-RU"/>
        </w:rPr>
        <w:t xml:space="preserve"> эффектом, который заключается в блокировании патологической им-</w:t>
      </w:r>
      <w:proofErr w:type="gramStart"/>
      <w:r w:rsidRPr="00E874F8">
        <w:rPr>
          <w:rFonts w:ascii="Times New Roman" w:eastAsia="Times New Roman" w:hAnsi="Times New Roman" w:cs="Times New Roman"/>
          <w:b/>
          <w:color w:val="000000"/>
          <w:lang w:eastAsia="ru-RU"/>
        </w:rPr>
        <w:t>пульсации</w:t>
      </w:r>
      <w:proofErr w:type="gramEnd"/>
      <w:r w:rsidRPr="00E874F8">
        <w:rPr>
          <w:rFonts w:ascii="Times New Roman" w:eastAsia="Times New Roman" w:hAnsi="Times New Roman" w:cs="Times New Roman"/>
          <w:b/>
          <w:color w:val="000000"/>
          <w:lang w:eastAsia="ru-RU"/>
        </w:rPr>
        <w:t xml:space="preserve"> (подавление “шума”), в то время как физиологические стимулы в структурах, связанных с мышлением и </w:t>
      </w:r>
      <w:r w:rsidRPr="00E874F8">
        <w:rPr>
          <w:rFonts w:ascii="Times New Roman" w:eastAsia="Times New Roman" w:hAnsi="Times New Roman" w:cs="Times New Roman"/>
          <w:b/>
          <w:color w:val="000000"/>
          <w:lang w:eastAsia="ru-RU"/>
        </w:rPr>
        <w:br/>
      </w:r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t>Национальный медико-</w:t>
      </w:r>
      <w:proofErr w:type="spellStart"/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t>хирургичес</w:t>
      </w:r>
      <w:proofErr w:type="spellEnd"/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t xml:space="preserve">-кий центр им. Н.И. Пирогова. Светлана Евгеньевна </w:t>
      </w:r>
      <w:proofErr w:type="spellStart"/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t>Хатькова</w:t>
      </w:r>
      <w:proofErr w:type="spellEnd"/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t xml:space="preserve"> -канд. мед</w:t>
      </w:r>
      <w:proofErr w:type="gramStart"/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t>. наук</w:t>
      </w:r>
      <w:proofErr w:type="gramEnd"/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t xml:space="preserve">, заведующая неврологическим отделением КДК № 1. Алексей Николаевич Кузнецов -профессор, гл. невролог НМХЦ им. Н.И. Пирогова. </w:t>
      </w:r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br/>
        <w:t xml:space="preserve">памятью, продолжают активировать рецепторы [1,7]. </w:t>
      </w:r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br/>
      </w:r>
      <w:proofErr w:type="spellStart"/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t>Мемантин</w:t>
      </w:r>
      <w:proofErr w:type="spellEnd"/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t xml:space="preserve"> применяется с 1976 г. в Германии и европейских странах в основном для лечения двигательных нарушений (детский церебральный паралич, паркинсонизм). В последнее время                            </w:t>
      </w:r>
    </w:p>
    <w:p w:rsidR="008D1BC1" w:rsidRPr="00906BA0" w:rsidRDefault="008D1BC1" w:rsidP="008D1BC1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lang w:eastAsia="ru-RU"/>
        </w:rPr>
      </w:pPr>
      <w:proofErr w:type="spellStart"/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t>Мемантин</w:t>
      </w:r>
      <w:proofErr w:type="spellEnd"/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t xml:space="preserve"> стали активно использовать в терапии болезни Альцгеймера [1, 2, 4, 16]. Среди работ, выполненных в США по данной проблеме, выделяется обстоятельное многоцентровое двойное слепое </w:t>
      </w:r>
      <w:proofErr w:type="spellStart"/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t>плацебоконтролируемое</w:t>
      </w:r>
      <w:proofErr w:type="spellEnd"/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t xml:space="preserve"> исследование </w:t>
      </w:r>
      <w:proofErr w:type="gramStart"/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t xml:space="preserve">эффективности  </w:t>
      </w:r>
      <w:proofErr w:type="spellStart"/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t>Мемантина</w:t>
      </w:r>
      <w:proofErr w:type="spellEnd"/>
      <w:proofErr w:type="gramEnd"/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t xml:space="preserve"> у 252 пациентов со среднетяжелой формой болезни Альцгеймера из32 центров [12]: было показано улучшение клинической картины и, в частности, улучшение показателей когнитивной сферы по шкалам CIBIC-</w:t>
      </w:r>
      <w:proofErr w:type="spellStart"/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t>Plus</w:t>
      </w:r>
      <w:proofErr w:type="spellEnd"/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t>, ADCS-</w:t>
      </w:r>
      <w:proofErr w:type="spellStart"/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t>ADLsev</w:t>
      </w:r>
      <w:proofErr w:type="spellEnd"/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t xml:space="preserve"> и теста SIB (</w:t>
      </w:r>
      <w:proofErr w:type="spellStart"/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t>Severe</w:t>
      </w:r>
      <w:proofErr w:type="spellEnd"/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proofErr w:type="spellStart"/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t>Impairment</w:t>
      </w:r>
      <w:proofErr w:type="spellEnd"/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proofErr w:type="spellStart"/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t>Battery</w:t>
      </w:r>
      <w:proofErr w:type="spellEnd"/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t xml:space="preserve">). Ряд других авторов провели оценку эффективности и безопасности </w:t>
      </w:r>
      <w:proofErr w:type="spellStart"/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t>Мемантина</w:t>
      </w:r>
      <w:proofErr w:type="spellEnd"/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t xml:space="preserve"> у пациентов с мягкой и умеренной сосудистой деменцией [7, 11]. Так, J.M. </w:t>
      </w:r>
      <w:proofErr w:type="spellStart"/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t>Orgogozo</w:t>
      </w:r>
      <w:proofErr w:type="spellEnd"/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proofErr w:type="spellStart"/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t>etal</w:t>
      </w:r>
      <w:proofErr w:type="spellEnd"/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t xml:space="preserve">. (2002) обнаружили, что </w:t>
      </w:r>
      <w:proofErr w:type="spellStart"/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t>Мемантин</w:t>
      </w:r>
      <w:proofErr w:type="spellEnd"/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t xml:space="preserve"> в дозе 20 мг/</w:t>
      </w:r>
      <w:proofErr w:type="spellStart"/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t>сут</w:t>
      </w:r>
      <w:proofErr w:type="spellEnd"/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t xml:space="preserve"> после 28-</w:t>
      </w:r>
      <w:proofErr w:type="gramStart"/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t>недель-ного</w:t>
      </w:r>
      <w:proofErr w:type="gramEnd"/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t xml:space="preserve"> применения приводил к значительному улучшению познавательных способностей по данным шкал MMSE, CIBIC-</w:t>
      </w:r>
      <w:proofErr w:type="spellStart"/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t>Plus</w:t>
      </w:r>
      <w:proofErr w:type="spellEnd"/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t>, ADAS-</w:t>
      </w:r>
      <w:proofErr w:type="spellStart"/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t>cog</w:t>
      </w:r>
      <w:proofErr w:type="spellEnd"/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t xml:space="preserve">; при этом побочные эффекты были незначительны и сравнимы с группой плацебо. Опубликованы результаты исследований, в которых отмечается положительный эффект использования </w:t>
      </w:r>
      <w:proofErr w:type="spellStart"/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t>Мемантина</w:t>
      </w:r>
      <w:proofErr w:type="spellEnd"/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t xml:space="preserve"> для лечения </w:t>
      </w:r>
      <w:proofErr w:type="spellStart"/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t>постабстинентных</w:t>
      </w:r>
      <w:proofErr w:type="spellEnd"/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t xml:space="preserve"> расстройств (синдрома </w:t>
      </w:r>
      <w:proofErr w:type="spellStart"/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t>ангедонии</w:t>
      </w:r>
      <w:proofErr w:type="spellEnd"/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t xml:space="preserve">) у больных героиновой наркоманией [3]. </w:t>
      </w:r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br/>
        <w:t xml:space="preserve">Выполнены работы по </w:t>
      </w:r>
      <w:proofErr w:type="spellStart"/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t>фармакоэко-номическим</w:t>
      </w:r>
      <w:proofErr w:type="spellEnd"/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t xml:space="preserve"> аспектам применения  </w:t>
      </w:r>
      <w:proofErr w:type="spellStart"/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t>Мемантина</w:t>
      </w:r>
      <w:proofErr w:type="spellEnd"/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t xml:space="preserve">. Так, например, </w:t>
      </w:r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br/>
        <w:t xml:space="preserve">на выборке из 166 пациентов с болезнью Альцгеймера показано, что на фоне улучшения клинического состояния в группе больных отмечается снижение общих экономических расходов по сравнению с группой плацебо - на сумму 823,77 доллара США в месяц [15]. </w:t>
      </w:r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br/>
      </w:r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lastRenderedPageBreak/>
        <w:t xml:space="preserve">Следует отметить, что абсолютное большинство работ по анализу эффективности </w:t>
      </w:r>
      <w:proofErr w:type="spellStart"/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t>Мемантина</w:t>
      </w:r>
      <w:proofErr w:type="spellEnd"/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t xml:space="preserve"> выполнено на примере пациентов с болезнью Альцгеймера, имеющих различную степень тяжести когнитивных нарушений. При сосудистой деменции (СД) такие исследования единичны [7,11,14]. В связи с этим целью настоящей работы была оценка терапевтического действия </w:t>
      </w:r>
      <w:proofErr w:type="spellStart"/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t>Мемантина</w:t>
      </w:r>
      <w:proofErr w:type="spellEnd"/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t xml:space="preserve"> на выборке больных с легкой и умеренной СД, определяемой по шкале ^С. </w:t>
      </w:r>
      <w:proofErr w:type="spellStart"/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t>Могпб</w:t>
      </w:r>
      <w:proofErr w:type="spellEnd"/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t xml:space="preserve"> [10]. </w:t>
      </w:r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br/>
        <w:t xml:space="preserve">Материал и методы исследования </w:t>
      </w:r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br/>
        <w:t xml:space="preserve">Нами обследованы 17 больных (9 мужчин, 8 женщин) в возрасте 54-77 лет, соответствующих критериям сосудистой деменции [9, 13]. У 10 пациентов (7 мужчин, 3 женщин) была установлена легкая степень деменции, у 7 (2 мужчин, 5 женщин) - умеренная деменция (таблица). </w:t>
      </w:r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br/>
        <w:t xml:space="preserve">Основной диагноз у обследованных пациентов - </w:t>
      </w:r>
      <w:proofErr w:type="spellStart"/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t>дисциркуляторная</w:t>
      </w:r>
      <w:proofErr w:type="spellEnd"/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t xml:space="preserve"> энцефалопатия П-Ш стадии на фоне церебрального атеросклероза (изолированного или в сочетании с артериальной гипертензией). У части больных в анамнезе имели место перенесенные острые нарушения мозгового кровообращения. Больным проводили базовую патогенетическую терапию в соответствии с основным заболеванием. </w:t>
      </w:r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br/>
        <w:t xml:space="preserve"> </w:t>
      </w:r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br/>
        <w:t xml:space="preserve">Исследование проводилось по четкому формализованному протоколу. На первом этапе ставился предварительный диагноз деменции по доказательной унифицированной схеме с перечнем ключевых симптомов (нарушения памяти, длительность симптомов не менее 6 </w:t>
      </w:r>
      <w:proofErr w:type="spellStart"/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t>мес</w:t>
      </w:r>
      <w:proofErr w:type="spellEnd"/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t xml:space="preserve">, хроническое прогрессирующее течение и </w:t>
      </w:r>
      <w:proofErr w:type="gramStart"/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t>др.)-</w:t>
      </w:r>
      <w:proofErr w:type="gramEnd"/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t xml:space="preserve">по критериям [13]. Затем </w:t>
      </w:r>
      <w:proofErr w:type="spellStart"/>
      <w:proofErr w:type="gramStart"/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t>определя</w:t>
      </w:r>
      <w:proofErr w:type="spellEnd"/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t xml:space="preserve">- </w:t>
      </w:r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br/>
      </w:r>
      <w:proofErr w:type="spellStart"/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t>лась</w:t>
      </w:r>
      <w:proofErr w:type="spellEnd"/>
      <w:proofErr w:type="gramEnd"/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t xml:space="preserve"> причинная (временная) связь между наличием деменции и сосудистым поражением головного мозга. Окончательный диагноз СД устанавливали с помощью шкалы </w:t>
      </w:r>
      <w:proofErr w:type="spellStart"/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t>Хачинского</w:t>
      </w:r>
      <w:proofErr w:type="spellEnd"/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t xml:space="preserve"> [9] - при наличии 7 баллов и выше (в среднем 12-14), а также соответствующих данных МРТ-визуализации (наличие атрофии мозга, множественных инфарктов и т.д.). При этом обязательным было исключение из исследования болезни Альцгеймера и деменции, обусловленной единичными инфарктами в стратегически значимых зонах мозга. Все испытуемые проходили предварительное обследование по специальной тестирующей шкале ММЭЕ [8] с целью определения степени когнитивных нарушений. Процедура тестирования по шкале ММЭЕ повторялась трижды с интервалом в 1 мес. Во время всех посещений параллельно проводили оценку динамики общего состояния и когнитивной сферы на основании комплекса параметров (памяти, ориентировки, суждений, логики, социального взаимодействия, повседневной активности, самообслуживания). Использовались </w:t>
      </w:r>
      <w:proofErr w:type="spellStart"/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t>по-луколичественные</w:t>
      </w:r>
      <w:proofErr w:type="spellEnd"/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t xml:space="preserve"> оценки: - </w:t>
      </w:r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br/>
        <w:t xml:space="preserve">■ Легкая деменция </w:t>
      </w:r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br/>
        <w:t xml:space="preserve">■ Все пациенты </w:t>
      </w:r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br/>
        <w:t xml:space="preserve">■ Умеренная деменция </w:t>
      </w:r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br/>
        <w:t xml:space="preserve">Рис. 2. Динамика когнитивных расстройств по шкале ММБЕ (в баллах) в процессе лечения </w:t>
      </w:r>
      <w:proofErr w:type="spellStart"/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t>Мемантином</w:t>
      </w:r>
      <w:proofErr w:type="spellEnd"/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t xml:space="preserve">. </w:t>
      </w:r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br/>
        <w:t xml:space="preserve">ухудшение, “0” - без динамики, “+” -улучшение, “++” - значительное улучшение; на основании этих оценок специалист давал итоговое заключение об эффективности терапии. </w:t>
      </w:r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br/>
        <w:t xml:space="preserve">Математическая оценка результатов исследования проводилась с использованием пакета программ </w:t>
      </w:r>
      <w:proofErr w:type="spellStart"/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t>Statistica</w:t>
      </w:r>
      <w:proofErr w:type="spellEnd"/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t xml:space="preserve"> 5.0. </w:t>
      </w:r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br/>
        <w:t xml:space="preserve">Все больные на протяжении 3 </w:t>
      </w:r>
      <w:proofErr w:type="spellStart"/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t>мес</w:t>
      </w:r>
      <w:proofErr w:type="spellEnd"/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t xml:space="preserve"> получали препарат </w:t>
      </w:r>
      <w:proofErr w:type="spellStart"/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t>Меман</w:t>
      </w:r>
      <w:proofErr w:type="spellEnd"/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t>-тин в конечной дозировке 20 мг/</w:t>
      </w:r>
      <w:proofErr w:type="spellStart"/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t>сут</w:t>
      </w:r>
      <w:proofErr w:type="spellEnd"/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t xml:space="preserve">. </w:t>
      </w:r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br/>
        <w:t xml:space="preserve">Результаты и обсуждение </w:t>
      </w:r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br/>
        <w:t xml:space="preserve">Динамика когнитивных нарушений у обследованных больных на фоне проводимого лечения представлена на рис. 1. </w:t>
      </w:r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br/>
        <w:t xml:space="preserve">Из рисунка видно, что однонаправленные позитивные изменения наблюдались как в целом по группе, так и в отдельных подгруппах больных -т.е. в равной степени у пациентов с легкой и </w:t>
      </w:r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lastRenderedPageBreak/>
        <w:t xml:space="preserve">умеренной степенью деменции. Наиболее четкие изменения касались первых двух пунктов (ориентировка во времени и в местонахождении), а также величины суммарной оценки (общего балла). </w:t>
      </w:r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br/>
        <w:t xml:space="preserve">Важно отметить, что уже на промежуточных этапах исследования (оценки MMSE во время первого и второго посещений) наблюдалось улучшение отдельных когнитивных параметров </w:t>
      </w:r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br/>
        <w:t xml:space="preserve">и увеличение общего балла шкалы (рис. 2). </w:t>
      </w:r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br/>
      </w:r>
      <w:r w:rsidRPr="00E874F8">
        <w:rPr>
          <w:rFonts w:ascii="Times New Roman" w:eastAsia="Times New Roman" w:hAnsi="Times New Roman" w:cs="Times New Roman"/>
          <w:b/>
          <w:color w:val="000000"/>
          <w:lang w:eastAsia="ru-RU"/>
        </w:rPr>
        <w:t xml:space="preserve">При анализе интегральных полу-количественных оценок общего состояния и когнитивной сферы было отмечено повышение социальной адаптации пациентов, имевшее место на фоне улучшения </w:t>
      </w:r>
      <w:proofErr w:type="spellStart"/>
      <w:r w:rsidRPr="00E874F8">
        <w:rPr>
          <w:rFonts w:ascii="Times New Roman" w:eastAsia="Times New Roman" w:hAnsi="Times New Roman" w:cs="Times New Roman"/>
          <w:b/>
          <w:color w:val="000000"/>
          <w:lang w:eastAsia="ru-RU"/>
        </w:rPr>
        <w:t>мнестических</w:t>
      </w:r>
      <w:proofErr w:type="spellEnd"/>
      <w:r w:rsidRPr="00E874F8">
        <w:rPr>
          <w:rFonts w:ascii="Times New Roman" w:eastAsia="Times New Roman" w:hAnsi="Times New Roman" w:cs="Times New Roman"/>
          <w:b/>
          <w:color w:val="000000"/>
          <w:lang w:eastAsia="ru-RU"/>
        </w:rPr>
        <w:t xml:space="preserve"> способностей и концентрации внимания. </w:t>
      </w:r>
      <w:r w:rsidRPr="00E874F8">
        <w:rPr>
          <w:rFonts w:ascii="Times New Roman" w:eastAsia="Times New Roman" w:hAnsi="Times New Roman" w:cs="Times New Roman"/>
          <w:b/>
          <w:color w:val="000000"/>
          <w:lang w:eastAsia="ru-RU"/>
        </w:rPr>
        <w:br/>
      </w:r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t xml:space="preserve">В течение всего курса лечения  </w:t>
      </w:r>
      <w:proofErr w:type="spellStart"/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t>Мемантином</w:t>
      </w:r>
      <w:proofErr w:type="spellEnd"/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t xml:space="preserve"> каких-либо изменений со стороны соматического статуса и клинических лабораторных показателей отмечено не было. Лишь в 2 случаях на 2-м и 3-м месяце лечения наблюдались побочные эффекты в виде изменений психического состояния (фобии, депрессивные эпизоды), связь которых с проводимой терапией не вполне очевидна; в этих случаях снижение дозировки (до 10 мг/</w:t>
      </w:r>
      <w:proofErr w:type="spellStart"/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t>сут</w:t>
      </w:r>
      <w:proofErr w:type="spellEnd"/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t xml:space="preserve">) и симптоматическое лечение в течение нескольких дней позволили полностью купировать возникшие нарушения. </w:t>
      </w:r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br/>
        <w:t xml:space="preserve">Общая характеристика обследованных больных </w:t>
      </w:r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br/>
        <w:t xml:space="preserve">Группы больных </w:t>
      </w:r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br/>
        <w:t xml:space="preserve">Характеристики легкая деменция умеренная деменция всего </w:t>
      </w:r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br/>
        <w:t xml:space="preserve">Количество больных 10 7 17 </w:t>
      </w:r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br/>
        <w:t xml:space="preserve">Средний возраст 65 69 67 </w:t>
      </w:r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br/>
        <w:t xml:space="preserve">(54-77 лет) Пол </w:t>
      </w:r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br/>
        <w:t xml:space="preserve">мужской 7 2 9 </w:t>
      </w:r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br/>
        <w:t xml:space="preserve">женский 3 5 8 </w:t>
      </w:r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br/>
        <w:t xml:space="preserve">Возраст начала заболевания </w:t>
      </w:r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br/>
        <w:t xml:space="preserve">до 60 лет 3 4 7 </w:t>
      </w:r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br/>
        <w:t xml:space="preserve">до 65 лет 4 1 5 </w:t>
      </w:r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br/>
        <w:t xml:space="preserve">65 лет и старше 3 2 5 </w:t>
      </w:r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br/>
      </w:r>
      <w:r w:rsidRPr="00E874F8">
        <w:rPr>
          <w:rFonts w:ascii="Times New Roman" w:eastAsia="Times New Roman" w:hAnsi="Times New Roman" w:cs="Times New Roman"/>
          <w:b/>
          <w:color w:val="000000"/>
          <w:lang w:eastAsia="ru-RU"/>
        </w:rPr>
        <w:t xml:space="preserve">Таким образом, полученные нами данные, свидетельствующие о положительном терапевтическом эффекте </w:t>
      </w:r>
      <w:proofErr w:type="spellStart"/>
      <w:r w:rsidRPr="00E874F8">
        <w:rPr>
          <w:rFonts w:ascii="Times New Roman" w:eastAsia="Times New Roman" w:hAnsi="Times New Roman" w:cs="Times New Roman"/>
          <w:b/>
          <w:color w:val="000000"/>
          <w:lang w:eastAsia="ru-RU"/>
        </w:rPr>
        <w:t>Мемантина</w:t>
      </w:r>
      <w:proofErr w:type="spellEnd"/>
      <w:r w:rsidRPr="00E874F8">
        <w:rPr>
          <w:rFonts w:ascii="Times New Roman" w:eastAsia="Times New Roman" w:hAnsi="Times New Roman" w:cs="Times New Roman"/>
          <w:b/>
          <w:color w:val="000000"/>
          <w:lang w:eastAsia="ru-RU"/>
        </w:rPr>
        <w:t xml:space="preserve"> при мягкой и умеренной СД, хорошо согласуются с результатами ранее проведенных работ аналогичного профиля у данной категории больных [7,11,14]. Полученные</w:t>
      </w:r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t xml:space="preserve"> результаты о степени влияния препарата на когнитивную сферу сопоставимы и с результатами работ по </w:t>
      </w:r>
      <w:proofErr w:type="gramStart"/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t xml:space="preserve">влиянию  </w:t>
      </w:r>
      <w:proofErr w:type="spellStart"/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t>Мемантина</w:t>
      </w:r>
      <w:proofErr w:type="spellEnd"/>
      <w:proofErr w:type="gramEnd"/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t xml:space="preserve"> на деменцию </w:t>
      </w:r>
      <w:proofErr w:type="spellStart"/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t>альцгеймеровского</w:t>
      </w:r>
      <w:proofErr w:type="spellEnd"/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t xml:space="preserve"> типа [4, 12]. Интересно отметить, что при болезни Альцгеймера доля случаев с улучшением когнитивных функций на фоне применения </w:t>
      </w:r>
      <w:proofErr w:type="spellStart"/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t>Мемантина</w:t>
      </w:r>
      <w:proofErr w:type="spellEnd"/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t xml:space="preserve"> при легкой деменции в 1,3 раза выше, чем при умеренной (соответственно, 100 и 77,8%); при этом общее число больных с позитивным лечебным эффектом составляет 83,3% [4]. </w:t>
      </w:r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br/>
        <w:t xml:space="preserve">Согласно нашему опыту, препарат хорошо переносится больными, что </w:t>
      </w:r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br/>
        <w:t xml:space="preserve">также подтверждается данными литературы. </w:t>
      </w:r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br/>
        <w:t xml:space="preserve">Применение теста ММЭЕ для оценки тяжести когнитивных нарушений при </w:t>
      </w:r>
      <w:proofErr w:type="spellStart"/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t>дисциркуляторной</w:t>
      </w:r>
      <w:proofErr w:type="spellEnd"/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t xml:space="preserve"> энцефалопатии рекомендовано рядом авторов, в том числе Н.Н. </w:t>
      </w:r>
      <w:proofErr w:type="spellStart"/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t>Яхно</w:t>
      </w:r>
      <w:proofErr w:type="spellEnd"/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t xml:space="preserve"> и др. (2001) [5], и проведенное нами исследование может служить подтверждением надежности и адекватности данного метода в условиях длительного клинического испытания. </w:t>
      </w:r>
      <w:r w:rsidRPr="00E874F8">
        <w:rPr>
          <w:rFonts w:ascii="Times New Roman" w:eastAsia="Times New Roman" w:hAnsi="Times New Roman" w:cs="Times New Roman"/>
          <w:color w:val="000000"/>
          <w:lang w:eastAsia="ru-RU"/>
        </w:rPr>
        <w:br/>
        <w:t>В перспективе мы предполагаем проанализировать взаимосвязь лечебного действия препарата с половыми, возрастными факторами и разноо</w:t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бразной сочетанной патологией. </w:t>
      </w:r>
    </w:p>
    <w:p w:rsidR="00394172" w:rsidRDefault="00394172"/>
    <w:sectPr w:rsidR="003941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1BC1"/>
    <w:rsid w:val="00394172"/>
    <w:rsid w:val="006A6EE1"/>
    <w:rsid w:val="008D1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3EA1655-D016-4A0D-94BA-8951DDD0A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D1BC1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1431</Words>
  <Characters>8162</Characters>
  <Application>Microsoft Office Word</Application>
  <DocSecurity>0</DocSecurity>
  <Lines>68</Lines>
  <Paragraphs>19</Paragraphs>
  <ScaleCrop>false</ScaleCrop>
  <Company>shoWa</Company>
  <LinksUpToDate>false</LinksUpToDate>
  <CharactersWithSpaces>9574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Шавкат Мейлиев</dc:creator>
  <cp:keywords>Деменция;Алчеба</cp:keywords>
  <dc:description/>
  <cp:lastModifiedBy>Шавкат Мейлиев</cp:lastModifiedBy>
  <cp:revision>2</cp:revision>
  <dcterms:created xsi:type="dcterms:W3CDTF">2018-08-11T15:51:00Z</dcterms:created>
  <dcterms:modified xsi:type="dcterms:W3CDTF">2018-08-11T15:52:00Z</dcterms:modified>
</cp:coreProperties>
</file>