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134" w:rsidRPr="008B7F48" w:rsidRDefault="00BC6134" w:rsidP="00BC6134">
      <w:pPr>
        <w:spacing w:after="0" w:line="24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</w:pPr>
      <w:r w:rsidRPr="008B7F48"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  <w:t>Эффективность   мемантина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  <w:t xml:space="preserve">в </w:t>
      </w:r>
      <w:bookmarkStart w:id="0" w:name="_GoBack"/>
      <w:bookmarkEnd w:id="0"/>
      <w:r w:rsidRPr="008B7F48"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  <w:t>лечении хронической постинсультной афазии</w:t>
      </w:r>
    </w:p>
    <w:p w:rsidR="00BC6134" w:rsidRPr="008B7F48" w:rsidRDefault="00BC6134" w:rsidP="00BC613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7"/>
          <w:szCs w:val="27"/>
          <w:lang w:eastAsia="ru-RU"/>
        </w:rPr>
      </w:pPr>
    </w:p>
    <w:p w:rsidR="00BC6134" w:rsidRDefault="00BC6134" w:rsidP="00BC6134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Когнитивные нарушения отмечаются у 30–70% пациент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ов, перенесших инсульт [1,4–6]. </w:t>
      </w: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Когнитивные нарушения могут быть легкими, умеренными и достигать степени деменции, вызывающей нарушение адаптации в профессиональной, общественной и бытовой сфере [5]. У пациентов, перенесших инсульт, легкие и умеренные когнитивные нарушения отмечаются примерно в половине случаев, деменция – в 10–20% случаев [1,4,6]. Постинсультные когнитивные нарушения обычно сочетаются с другой очаговой неврологической симпт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оматикой, вызванной инсультом. </w:t>
      </w:r>
    </w:p>
    <w:p w:rsidR="00BC6134" w:rsidRDefault="00BC6134" w:rsidP="00BC6134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Ведущими нарушениями могут быть замедленность мышления, трудности переключения внимания, снижение критики, понижение фона настроения и эмоциональная лабильность. Могут наблюдаться и первичные расстройства высших психических функций (апраксия, агнозия, афазия, дизартрия и т.д.), что наблюдается при локализации ишемических очагов в соответствующих отделах коры больших полушарий головного мозга.</w:t>
      </w:r>
    </w:p>
    <w:p w:rsidR="00BC6134" w:rsidRDefault="00BC6134" w:rsidP="00BC6134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B7F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Одной из наиболее актуальных проблем современной неврологии и психиатрии является лечение деменции и постинсультных когнитивных нарушений, частота встречаемости которой у лиц пожилого возраста весьма высока и имеет тенденцию к дальнейшему росту. Традиционно поиски адекватных терапевтических средств для лечения данной  патологии  в основном были сосредоточены на различных способах коррекции холинергической недостаточности в корковых и иных отделах головного мозга (использование предшественников ацетилхолина, ингибиторов аце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тилхолинэстеразы)</w:t>
      </w:r>
      <w:r w:rsidRPr="008B7F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BC6134" w:rsidRDefault="00BC6134" w:rsidP="00BC6134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B7F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последние годы большое внимание уделяется изучению роли </w:t>
      </w:r>
      <w:r w:rsidRPr="008B7F4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глутаматергических систем мозга</w:t>
      </w:r>
      <w:r w:rsidRPr="008B7F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патогенезе деменции и когнитивных нарушений. В результате был предложен и стал широко применяться низкоаффинный неконкурентный антагонист </w:t>
      </w:r>
      <w:r w:rsidRPr="008B7F4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NMDA</w:t>
      </w:r>
      <w:r w:rsidRPr="008B7F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-рецепторов- мемантин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BC6134" w:rsidRDefault="00BC6134" w:rsidP="00BC6134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B7F4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Мемантин применяется с 1976 г. Был разработан германскими учеными. В европейских странах и америки применяется  в основном для лечения двигательных нарушений (детский церебральный паралич, паркинсонизм), постинсультных когнитивных нарушений ( расстройства высших психических функций: апраксия , агнозия , афазия )</w:t>
      </w:r>
    </w:p>
    <w:p w:rsidR="00BC6134" w:rsidRDefault="00BC6134" w:rsidP="00BC6134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Были проведены   параллельные рандомизированные  двойные плацебо-контролируемые  исследования влияния мемантина в  терапии, ограничивающей использование невербальных средств коммуникации (CIAT), на хроническую постинсультную афазию с последующей дополнительной открытой фазой исследования.</w:t>
      </w:r>
    </w:p>
    <w:p w:rsidR="00BC6134" w:rsidRDefault="00BC6134" w:rsidP="00BC6134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B7F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Методы:</w:t>
      </w: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Пациенты были разделены на две рандомизирова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нные группы: мемантин </w:t>
      </w: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(20 мг/день) — плацебо (первые 16 недель). Затем прием препаратов сочетался с терапией CIAT (16–18 недели). После этого следовал возврат к собственно медикаментозному лечению (18–20 недели), завершившийся периодом выведения препаратов (20–24 недели). Завершала исследование дополнительная фаза открыто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го лечения мемантином </w:t>
      </w: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(24–48 недели). Клинические оценки проводились на двух рубежных точках (16 и 18 недели) и на 20, 24 и 48 неделях. Результаты определялись по изменению коэффициента афазии (Western Aphasia Battery) и показателей Communication Activity Log.</w:t>
      </w:r>
    </w:p>
    <w:p w:rsidR="00BC6134" w:rsidRPr="00E53A84" w:rsidRDefault="00BC6134" w:rsidP="00BC6134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B7F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Результаты:</w:t>
      </w: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В исследовании участвовало 28 пациентов, и 27 из них прошли через обе фазы лечения. По сравнению с группой плацебо группа,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принимавшая мемантин </w:t>
      </w: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продемонстрировала более значительное улучшению показателей по коэффициенту афазии (16 неделя, p=0.002; 18 неделя, p=0.0001; 20 неделя, p=0.005) в период приёма препарата и после прекращения приёма (p=0.041). Был обнаружен значительный рост показателей теста Communication Activity Log при комбинации мемантин-CIAT относительно комбинации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m</w:t>
      </w: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плацебо-CIAT (18 неделя, p=0.040). Лечение CIAT привело к существенным улучшениям в обеих </w:t>
      </w:r>
    </w:p>
    <w:p w:rsidR="00BC6134" w:rsidRPr="008B7F48" w:rsidRDefault="00BC6134" w:rsidP="00BC613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группах (p=0.001), однако эффект от терапии был более существенным в комбинации с мемантином ( алчеба )  (p=0.038). Эффект от прие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ма мемантина </w:t>
      </w: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оставался неизменным и при дальнейшем его </w:t>
      </w: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приеме. Кроме того, испытуемые, перешедшие в последней фазе с плацебо на мемантин, также улучшили свои показатели (p=0.02).</w:t>
      </w:r>
    </w:p>
    <w:p w:rsidR="00BC6134" w:rsidRPr="008B7F48" w:rsidRDefault="00BC6134" w:rsidP="00BC6134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B7F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Интерпретация: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Мемантин </w:t>
      </w: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 терапия CIAT выступают самостоятельными средствами снижения тяжести афазии, однако наилучшие результаты были достигнуты их сочетанием. Эффект от приема мемантина и использования CIAT сохранялся длительное время после завершения лечения.</w:t>
      </w:r>
      <w:r w:rsidRPr="008B7F4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При анализе интегральных полуколичественных оценок общего состояния и когнитивной сферы было отмечено повышение социальной адаптации пациентов, имевшее место на фоне улучшения мнестических способностей и концентрации внимания. </w:t>
      </w:r>
      <w:r w:rsidRPr="008B7F4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br/>
      </w:r>
      <w:r w:rsidRPr="008B7F48"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</w:t>
      </w:r>
    </w:p>
    <w:p w:rsidR="00BC6134" w:rsidRPr="008B7F48" w:rsidRDefault="00BC6134" w:rsidP="00BC6134">
      <w:pPr>
        <w:spacing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E53A84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>Источник</w:t>
      </w:r>
      <w:r w:rsidRPr="008B7F4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Ann Neurol 2009:65:577–585</w:t>
      </w:r>
    </w:p>
    <w:p w:rsidR="00BC6134" w:rsidRPr="008B7F48" w:rsidRDefault="00BC6134" w:rsidP="00BC6134">
      <w:pPr>
        <w:spacing w:line="240" w:lineRule="auto"/>
        <w:rPr>
          <w:rFonts w:ascii="Times New Roman" w:hAnsi="Times New Roman" w:cs="Times New Roman"/>
        </w:rPr>
      </w:pPr>
    </w:p>
    <w:p w:rsidR="0096725A" w:rsidRDefault="0096725A"/>
    <w:sectPr w:rsidR="0096725A" w:rsidSect="00010A1E">
      <w:pgSz w:w="11906" w:h="16838"/>
      <w:pgMar w:top="1134" w:right="851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134"/>
    <w:rsid w:val="0096725A"/>
    <w:rsid w:val="00BC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69A4B-9B83-47F4-9E67-426CC860A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613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670</Words>
  <Characters>3819</Characters>
  <Application>Microsoft Office Word</Application>
  <DocSecurity>0</DocSecurity>
  <Lines>31</Lines>
  <Paragraphs>8</Paragraphs>
  <ScaleCrop>false</ScaleCrop>
  <Company>shoWa</Company>
  <LinksUpToDate>false</LinksUpToDate>
  <CharactersWithSpaces>4481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Шавкат Мейлиев</dc:creator>
  <cp:keywords>Алчеба</cp:keywords>
  <dc:description/>
  <cp:lastModifiedBy>Шавкат Мейлиев</cp:lastModifiedBy>
  <cp:revision>1</cp:revision>
  <dcterms:created xsi:type="dcterms:W3CDTF">2018-08-11T16:10:00Z</dcterms:created>
  <dcterms:modified xsi:type="dcterms:W3CDTF">2018-08-11T16:11:00Z</dcterms:modified>
</cp:coreProperties>
</file>