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ind w:left="60"/>
        <w:spacing w:after="0"/>
        <w:rPr>
          <w:sz w:val="20"/>
          <w:szCs w:val="20"/>
          <w:color w:val="auto"/>
        </w:rPr>
      </w:pPr>
      <w:r>
        <w:rPr>
          <w:rFonts w:ascii="Arial Narrow" w:cs="Arial Narrow" w:eastAsia="Arial Narrow" w:hAnsi="Arial Narrow"/>
          <w:sz w:val="58"/>
          <w:szCs w:val="58"/>
          <w:b w:val="1"/>
          <w:bCs w:val="1"/>
          <w:color w:val="auto"/>
        </w:rPr>
        <w:t>Глутатион в норме и при патологии:</w:t>
      </w:r>
    </w:p>
    <w:p>
      <w:pPr>
        <w:ind w:left="740"/>
        <w:spacing w:after="0"/>
        <w:rPr>
          <w:sz w:val="20"/>
          <w:szCs w:val="20"/>
          <w:color w:val="auto"/>
        </w:rPr>
      </w:pPr>
      <w:r>
        <w:rPr>
          <w:rFonts w:ascii="Arial Narrow" w:cs="Arial Narrow" w:eastAsia="Arial Narrow" w:hAnsi="Arial Narrow"/>
          <w:sz w:val="40"/>
          <w:szCs w:val="40"/>
          <w:color w:val="auto"/>
        </w:rPr>
        <w:t>Биологическая роль и возможности клинического применения</w:t>
      </w:r>
    </w:p>
    <w:p>
      <w:pPr>
        <w:spacing w:after="0" w:line="198" w:lineRule="exact"/>
        <w:rPr>
          <w:sz w:val="24"/>
          <w:szCs w:val="24"/>
          <w:color w:val="auto"/>
        </w:rPr>
      </w:pPr>
    </w:p>
    <w:p>
      <w:pPr>
        <w:ind w:left="74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15"/>
          <w:szCs w:val="15"/>
          <w:b w:val="1"/>
          <w:bCs w:val="1"/>
          <w:u w:val="single" w:color="auto"/>
          <w:color w:val="auto"/>
        </w:rPr>
        <w:t>О.Я. Бабак</w:t>
      </w:r>
      <w:r>
        <w:rPr>
          <w:rFonts w:ascii="Segoe UI" w:cs="Segoe UI" w:eastAsia="Segoe UI" w:hAnsi="Segoe UI"/>
          <w:sz w:val="12"/>
          <w:szCs w:val="12"/>
          <w:u w:val="single" w:color="auto"/>
          <w:color w:val="auto"/>
        </w:rPr>
        <w:t>,</w:t>
      </w:r>
      <w:r>
        <w:rPr>
          <w:rFonts w:ascii="Segoe UI" w:cs="Segoe UI" w:eastAsia="Segoe UI" w:hAnsi="Segoe UI"/>
          <w:sz w:val="15"/>
          <w:szCs w:val="15"/>
          <w:b w:val="1"/>
          <w:bCs w:val="1"/>
          <w:u w:val="single" w:color="auto"/>
          <w:color w:val="auto"/>
        </w:rPr>
        <w:t xml:space="preserve"> </w:t>
      </w:r>
      <w:r>
        <w:rPr>
          <w:rFonts w:ascii="Segoe UI" w:cs="Segoe UI" w:eastAsia="Segoe UI" w:hAnsi="Segoe UI"/>
          <w:sz w:val="12"/>
          <w:szCs w:val="12"/>
          <w:u w:val="single" w:color="auto"/>
          <w:color w:val="auto"/>
        </w:rPr>
        <w:t>д.м.н..</w:t>
      </w:r>
      <w:r>
        <w:rPr>
          <w:rFonts w:ascii="Segoe UI" w:cs="Segoe UI" w:eastAsia="Segoe UI" w:hAnsi="Segoe UI"/>
          <w:sz w:val="15"/>
          <w:szCs w:val="15"/>
          <w:b w:val="1"/>
          <w:bCs w:val="1"/>
          <w:u w:val="single" w:color="auto"/>
          <w:color w:val="auto"/>
        </w:rPr>
        <w:t xml:space="preserve"> </w:t>
      </w:r>
      <w:r>
        <w:rPr>
          <w:rFonts w:ascii="Segoe UI" w:cs="Segoe UI" w:eastAsia="Segoe UI" w:hAnsi="Segoe UI"/>
          <w:sz w:val="12"/>
          <w:szCs w:val="12"/>
          <w:u w:val="single" w:color="auto"/>
          <w:color w:val="auto"/>
        </w:rPr>
        <w:t>профессор,</w:t>
      </w:r>
      <w:r>
        <w:rPr>
          <w:rFonts w:ascii="Segoe UI" w:cs="Segoe UI" w:eastAsia="Segoe UI" w:hAnsi="Segoe UI"/>
          <w:sz w:val="15"/>
          <w:szCs w:val="15"/>
          <w:b w:val="1"/>
          <w:bCs w:val="1"/>
          <w:u w:val="single" w:color="auto"/>
          <w:color w:val="auto"/>
        </w:rPr>
        <w:t xml:space="preserve"> </w:t>
      </w:r>
      <w:r>
        <w:rPr>
          <w:rFonts w:ascii="Segoe UI" w:cs="Segoe UI" w:eastAsia="Segoe UI" w:hAnsi="Segoe UI"/>
          <w:sz w:val="12"/>
          <w:szCs w:val="12"/>
          <w:u w:val="single" w:color="auto"/>
          <w:color w:val="auto"/>
        </w:rPr>
        <w:t>кафедра внутренней медицины Харьковского национального медицинского университета</w:t>
      </w:r>
    </w:p>
    <w:p>
      <w:pPr>
        <w:spacing w:after="0" w:line="49" w:lineRule="exact"/>
        <w:rPr>
          <w:sz w:val="24"/>
          <w:szCs w:val="24"/>
          <w:color w:val="auto"/>
        </w:rPr>
      </w:pPr>
    </w:p>
    <w:p>
      <w:pPr>
        <w:ind w:left="40" w:right="420"/>
        <w:spacing w:after="0" w:line="254" w:lineRule="auto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17"/>
          <w:szCs w:val="17"/>
          <w:b w:val="1"/>
          <w:bCs w:val="1"/>
          <w:color w:val="auto"/>
        </w:rPr>
        <w:t>Глутатион - естественный антиоксидант организма человека с наименьшей молекулярной массой, но мощным восстановительным и детоксикационным потенциалом.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left="40" w:right="140"/>
        <w:spacing w:after="0" w:line="288" w:lineRule="auto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15"/>
          <w:szCs w:val="15"/>
          <w:b w:val="1"/>
          <w:bCs w:val="1"/>
          <w:color w:val="auto"/>
        </w:rPr>
        <w:t xml:space="preserve">Синтез глутатиона непрерывно происходит практически во всех клетках для поддержания окислительно-восстановительного баланса. </w:t>
      </w:r>
      <w:r>
        <w:rPr>
          <w:rFonts w:ascii="Segoe UI" w:cs="Segoe UI" w:eastAsia="Segoe UI" w:hAnsi="Segoe UI"/>
          <w:sz w:val="15"/>
          <w:szCs w:val="15"/>
          <w:b w:val="1"/>
          <w:bCs w:val="1"/>
          <w:u w:val="single" w:color="auto"/>
          <w:color w:val="auto"/>
        </w:rPr>
        <w:t>Для такого метаболически активного и многофункционального органа, как печень, обеспечение адекватного уровня глутатиона является жизненно важным,</w:t>
      </w:r>
      <w:r>
        <w:rPr>
          <w:rFonts w:ascii="Segoe UI" w:cs="Segoe UI" w:eastAsia="Segoe UI" w:hAnsi="Segoe UI"/>
          <w:sz w:val="15"/>
          <w:szCs w:val="15"/>
          <w:b w:val="1"/>
          <w:bCs w:val="1"/>
          <w:color w:val="auto"/>
        </w:rPr>
        <w:t xml:space="preserve"> </w:t>
      </w:r>
      <w:r>
        <w:rPr>
          <w:rFonts w:ascii="Segoe UI" w:cs="Segoe UI" w:eastAsia="Segoe UI" w:hAnsi="Segoe UI"/>
          <w:sz w:val="15"/>
          <w:szCs w:val="15"/>
          <w:b w:val="1"/>
          <w:bCs w:val="1"/>
          <w:u w:val="single" w:color="auto"/>
          <w:color w:val="auto"/>
        </w:rPr>
        <w:t>поэтому активно изучается роль системы глутатиона при заболеваниях печени разной этиологии</w:t>
      </w:r>
      <w:r>
        <w:rPr>
          <w:rFonts w:ascii="Segoe UI" w:cs="Segoe UI" w:eastAsia="Segoe UI" w:hAnsi="Segoe UI"/>
          <w:sz w:val="15"/>
          <w:szCs w:val="15"/>
          <w:b w:val="1"/>
          <w:bCs w:val="1"/>
          <w:color w:val="auto"/>
        </w:rPr>
        <w:t>.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ind w:left="40" w:right="1000" w:firstLine="30"/>
        <w:spacing w:after="0" w:line="296" w:lineRule="auto"/>
        <w:tabs>
          <w:tab w:leader="none" w:pos="213" w:val="left"/>
        </w:tabs>
        <w:numPr>
          <w:ilvl w:val="0"/>
          <w:numId w:val="1"/>
        </w:numPr>
        <w:rPr>
          <w:rFonts w:ascii="Segoe UI" w:cs="Segoe UI" w:eastAsia="Segoe UI" w:hAnsi="Segoe UI"/>
          <w:sz w:val="17"/>
          <w:szCs w:val="17"/>
          <w:b w:val="1"/>
          <w:bCs w:val="1"/>
          <w:color w:val="auto"/>
        </w:rPr>
      </w:pPr>
      <w:r>
        <w:rPr>
          <w:rFonts w:ascii="Segoe UI" w:cs="Segoe UI" w:eastAsia="Segoe UI" w:hAnsi="Segoe UI"/>
          <w:sz w:val="17"/>
          <w:szCs w:val="17"/>
          <w:b w:val="1"/>
          <w:bCs w:val="1"/>
          <w:color w:val="auto"/>
        </w:rPr>
        <w:t>данном обзоре обосновано назначение заместительной терапии глутатионом при его дефиците в организме и рассмотрена доказательная база практического использования этой молекулы.</w:t>
      </w:r>
    </w:p>
    <w:p>
      <w:pPr>
        <w:sectPr>
          <w:pgSz w:w="12160" w:h="17136" w:orient="portrait"/>
          <w:cols w:equalWidth="0" w:num="1">
            <w:col w:w="10540"/>
          </w:cols>
          <w:pgMar w:left="760" w:top="1081" w:right="858" w:bottom="1158" w:gutter="0" w:footer="0" w:header="0"/>
        </w:sectPr>
      </w:pP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right="1240"/>
        <w:spacing w:after="0" w:line="217" w:lineRule="auto"/>
        <w:rPr>
          <w:sz w:val="20"/>
          <w:szCs w:val="20"/>
          <w:color w:val="auto"/>
        </w:rPr>
      </w:pPr>
      <w:r>
        <w:rPr>
          <w:rFonts w:ascii="Arial Narrow" w:cs="Arial Narrow" w:eastAsia="Arial Narrow" w:hAnsi="Arial Narrow"/>
          <w:sz w:val="28"/>
          <w:szCs w:val="28"/>
          <w:color w:val="auto"/>
        </w:rPr>
        <w:t>Оксидативный стресс и его значение при заболеваниях печени</w:t>
      </w:r>
    </w:p>
    <w:p>
      <w:pPr>
        <w:spacing w:after="0" w:line="122" w:lineRule="exact"/>
        <w:rPr>
          <w:sz w:val="24"/>
          <w:szCs w:val="24"/>
          <w:color w:val="auto"/>
        </w:rPr>
      </w:pPr>
    </w:p>
    <w:p>
      <w:pPr>
        <w:jc w:val="both"/>
        <w:ind w:firstLine="248"/>
        <w:spacing w:after="0" w:line="228" w:lineRule="auto"/>
        <w:tabs>
          <w:tab w:leader="none" w:pos="418" w:val="left"/>
        </w:tabs>
        <w:numPr>
          <w:ilvl w:val="0"/>
          <w:numId w:val="2"/>
        </w:numPr>
        <w:rPr>
          <w:rFonts w:ascii="Times New Roman" w:cs="Times New Roman" w:eastAsia="Times New Roman" w:hAnsi="Times New Roman"/>
          <w:sz w:val="18"/>
          <w:szCs w:val="18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последние годы в научных медицинских публикациях все ча-ще встречается термин «оксидативный стресс», который широко применяется при описании патогенеза многих заболеваний и ми-шеней действия лекарственных средств. Под оксидативным стрессом подразумевается нарушение баланса окислительных и восстановительных реакций в организме (ткани, клетке, ее от-дельных органеллах) в сторону избыточного образования свобод-ных радикалов, которые являются сильными окислителями и спо-собны повреждать жизненно важные молекулы — ферменты, бел-ки, фосфолипиды мембран, нуклеиновых кислот. 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>В настоящее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>время в отношении более чем 60 заболеваний выявлена патогенетическая связь с оксидативным стрессом. Любые болезни, связанные с инфекцией, воспалением, синдромом ишемии-реперфузии, эндотелиальной дисфункцией, а также онкологическая патология и сахарный диабет сопровождаются</w:t>
      </w:r>
    </w:p>
    <w:p>
      <w:pPr>
        <w:spacing w:after="0" w:line="4" w:lineRule="exact"/>
        <w:rPr>
          <w:rFonts w:ascii="Times New Roman" w:cs="Times New Roman" w:eastAsia="Times New Roman" w:hAnsi="Times New Roman"/>
          <w:sz w:val="18"/>
          <w:szCs w:val="18"/>
          <w:color w:val="auto"/>
        </w:rPr>
      </w:pPr>
    </w:p>
    <w:p>
      <w:pPr>
        <w:spacing w:after="0"/>
        <w:rPr>
          <w:rFonts w:ascii="Times New Roman" w:cs="Times New Roman" w:eastAsia="Times New Roman" w:hAnsi="Times New Roman"/>
          <w:sz w:val="18"/>
          <w:szCs w:val="18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>массивнымобразованиемсвободных</w:t>
      </w:r>
      <w:r>
        <w:rPr>
          <w:rFonts w:ascii="Times New Roman" w:cs="Times New Roman" w:eastAsia="Times New Roman" w:hAnsi="Times New Roman"/>
          <w:sz w:val="17"/>
          <w:szCs w:val="17"/>
          <w:b w:val="1"/>
          <w:bCs w:val="1"/>
          <w:color w:val="auto"/>
        </w:rPr>
        <w:t>радикалов</w:t>
      </w:r>
      <w:r>
        <w:rPr>
          <w:rFonts w:ascii="Times New Roman" w:cs="Times New Roman" w:eastAsia="Times New Roman" w:hAnsi="Times New Roman"/>
          <w:sz w:val="17"/>
          <w:szCs w:val="17"/>
          <w:color w:val="auto"/>
        </w:rPr>
        <w:t>.</w:t>
      </w:r>
    </w:p>
    <w:p>
      <w:pPr>
        <w:jc w:val="both"/>
        <w:spacing w:after="0" w:line="228" w:lineRule="auto"/>
        <w:rPr>
          <w:rFonts w:ascii="Times New Roman" w:cs="Times New Roman" w:eastAsia="Times New Roman" w:hAnsi="Times New Roman"/>
          <w:sz w:val="18"/>
          <w:szCs w:val="18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Прооксидантными факторами являются алкоголь, курение, ионизирующее излучение, токсины, некоторые лекарства, а также факторы организма и образа жизни: возраст, избыточный вес, нерациональное питание, стрессы, гипокинезия (J. Cai et al., 2007).</w:t>
      </w:r>
    </w:p>
    <w:p>
      <w:pPr>
        <w:jc w:val="both"/>
        <w:ind w:firstLine="240"/>
        <w:spacing w:after="0" w:line="228" w:lineRule="auto"/>
        <w:rPr>
          <w:rFonts w:ascii="Times New Roman" w:cs="Times New Roman" w:eastAsia="Times New Roman" w:hAnsi="Times New Roman"/>
          <w:sz w:val="18"/>
          <w:szCs w:val="18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Поскольку печень является метаболически активным органом, детоксикационной «лабораторией» организма и основным местом синтеза белков, липопротеинов и других важных молекул, где протекает множество окислительно-восстановительных реакций, оксидативный стресс сопровождает практически любую патологию печени, становясь одним из основных факторов нарушения ее функций и структуры (Hye-Lin Ha et al., 2010). 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>При усилении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 xml:space="preserve">перекисного окисления липидов повреждаются мембраны гепатоцитов, их прогрессирующая гибель запускает воспалительную реакцию, создает предпосылки для активации фиброгенеза. 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Повреждения ДНК свободными радикалами могут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вызывать мутации, запускающие 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>процессы канцерогенеза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76" w:lineRule="exact"/>
        <w:rPr>
          <w:sz w:val="24"/>
          <w:szCs w:val="24"/>
          <w:color w:val="auto"/>
        </w:rPr>
      </w:pPr>
    </w:p>
    <w:p>
      <w:pPr>
        <w:ind w:left="4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>Система глутатиона, включающая собственно глутатион и еще</w:t>
      </w:r>
    </w:p>
    <w:p>
      <w:pPr>
        <w:jc w:val="both"/>
        <w:ind w:left="4"/>
        <w:spacing w:after="0" w:line="22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 xml:space="preserve">три фермента (глутатионпероксидазу, глутатионтрансферазу и глутатионредуктазу), 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—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единственная в организме,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которая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участвует в трех линиях защиты из четырех. По структуре глута-тион — это трипептид, состоящий из аминокислот глутамина, цистеина и глицина (рис. 1). Биологически активным является L-изомер.</w:t>
      </w:r>
    </w:p>
    <w:p>
      <w:pPr>
        <w:spacing w:after="0" w:line="4" w:lineRule="exact"/>
        <w:rPr>
          <w:sz w:val="24"/>
          <w:szCs w:val="24"/>
          <w:color w:val="auto"/>
        </w:rPr>
      </w:pPr>
    </w:p>
    <w:p>
      <w:pPr>
        <w:jc w:val="both"/>
        <w:ind w:left="4" w:firstLine="240"/>
        <w:spacing w:after="0" w:line="22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Сульфгидридная группа (SH) является основным инструментом глутатиона в реализации антиоксидантного и детоксикаци- онного действия — используется как донор электрона в антиоксидантных реакциях нейтрализации более 3 тыс. токсичных окисленных субстратов в организме. у-Глутамилпептидная связь обеспечивает устойчивость глутатиона к пептидазам при его пероральном применении.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jc w:val="both"/>
        <w:ind w:left="4" w:firstLine="240"/>
        <w:spacing w:after="0" w:line="22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Важнейшая роль глутатиона как антиоксиданта объясняется высоким восстановительным потенциалом молекулы и высокой внутриклеточной концентрацией (миллимолярный уровень). 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 xml:space="preserve">Система глутатиона 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связывает свободные радикалы,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восстанавливает перекиси, а также продукты перекисного окисления липидов, фосфолипидов мембран, белков, нуклеиновых кислот и 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>выводит их из организма в виде нетоксичных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 xml:space="preserve">конъюгатов. 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Глутатион-S-трансфераза связывает любые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токсические вещества, канцерогены, цитостатики, пестициды, токсические метаболиты лекарств, антибиотиков, в том числе соли</w:t>
      </w:r>
    </w:p>
    <w:p>
      <w:pPr>
        <w:spacing w:after="0" w:line="6" w:lineRule="exact"/>
        <w:rPr>
          <w:sz w:val="24"/>
          <w:szCs w:val="24"/>
          <w:color w:val="auto"/>
        </w:rPr>
      </w:pPr>
    </w:p>
    <w:p>
      <w:pPr>
        <w:jc w:val="both"/>
        <w:ind w:left="4"/>
        <w:spacing w:after="0" w:line="227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тяжелых металовю. Глутион присоединяется ферментами печени к гидрофобным токсическим веществам , переводит их в гидрофильную форму и выводит из организма. 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>Кроме того,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>глутатион восстанавливает другие антиоксиданты (витамины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jc w:val="both"/>
        <w:ind w:left="4" w:hanging="4"/>
        <w:spacing w:after="0" w:line="228" w:lineRule="auto"/>
        <w:tabs>
          <w:tab w:leader="none" w:pos="225" w:val="left"/>
        </w:tabs>
        <w:numPr>
          <w:ilvl w:val="0"/>
          <w:numId w:val="3"/>
        </w:numP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>и Е), а также действует как иммуномодулятор, принимая участие в активации естественных киллеров (NK-клеток) и</w:t>
      </w:r>
    </w:p>
    <w:p>
      <w:pPr>
        <w:ind w:left="4"/>
        <w:spacing w:after="0" w:line="228" w:lineRule="auto"/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>Т-лимфо-  цитов  (B.M.  Lomaestro,  M.  Malone,  1995;  В.И.</w:t>
      </w:r>
    </w:p>
    <w:p>
      <w:pPr>
        <w:ind w:left="4"/>
        <w:spacing w:after="0" w:line="231" w:lineRule="auto"/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>Кулинский, Л.С. Колесниченко, 2009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).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sectPr>
          <w:pgSz w:w="12160" w:h="17136" w:orient="portrait"/>
          <w:cols w:equalWidth="0" w:num="2">
            <w:col w:w="5220" w:space="116"/>
            <w:col w:w="5204"/>
          </w:cols>
          <w:pgMar w:left="760" w:top="1081" w:right="858" w:bottom="1158" w:gutter="0" w:footer="0" w:header="0"/>
          <w:type w:val="continuous"/>
        </w:sect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97"/>
        </w:trPr>
        <w:tc>
          <w:tcPr>
            <w:tcW w:w="5280" w:type="dxa"/>
            <w:vAlign w:val="bottom"/>
            <w:vMerge w:val="restart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 Narrow" w:cs="Arial Narrow" w:eastAsia="Arial Narrow" w:hAnsi="Arial Narrow"/>
                <w:sz w:val="20"/>
                <w:szCs w:val="20"/>
                <w:color w:val="auto"/>
              </w:rPr>
              <w:t>Глутатион как важнейший компонент</w:t>
            </w:r>
          </w:p>
        </w:tc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Глутатион — один из наиболее изученных антиоксидантов. База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0"/>
        </w:trPr>
        <w:tc>
          <w:tcPr>
            <w:tcW w:w="5280" w:type="dxa"/>
            <w:vAlign w:val="bottom"/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5260" w:type="dxa"/>
            <w:vAlign w:val="bottom"/>
          </w:tcPr>
          <w:p>
            <w:pPr>
              <w:ind w:left="60"/>
              <w:spacing w:after="0" w:line="18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данных PubMed Национальной медицинской библиотеки США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4"/>
        </w:trPr>
        <w:tc>
          <w:tcPr>
            <w:tcW w:w="5280" w:type="dxa"/>
            <w:vAlign w:val="bottom"/>
          </w:tcPr>
          <w:p>
            <w:pPr>
              <w:spacing w:after="0" w:line="204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 Narrow" w:cs="Arial Narrow" w:eastAsia="Arial Narrow" w:hAnsi="Arial Narrow"/>
                <w:sz w:val="20"/>
                <w:szCs w:val="20"/>
                <w:color w:val="auto"/>
              </w:rPr>
              <w:t>антиоксидантной защиты организма</w:t>
            </w:r>
          </w:p>
        </w:tc>
        <w:tc>
          <w:tcPr>
            <w:tcW w:w="5260" w:type="dxa"/>
            <w:vAlign w:val="bottom"/>
          </w:tcPr>
          <w:p>
            <w:pPr>
              <w:ind w:left="60"/>
              <w:spacing w:after="0" w:line="2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выдает более 116 тыс. ссылок по запросу «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>glutathione».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 xml:space="preserve"> Для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80" w:type="dxa"/>
            <w:vAlign w:val="bottom"/>
            <w:vMerge w:val="restart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В норме образование свободных радикалов и недоокисленных</w:t>
            </w:r>
          </w:p>
        </w:tc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сравнения, по витамину Е — 37 тыс. научных статей, по ко- энзиму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0"/>
        </w:trPr>
        <w:tc>
          <w:tcPr>
            <w:tcW w:w="5280" w:type="dxa"/>
            <w:vAlign w:val="bottom"/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5260" w:type="dxa"/>
            <w:vAlign w:val="bottom"/>
          </w:tcPr>
          <w:p>
            <w:pPr>
              <w:ind w:left="60"/>
              <w:spacing w:after="0" w:line="18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Q — 3 тыс. публикаций. Изучается роль глутатиона при патологии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80" w:type="dxa"/>
            <w:vAlign w:val="bottom"/>
          </w:tcPr>
          <w:p>
            <w:pPr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продуктов метаболизма происходит во время биохимических ре-</w:t>
            </w:r>
          </w:p>
        </w:tc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печени, респираторных заболеваниях, в токсикологии, при лечении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80" w:type="dxa"/>
            <w:vAlign w:val="bottom"/>
          </w:tcPr>
          <w:p>
            <w:pPr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акций  организма непрерывно.  Баланс поддерживается  антиок-</w:t>
            </w:r>
          </w:p>
        </w:tc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СПИДа,  онкологической  патологии,  в  процессах  нормального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4"/>
        </w:trPr>
        <w:tc>
          <w:tcPr>
            <w:tcW w:w="5280" w:type="dxa"/>
            <w:vAlign w:val="bottom"/>
          </w:tcPr>
          <w:p>
            <w:pPr>
              <w:spacing w:after="0" w:line="19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сидантными ферментами, способными нейтрализовать молекулы с</w:t>
            </w:r>
          </w:p>
        </w:tc>
        <w:tc>
          <w:tcPr>
            <w:tcW w:w="5260" w:type="dxa"/>
            <w:vAlign w:val="bottom"/>
          </w:tcPr>
          <w:p>
            <w:pPr>
              <w:ind w:left="60"/>
              <w:spacing w:after="0" w:line="19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старения.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0"/>
        </w:trPr>
        <w:tc>
          <w:tcPr>
            <w:tcW w:w="5280" w:type="dxa"/>
            <w:vAlign w:val="bottom"/>
          </w:tcPr>
          <w:p>
            <w:pPr>
              <w:spacing w:after="0" w:line="20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высоким окислительным потенциалом. В организме существует</w:t>
            </w:r>
          </w:p>
        </w:tc>
        <w:tc>
          <w:tcPr>
            <w:tcW w:w="5260" w:type="dxa"/>
            <w:vAlign w:val="bottom"/>
          </w:tcPr>
          <w:p>
            <w:pPr>
              <w:jc w:val="right"/>
              <w:spacing w:after="0" w:line="20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Глутатион существует в организме в двух формах: окисленной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80" w:type="dxa"/>
            <w:vAlign w:val="bottom"/>
          </w:tcPr>
          <w:p>
            <w:pPr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четыре линии антиоксидантной защиты, которые последовательно</w:t>
            </w:r>
          </w:p>
        </w:tc>
        <w:tc>
          <w:tcPr>
            <w:tcW w:w="5260" w:type="dxa"/>
            <w:vAlign w:val="bottom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(GSSG, неактивной) и восстановленной (GSH, активной). Соот-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6"/>
        </w:trPr>
        <w:tc>
          <w:tcPr>
            <w:tcW w:w="5280" w:type="dxa"/>
            <w:vAlign w:val="bottom"/>
          </w:tcPr>
          <w:p>
            <w:pPr>
              <w:spacing w:after="0" w:line="19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восстанавливают   активные   формы   кислорода   (свободные</w:t>
            </w:r>
          </w:p>
        </w:tc>
        <w:tc>
          <w:tcPr>
            <w:tcW w:w="5260" w:type="dxa"/>
            <w:vAlign w:val="bottom"/>
          </w:tcPr>
          <w:p>
            <w:pPr>
              <w:jc w:val="right"/>
              <w:spacing w:after="0" w:line="19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ношение концентраций восстановленного и окисленного глута-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80" w:type="dxa"/>
            <w:vAlign w:val="bottom"/>
          </w:tcPr>
          <w:p>
            <w:pPr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радикалы), продукты перекисного окисления жиров и белков.</w:t>
            </w:r>
          </w:p>
        </w:tc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  <w:w w:val="99"/>
              </w:rPr>
              <w:t>тиона в норме составляет 10/1, а уменьшение соотношения является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80" w:type="dxa"/>
            <w:vAlign w:val="bottom"/>
          </w:tcPr>
          <w:p>
            <w:pPr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>Основным  внутриклеточным  антиоксидантом  с  мощным</w:t>
            </w:r>
          </w:p>
        </w:tc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маркером  оксидативного стресса.  При избыточной  продукции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4"/>
        </w:trPr>
        <w:tc>
          <w:tcPr>
            <w:tcW w:w="5280" w:type="dxa"/>
            <w:vAlign w:val="bottom"/>
          </w:tcPr>
          <w:p>
            <w:pPr>
              <w:spacing w:after="0" w:line="2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>детоксикационным действием является глутатион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.</w:t>
            </w:r>
          </w:p>
        </w:tc>
        <w:tc>
          <w:tcPr>
            <w:tcW w:w="5260" w:type="dxa"/>
            <w:vAlign w:val="bottom"/>
          </w:tcPr>
          <w:p>
            <w:pPr>
              <w:jc w:val="right"/>
              <w:spacing w:after="0" w:line="20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свободных  радикалов  наблюдается  резкое  истощение  запасов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восстановленного глутатиона. Наличие достаточной концентрации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9"/>
        </w:trPr>
        <w:tc>
          <w:tcPr>
            <w:tcW w:w="52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5260" w:type="dxa"/>
            <w:vAlign w:val="bottom"/>
          </w:tcPr>
          <w:p>
            <w:pPr>
              <w:jc w:val="right"/>
              <w:spacing w:after="0" w:line="19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восстановленного  глутатиона  является  критическим  фактором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 xml:space="preserve">выживания клеток в условиях оксидативного стресса.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>Научно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>обосновано  применение  восстановленного  глутатиона  в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5260" w:type="dxa"/>
            <w:vAlign w:val="bottom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>качестве заместительной терапии (B.M. Lomaestro, M. Malone,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1"/>
        </w:trPr>
        <w:tc>
          <w:tcPr>
            <w:tcW w:w="52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526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>1995).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ectPr>
          <w:pgSz w:w="12160" w:h="17136" w:orient="portrait"/>
          <w:cols w:equalWidth="0" w:num="1">
            <w:col w:w="10540"/>
          </w:cols>
          <w:pgMar w:left="760" w:top="1081" w:right="858" w:bottom="1158" w:gutter="0" w:footer="0" w:header="0"/>
          <w:type w:val="continuous"/>
        </w:sectPr>
      </w:pPr>
    </w:p>
    <w:bookmarkStart w:id="1" w:name="page2"/>
    <w:bookmarkEnd w:id="1"/>
    <w:p>
      <w:pPr>
        <w:spacing w:after="0" w:line="1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75"/>
        </w:trPr>
        <w:tc>
          <w:tcPr>
            <w:tcW w:w="52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 Narrow" w:cs="Arial Narrow" w:eastAsia="Arial Narrow" w:hAnsi="Arial Narrow"/>
                <w:sz w:val="24"/>
                <w:szCs w:val="24"/>
                <w:color w:val="auto"/>
              </w:rPr>
              <w:t>Глутатион как лекарство: биодоступность,</w:t>
            </w:r>
          </w:p>
        </w:tc>
        <w:tc>
          <w:tcPr>
            <w:tcW w:w="1220" w:type="dxa"/>
            <w:vAlign w:val="bottom"/>
            <w:vMerge w:val="restart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различные</w:t>
            </w:r>
          </w:p>
        </w:tc>
        <w:tc>
          <w:tcPr>
            <w:tcW w:w="1540" w:type="dxa"/>
            <w:vAlign w:val="bottom"/>
            <w:gridSpan w:val="2"/>
            <w:vMerge w:val="restart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эпителиальные</w:t>
            </w:r>
          </w:p>
        </w:tc>
        <w:tc>
          <w:tcPr>
            <w:tcW w:w="760" w:type="dxa"/>
            <w:vAlign w:val="bottom"/>
            <w:vMerge w:val="restart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клетки</w:t>
            </w:r>
          </w:p>
        </w:tc>
        <w:tc>
          <w:tcPr>
            <w:tcW w:w="600" w:type="dxa"/>
            <w:vAlign w:val="bottom"/>
            <w:vMerge w:val="restart"/>
          </w:tcPr>
          <w:p>
            <w:pPr>
              <w:jc w:val="right"/>
              <w:ind w:right="14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—</w:t>
            </w:r>
          </w:p>
        </w:tc>
        <w:tc>
          <w:tcPr>
            <w:tcW w:w="11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>энтероциты,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4"/>
        </w:trPr>
        <w:tc>
          <w:tcPr>
            <w:tcW w:w="5260" w:type="dxa"/>
            <w:vAlign w:val="bottom"/>
          </w:tcPr>
          <w:p>
            <w:pPr>
              <w:spacing w:after="0" w:line="235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 Narrow" w:cs="Arial Narrow" w:eastAsia="Arial Narrow" w:hAnsi="Arial Narrow"/>
                <w:sz w:val="24"/>
                <w:szCs w:val="24"/>
                <w:color w:val="auto"/>
              </w:rPr>
              <w:t>распределение и эффекты при пероральном приеме</w:t>
            </w:r>
          </w:p>
        </w:tc>
        <w:tc>
          <w:tcPr>
            <w:tcW w:w="12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54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76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1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8"/>
        </w:trPr>
        <w:tc>
          <w:tcPr>
            <w:tcW w:w="526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>Химический синтез глутатиона осуществлен в Японии в на-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2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  <w:b w:val="1"/>
                <w:bCs w:val="1"/>
                <w:color w:val="auto"/>
              </w:rPr>
              <w:t>эндотелиоциты</w:t>
            </w:r>
            <w:r>
              <w:rPr>
                <w:rFonts w:ascii="Times New Roman" w:cs="Times New Roman" w:eastAsia="Times New Roman" w:hAnsi="Times New Roman"/>
                <w:sz w:val="14"/>
                <w:szCs w:val="14"/>
                <w:color w:val="auto"/>
              </w:rPr>
              <w:t>,</w:t>
            </w:r>
            <w:r>
              <w:rPr>
                <w:rFonts w:ascii="Times New Roman" w:cs="Times New Roman" w:eastAsia="Times New Roman" w:hAnsi="Times New Roman"/>
                <w:sz w:val="14"/>
                <w:szCs w:val="14"/>
                <w:b w:val="1"/>
                <w:bCs w:val="1"/>
                <w:color w:val="auto"/>
              </w:rPr>
              <w:t xml:space="preserve">  альвеолярные  клетки  легких</w:t>
            </w:r>
            <w:r>
              <w:rPr>
                <w:rFonts w:ascii="Times New Roman" w:cs="Times New Roman" w:eastAsia="Times New Roman" w:hAnsi="Times New Roman"/>
                <w:sz w:val="14"/>
                <w:szCs w:val="14"/>
                <w:color w:val="auto"/>
              </w:rPr>
              <w:t>,</w:t>
            </w:r>
            <w:r>
              <w:rPr>
                <w:rFonts w:ascii="Times New Roman" w:cs="Times New Roman" w:eastAsia="Times New Roman" w:hAnsi="Times New Roman"/>
                <w:sz w:val="14"/>
                <w:szCs w:val="14"/>
                <w:b w:val="1"/>
                <w:bCs w:val="1"/>
                <w:color w:val="auto"/>
              </w:rPr>
              <w:t xml:space="preserve">  эпителий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  <w:vMerge w:val="continue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>проксимальных почечных канальцев (G. Bellomo, 1985; T.Y.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>чале 1970-х гг. Восстановленный глутатион (GSH) использует-</w:t>
            </w:r>
          </w:p>
        </w:tc>
        <w:tc>
          <w:tcPr>
            <w:tcW w:w="2760" w:type="dxa"/>
            <w:vAlign w:val="bottom"/>
            <w:gridSpan w:val="3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>Aw, 1991; M. Toborek, 1994).</w:t>
            </w:r>
          </w:p>
        </w:tc>
        <w:tc>
          <w:tcPr>
            <w:tcW w:w="7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>ся в медицинской практике более 30 лет, включен в европейс-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Эти данные создают предпосылки для применения глутатиона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0"/>
        </w:trPr>
        <w:tc>
          <w:tcPr>
            <w:tcW w:w="5260" w:type="dxa"/>
            <w:vAlign w:val="bottom"/>
          </w:tcPr>
          <w:p>
            <w:pPr>
              <w:jc w:val="right"/>
              <w:spacing w:after="0" w:line="20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>кую, японскую, американскую фармакопеи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Китай и Япония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20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при заболеваниях соответствующих органов, которые принимают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  <w:w w:val="99"/>
              </w:rPr>
              <w:t>одними из первых начали внедрять глутатион в протоколы лечения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активное участие в процессах детоксикации и выведения вредных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заболеваний печени, а сегодня в Китае глутатион является самым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веществ  из  организма:  почек,  печени,  легких,  а  также  при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назначаемым гепатопротектором. С 2009 года глутатион вошел в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системных   заболеваниях,   сопровождающихся   дисфункцией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список  реимбурсации  Национальной  программы  базового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эндотелия и оксидативным стрессом, — сахарном диабете, атеро-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медицинского страхования в Китае как препарат адъювантной</w:t>
            </w:r>
          </w:p>
        </w:tc>
        <w:tc>
          <w:tcPr>
            <w:tcW w:w="1220" w:type="dxa"/>
            <w:vAlign w:val="bottom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склерозе и др.</w:t>
            </w: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7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терапии заболеваний печени, в том числе вирусных гепатитов (K.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В  двойном  слепом  плацебо-контролируемом  исследовании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2"/>
        </w:trPr>
        <w:tc>
          <w:tcPr>
            <w:tcW w:w="5260" w:type="dxa"/>
            <w:vAlign w:val="bottom"/>
          </w:tcPr>
          <w:p>
            <w:pPr>
              <w:spacing w:after="0" w:line="201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Hill, 2011).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201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американские авторы (John P. Richie et al.) оценивали влияние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Признанию  терапевтического  потенциала  глутатиона  пред-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перорального глутатиона на уровень  собственного глутатиона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шествовал  ряд  экспериментальных  исследований,  в  которых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организма и биомаркеры функциональной активности иммунной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изучались фармакокинетические параметры синтетического GSH и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системы у здоровых добровольцев. Три группы участников в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его  эффекты  in  vivo.  Существовало  мнение,  основанное  на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течение 6 мес получали глутатион (препарат Setria® производства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результатах   некоторых   фармакологических   экспериментов,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Kyowa Hakko) в дозах 250 мг, 1000 мг/сут или плацебо. На фоне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свидетельствующих о том, что перорально введенный глутатион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приема обеих дозировок глутатиона наблюдалось достоверное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имеет низкую биодоступность и быстро элиминируется из крови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увеличение концентрации глутатиона как в плазме крови, так и в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(M.K. Hunjan, D.F. Evered, 1985; J. Amano, A. Suzuki, 1994). Кроме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  <w:w w:val="98"/>
              </w:rPr>
              <w:t>клеточных элементах и некоторых эпителиальных тканях уже через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того, не было известно, могут ли клетки организма использовать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  <w:w w:val="98"/>
              </w:rPr>
              <w:t>1 мес от начала терапии. Максимальный прирост уровня глутатиона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поступающий к ним глутатион в готовом виде, ведь в норме этот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отмечался в плазме, лимфоцитах (30-35%), а также в буккальном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фермент  является  продуктом  внутриклеточного  синтеза  из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эпителии (260%) при приеме 1000 мг/сут. Уровень глутатиона в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циркулирующих прекурсоров — L-глутамата, L-цистеина и гли-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эритроцитах повышался в наибольшей степени у тех участников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цина.  Однако были проведены  новые  исследования,  которые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исследования, у которых содержание этого антиоксиданта было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  <w:w w:val="99"/>
              </w:rPr>
              <w:t>подтвердили, что глутатион может в интактном виде всасываться в</w:t>
            </w:r>
          </w:p>
        </w:tc>
        <w:tc>
          <w:tcPr>
            <w:tcW w:w="2760" w:type="dxa"/>
            <w:vAlign w:val="bottom"/>
            <w:gridSpan w:val="3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исходно низким (&lt;0,89 ммоль/мл).</w:t>
            </w:r>
          </w:p>
        </w:tc>
        <w:tc>
          <w:tcPr>
            <w:tcW w:w="7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желудочно-кишечном  тракте  млекопитающих,  в  том  числе  у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Исследователи пришли к заключению, что повышение конце-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человека, без расщепления в кишечнике через щеточную кайму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нтрации глутатиона имеет дозозависимый характер, а также за-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мембраны  энтероцитов  и  бокаловидных  клеток  с  помощью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  <w:w w:val="98"/>
              </w:rPr>
              <w:t>висит от длительности применения. Через 1 мес после прекращения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натрийзависимого механизма. Оставшаяся небольшая его часть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приема препарата уровень глутатиона возвращался к исходному.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4"/>
        </w:trPr>
        <w:tc>
          <w:tcPr>
            <w:tcW w:w="5260" w:type="dxa"/>
            <w:vAlign w:val="bottom"/>
          </w:tcPr>
          <w:p>
            <w:pPr>
              <w:spacing w:after="0" w:line="19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  <w:w w:val="99"/>
              </w:rPr>
              <w:t>подвергается расщеплению и ресинтезу в печени (T.M. Hagen, 1990;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Иммунологические  тесты  показали,  что  пероральный  прием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T.Y. Aw, 1991; Д.В. Висленецкая и соавт., 2013).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  <w:w w:val="99"/>
              </w:rPr>
              <w:t xml:space="preserve">глутатиона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  <w:w w:val="99"/>
              </w:rPr>
              <w:t>в обеих дозировках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  <w:w w:val="99"/>
              </w:rPr>
              <w:t xml:space="preserve"> достоверно повышал активность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Глутатион — естественный компонент пищи, им богаты фрук-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>клеток врожденного иммунитета (естественных киллеров —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ты, овощи и мясо. Человек потребляет с пищей около 150 мг GSH в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>NK-клеток), а также стимулировал пролиферацию Т-лимфо-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0"/>
        </w:trPr>
        <w:tc>
          <w:tcPr>
            <w:tcW w:w="5260" w:type="dxa"/>
            <w:vAlign w:val="bottom"/>
          </w:tcPr>
          <w:p>
            <w:pPr>
              <w:spacing w:after="0" w:line="20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день (T.M. Hagen, 1990). В то же время эквивалентные дозы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20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 xml:space="preserve">цитов.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При применении глутатиона развитие побочных эффектов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2"/>
        </w:trPr>
        <w:tc>
          <w:tcPr>
            <w:tcW w:w="5260" w:type="dxa"/>
            <w:vAlign w:val="bottom"/>
          </w:tcPr>
          <w:p>
            <w:pPr>
              <w:jc w:val="right"/>
              <w:spacing w:after="0" w:line="201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аминокислот — прекурсоров глутатиона — не повышали уровень</w:t>
            </w:r>
          </w:p>
        </w:tc>
        <w:tc>
          <w:tcPr>
            <w:tcW w:w="1600" w:type="dxa"/>
            <w:vAlign w:val="bottom"/>
            <w:gridSpan w:val="2"/>
          </w:tcPr>
          <w:p>
            <w:pPr>
              <w:ind w:left="60"/>
              <w:spacing w:after="0" w:line="201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не наблюдалось.</w:t>
            </w: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7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этого антиоксиданта в плазме. Таким образом, усвоение принятого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Таким образом, длительный прием глутатиона способствует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глутатиона является доказанным фактом, как и то, что экзогенный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  <w:w w:val="99"/>
              </w:rPr>
              <w:t>восполнению эндогенных запасов этого антиоксиданта в организме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глутатион может возмещать дефицит внутреннего при интокси-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человека, а также поддерживает естественные функции иммунной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кациях и других патологических состояниях, которые сопровож-</w:t>
            </w:r>
          </w:p>
        </w:tc>
        <w:tc>
          <w:tcPr>
            <w:tcW w:w="1220" w:type="dxa"/>
            <w:vAlign w:val="bottom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системы.</w:t>
            </w: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7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даются оксидативным стрессом (T.Y. Aw, 1991).</w:t>
            </w:r>
          </w:p>
        </w:tc>
        <w:tc>
          <w:tcPr>
            <w:tcW w:w="3520" w:type="dxa"/>
            <w:vAlign w:val="bottom"/>
            <w:gridSpan w:val="4"/>
            <w:vMerge w:val="restart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 Narrow" w:cs="Arial Narrow" w:eastAsia="Arial Narrow" w:hAnsi="Arial Narrow"/>
                <w:sz w:val="20"/>
                <w:szCs w:val="20"/>
                <w:color w:val="auto"/>
              </w:rPr>
              <w:t>Глутатион при заболеваниях печени</w:t>
            </w:r>
          </w:p>
        </w:tc>
        <w:tc>
          <w:tcPr>
            <w:tcW w:w="6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4"/>
        </w:trPr>
        <w:tc>
          <w:tcPr>
            <w:tcW w:w="5260" w:type="dxa"/>
            <w:vAlign w:val="bottom"/>
          </w:tcPr>
          <w:p>
            <w:pPr>
              <w:jc w:val="right"/>
              <w:spacing w:after="0" w:line="19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Хотя эндогенный GSH синтезируется во всех клетках организ-</w:t>
            </w:r>
          </w:p>
        </w:tc>
        <w:tc>
          <w:tcPr>
            <w:tcW w:w="3520" w:type="dxa"/>
            <w:vAlign w:val="bottom"/>
            <w:gridSpan w:val="4"/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 xml:space="preserve">ма,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>основным источником глутатиона,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>циркулирующего в</w:t>
            </w:r>
          </w:p>
        </w:tc>
        <w:tc>
          <w:tcPr>
            <w:tcW w:w="5260" w:type="dxa"/>
            <w:vAlign w:val="bottom"/>
            <w:gridSpan w:val="6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Как уже отмечалось, печень является основным местом синтеза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3"/>
        </w:trPr>
        <w:tc>
          <w:tcPr>
            <w:tcW w:w="5260" w:type="dxa"/>
            <w:vAlign w:val="bottom"/>
          </w:tcPr>
          <w:p>
            <w:pPr>
              <w:spacing w:after="0" w:line="193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>плазме, является печень (N. Kaplowitz, T.Y. Aw, 1985). В</w:t>
            </w:r>
          </w:p>
        </w:tc>
        <w:tc>
          <w:tcPr>
            <w:tcW w:w="5260" w:type="dxa"/>
            <w:vAlign w:val="bottom"/>
            <w:gridSpan w:val="6"/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>печеночной ткани наблюдается самая высокая концентрация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глутатиона, поэтому при нарушении функции печени всегда наб-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 xml:space="preserve">этого  антиоксиданта. 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Содержание  глутатиона  в  крови  в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людается его дефицит, что подтверждается рядом исследований.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определенный  момент  зависит  от  состояния  синтетической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30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>Е.   Altomare   и   соавт.   (1988)   определяли   уровни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функции печени, соотношения окислительно-восстановительных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>восстановленного  и  окисленного  глутатиона  в  биоптатах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реакций, интенсивности захвата глутатиона другими клетками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>печени пациентов с алкогольным (n=35) и неалкогольным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  <w:w w:val="98"/>
              </w:rPr>
              <w:t>организма, а также его деградации. Глутатион выводится из плазмы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>(n=20)   поражением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Отмечалось   значительное   снижение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крови и утилизируется преимущественно почками и легкими (A.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внутрипеченочной  концентрации  глутатиона  в обеих группах: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Meister,  1998;  L.D.  DeLeve,  1991).  Наиболее  интенсивно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2,55±0,1 моль в 1 г ткани печени у пациентов с алкогольным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6"/>
        </w:trPr>
        <w:tc>
          <w:tcPr>
            <w:tcW w:w="5260" w:type="dxa"/>
            <w:vAlign w:val="bottom"/>
          </w:tcPr>
          <w:p>
            <w:pPr>
              <w:spacing w:after="0" w:line="19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захватывают и используют циркулирующий глутатион</w:t>
            </w: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гепатитом и 2,77±0,1 моль у пациентов с другими причинами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4"/>
        </w:trPr>
        <w:tc>
          <w:tcPr>
            <w:tcW w:w="52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5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заболеваний печени по сравнению с 4,14±0,1 моль в контрольной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группе (р&lt;0,001 для обоих сравнений). На фоне снижения уровня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600" w:type="dxa"/>
            <w:vAlign w:val="bottom"/>
            <w:gridSpan w:val="2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восстановленного</w:t>
            </w:r>
          </w:p>
        </w:tc>
        <w:tc>
          <w:tcPr>
            <w:tcW w:w="1160" w:type="dxa"/>
            <w:vAlign w:val="bottom"/>
          </w:tcPr>
          <w:p>
            <w:pPr>
              <w:ind w:left="1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глутатиона</w:t>
            </w:r>
          </w:p>
        </w:tc>
        <w:tc>
          <w:tcPr>
            <w:tcW w:w="1360" w:type="dxa"/>
            <w:vAlign w:val="bottom"/>
            <w:gridSpan w:val="2"/>
          </w:tcPr>
          <w:p>
            <w:pPr>
              <w:jc w:val="right"/>
              <w:ind w:right="149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повышалась</w:t>
            </w:r>
          </w:p>
        </w:tc>
        <w:tc>
          <w:tcPr>
            <w:tcW w:w="1140" w:type="dxa"/>
            <w:vAlign w:val="bottom"/>
          </w:tcPr>
          <w:p>
            <w:pPr>
              <w:jc w:val="right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концентрация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окисленной формы, что, по мнению авторов, отражает дисбаланс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5260" w:type="dxa"/>
            <w:vAlign w:val="bottom"/>
            <w:gridSpan w:val="6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окислительно-восстановительных реакций в печени и приводит к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52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120" w:type="dxa"/>
            <w:vAlign w:val="bottom"/>
            <w:gridSpan w:val="5"/>
          </w:tcPr>
          <w:p>
            <w:pPr>
              <w:ind w:left="6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нарушению многочисленных функций гепатоцитов.</w:t>
            </w: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38100</wp:posOffset>
            </wp:positionH>
            <wp:positionV relativeFrom="paragraph">
              <wp:posOffset>-598170</wp:posOffset>
            </wp:positionV>
            <wp:extent cx="3212465" cy="16821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65" cy="1682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both"/>
        <w:ind w:left="5320" w:firstLine="240"/>
        <w:spacing w:after="0" w:line="22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C. Loguercio и соавт. (1992) изучали концентрацию GSH и цис-теина в плазме крови и эритроцитах у 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>48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>пациентов с циррозом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 xml:space="preserve">печени алкогольной и неалкогольной этиологии. 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Результаты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показали четырех-восьмикратное снижение уровня восстановлен-ного глутатиона по сравнению с контрольной группой. Дефицит глутатиона не зависел от этиологии цирроза и нутритивного статуса больных, а также от концентрации его предшественника — цистеина, что указывает на снижение синтеза глутатиона гепато-</w:t>
      </w:r>
    </w:p>
    <w:tbl>
      <w:tblPr>
        <w:tblLayout w:type="fixed"/>
        <w:tblInd w:w="6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98"/>
        </w:trPr>
        <w:tc>
          <w:tcPr>
            <w:tcW w:w="3980" w:type="dxa"/>
            <w:vAlign w:val="bottom"/>
            <w:vMerge w:val="restart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 Narrow" w:cs="Arial Narrow" w:eastAsia="Arial Narrow" w:hAnsi="Arial Narrow"/>
                <w:sz w:val="16"/>
                <w:szCs w:val="16"/>
                <w:b w:val="1"/>
                <w:bCs w:val="1"/>
                <w:color w:val="auto"/>
              </w:rPr>
              <w:t>Рис. 1. Химическая структура глутатиона</w:t>
            </w:r>
          </w:p>
        </w:tc>
        <w:tc>
          <w:tcPr>
            <w:tcW w:w="6480" w:type="dxa"/>
            <w:vAlign w:val="bottom"/>
          </w:tcPr>
          <w:p>
            <w:pPr>
              <w:ind w:left="1280"/>
              <w:spacing w:after="0" w:line="19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цитами как основную причину наблюдаемых нарушений.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13"/>
        </w:trPr>
        <w:tc>
          <w:tcPr>
            <w:tcW w:w="3980" w:type="dxa"/>
            <w:vAlign w:val="bottom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480" w:type="dxa"/>
            <w:vAlign w:val="bottom"/>
            <w:vMerge w:val="restart"/>
          </w:tcPr>
          <w:p>
            <w:pPr>
              <w:ind w:left="1520"/>
              <w:spacing w:after="0" w:line="19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Исследование уровня восстановленного глутатиона в биоптатах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1"/>
        </w:trPr>
        <w:tc>
          <w:tcPr>
            <w:tcW w:w="39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480" w:type="dxa"/>
            <w:vAlign w:val="bottom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0"/>
        </w:trPr>
        <w:tc>
          <w:tcPr>
            <w:tcW w:w="39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480" w:type="dxa"/>
            <w:vAlign w:val="bottom"/>
          </w:tcPr>
          <w:p>
            <w:pPr>
              <w:ind w:left="1280"/>
              <w:spacing w:after="0" w:line="20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 xml:space="preserve">печени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>52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>пациентов с хроническим гепатитом С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bCs w:val="1"/>
                <w:color w:val="auto"/>
              </w:rPr>
              <w:t>(ХГС)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 xml:space="preserve"> разных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39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480" w:type="dxa"/>
            <w:vAlign w:val="bottom"/>
          </w:tcPr>
          <w:p>
            <w:pPr>
              <w:ind w:left="128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генотипов продемонстрировало его снижение при всех генотипах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39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480" w:type="dxa"/>
            <w:vAlign w:val="bottom"/>
          </w:tcPr>
          <w:p>
            <w:pPr>
              <w:ind w:left="128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  <w:w w:val="98"/>
              </w:rPr>
              <w:t>вируса, но наибольший дефицит отмечался при генотипе 1b (рис. 2).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39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480" w:type="dxa"/>
            <w:vAlign w:val="bottom"/>
          </w:tcPr>
          <w:p>
            <w:pPr>
              <w:ind w:left="1280"/>
              <w:spacing w:after="0" w:line="192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Это   может   объяснять   устойчивость   вируса   к   терапии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44"/>
        </w:trPr>
        <w:tc>
          <w:tcPr>
            <w:tcW w:w="39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480" w:type="dxa"/>
            <w:vAlign w:val="bottom"/>
          </w:tcPr>
          <w:p>
            <w:pPr>
              <w:ind w:left="1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интерферонами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ectPr>
          <w:pgSz w:w="12160" w:h="17136" w:orient="portrait"/>
          <w:cols w:equalWidth="0" w:num="1">
            <w:col w:w="10520"/>
          </w:cols>
          <w:pgMar w:left="780" w:top="773" w:right="858" w:bottom="749" w:gutter="0" w:footer="0" w:header="0"/>
        </w:sectPr>
      </w:pPr>
    </w:p>
    <w:bookmarkStart w:id="2" w:name="page3"/>
    <w:bookmarkEnd w:id="2"/>
    <w:p>
      <w:pPr>
        <w:spacing w:after="0" w:line="214" w:lineRule="exact"/>
        <w:rPr>
          <w:sz w:val="20"/>
          <w:szCs w:val="20"/>
          <w:color w:val="auto"/>
        </w:rPr>
      </w:pPr>
    </w:p>
    <w:p>
      <w:pPr>
        <w:ind w:left="4108"/>
        <w:spacing w:after="0"/>
        <w:rPr>
          <w:sz w:val="20"/>
          <w:szCs w:val="20"/>
          <w:color w:val="auto"/>
        </w:rPr>
      </w:pPr>
      <w:r>
        <w:rPr>
          <w:rFonts w:ascii="Arial Narrow" w:cs="Arial Narrow" w:eastAsia="Arial Narrow" w:hAnsi="Arial Narrow"/>
          <w:sz w:val="16"/>
          <w:szCs w:val="16"/>
          <w:b w:val="1"/>
          <w:bCs w:val="1"/>
          <w:color w:val="auto"/>
        </w:rPr>
        <w:t>11,2 _</w:t>
      </w:r>
    </w:p>
    <w:p>
      <w:pPr>
        <w:spacing w:after="0" w:line="128" w:lineRule="exact"/>
        <w:rPr>
          <w:sz w:val="20"/>
          <w:szCs w:val="20"/>
          <w:color w:val="auto"/>
        </w:rPr>
      </w:pPr>
    </w:p>
    <w:p>
      <w:pPr>
        <w:ind w:left="3068"/>
        <w:spacing w:after="0"/>
        <w:rPr>
          <w:sz w:val="20"/>
          <w:szCs w:val="20"/>
          <w:color w:val="auto"/>
        </w:rPr>
      </w:pPr>
      <w:r>
        <w:rPr>
          <w:rFonts w:ascii="Arial Narrow" w:cs="Arial Narrow" w:eastAsia="Arial Narrow" w:hAnsi="Arial Narrow"/>
          <w:sz w:val="16"/>
          <w:szCs w:val="16"/>
          <w:b w:val="1"/>
          <w:bCs w:val="1"/>
          <w:color w:val="auto"/>
        </w:rPr>
        <w:t>8,9</w:t>
      </w:r>
    </w:p>
    <w:p>
      <w:pPr>
        <w:spacing w:after="0" w:line="124" w:lineRule="exact"/>
        <w:rPr>
          <w:sz w:val="20"/>
          <w:szCs w:val="20"/>
          <w:color w:val="auto"/>
        </w:rPr>
      </w:pPr>
    </w:p>
    <w:p>
      <w:pPr>
        <w:ind w:left="1948"/>
        <w:spacing w:after="0"/>
        <w:rPr>
          <w:sz w:val="20"/>
          <w:szCs w:val="20"/>
          <w:color w:val="auto"/>
        </w:rPr>
      </w:pPr>
      <w:r>
        <w:rPr>
          <w:rFonts w:ascii="Arial Narrow" w:cs="Arial Narrow" w:eastAsia="Arial Narrow" w:hAnsi="Arial Narrow"/>
          <w:sz w:val="16"/>
          <w:szCs w:val="16"/>
          <w:b w:val="1"/>
          <w:bCs w:val="1"/>
          <w:color w:val="auto"/>
        </w:rPr>
        <w:t>6,5</w:t>
      </w:r>
    </w:p>
    <w:p>
      <w:pPr>
        <w:ind w:left="808"/>
        <w:spacing w:after="0"/>
        <w:rPr>
          <w:sz w:val="20"/>
          <w:szCs w:val="20"/>
          <w:color w:val="auto"/>
        </w:rPr>
      </w:pPr>
      <w:r>
        <w:rPr>
          <w:rFonts w:ascii="Arial Narrow" w:cs="Arial Narrow" w:eastAsia="Arial Narrow" w:hAnsi="Arial Narrow"/>
          <w:sz w:val="16"/>
          <w:szCs w:val="16"/>
          <w:b w:val="1"/>
          <w:bCs w:val="1"/>
          <w:color w:val="auto"/>
        </w:rPr>
        <w:t>5,3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2" w:lineRule="exact"/>
        <w:rPr>
          <w:sz w:val="20"/>
          <w:szCs w:val="20"/>
          <w:color w:val="auto"/>
        </w:rPr>
      </w:pPr>
    </w:p>
    <w:p>
      <w:pPr>
        <w:ind w:left="868"/>
        <w:spacing w:after="0"/>
        <w:tabs>
          <w:tab w:leader="none" w:pos="1868" w:val="left"/>
          <w:tab w:leader="none" w:pos="3028" w:val="left"/>
          <w:tab w:leader="none" w:pos="3928" w:val="left"/>
        </w:tabs>
        <w:rPr>
          <w:sz w:val="20"/>
          <w:szCs w:val="20"/>
          <w:color w:val="auto"/>
        </w:rPr>
      </w:pPr>
      <w:r>
        <w:rPr>
          <w:rFonts w:ascii="Arial Narrow" w:cs="Arial Narrow" w:eastAsia="Arial Narrow" w:hAnsi="Arial Narrow"/>
          <w:sz w:val="16"/>
          <w:szCs w:val="16"/>
          <w:b w:val="1"/>
          <w:bCs w:val="1"/>
          <w:color w:val="auto"/>
        </w:rPr>
        <w:t>1b</w:t>
      </w:r>
      <w:r>
        <w:rPr>
          <w:sz w:val="20"/>
          <w:szCs w:val="20"/>
          <w:color w:val="auto"/>
        </w:rPr>
        <w:tab/>
      </w:r>
      <w:r>
        <w:rPr>
          <w:rFonts w:ascii="Arial Narrow" w:cs="Arial Narrow" w:eastAsia="Arial Narrow" w:hAnsi="Arial Narrow"/>
          <w:sz w:val="16"/>
          <w:szCs w:val="16"/>
          <w:b w:val="1"/>
          <w:bCs w:val="1"/>
          <w:color w:val="auto"/>
        </w:rPr>
        <w:t>2a/2c</w:t>
      </w:r>
      <w:r>
        <w:rPr>
          <w:sz w:val="20"/>
          <w:szCs w:val="20"/>
          <w:color w:val="auto"/>
        </w:rPr>
        <w:tab/>
      </w:r>
      <w:r>
        <w:rPr>
          <w:rFonts w:ascii="Arial Narrow" w:cs="Arial Narrow" w:eastAsia="Arial Narrow" w:hAnsi="Arial Narrow"/>
          <w:sz w:val="16"/>
          <w:szCs w:val="16"/>
          <w:b w:val="1"/>
          <w:bCs w:val="1"/>
          <w:color w:val="auto"/>
        </w:rPr>
        <w:t>3a</w:t>
      </w:r>
      <w:r>
        <w:rPr>
          <w:sz w:val="20"/>
          <w:szCs w:val="20"/>
          <w:color w:val="auto"/>
        </w:rPr>
        <w:tab/>
      </w:r>
      <w:r>
        <w:rPr>
          <w:rFonts w:ascii="Arial Narrow" w:cs="Arial Narrow" w:eastAsia="Arial Narrow" w:hAnsi="Arial Narrow"/>
          <w:sz w:val="15"/>
          <w:szCs w:val="15"/>
          <w:b w:val="1"/>
          <w:bCs w:val="1"/>
          <w:color w:val="auto"/>
        </w:rPr>
        <w:t>Контроль</w:t>
      </w:r>
    </w:p>
    <w:p>
      <w:pPr>
        <w:spacing w:after="0" w:line="335" w:lineRule="exact"/>
        <w:rPr>
          <w:sz w:val="20"/>
          <w:szCs w:val="20"/>
          <w:color w:val="auto"/>
        </w:rPr>
      </w:pPr>
    </w:p>
    <w:p>
      <w:pPr>
        <w:ind w:left="388"/>
        <w:spacing w:after="0"/>
        <w:rPr>
          <w:sz w:val="20"/>
          <w:szCs w:val="20"/>
          <w:color w:val="auto"/>
        </w:rPr>
      </w:pPr>
      <w:r>
        <w:rPr>
          <w:rFonts w:ascii="Arial Narrow" w:cs="Arial Narrow" w:eastAsia="Arial Narrow" w:hAnsi="Arial Narrow"/>
          <w:sz w:val="16"/>
          <w:szCs w:val="16"/>
          <w:b w:val="1"/>
          <w:bCs w:val="1"/>
          <w:color w:val="auto"/>
        </w:rPr>
        <w:t>Рис. 2. Зависимость концентрации восстановленного глутатиона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828" w:right="400" w:hanging="300"/>
        <w:spacing w:after="0" w:line="332" w:lineRule="auto"/>
        <w:tabs>
          <w:tab w:leader="none" w:pos="650" w:val="left"/>
        </w:tabs>
        <w:numPr>
          <w:ilvl w:val="0"/>
          <w:numId w:val="4"/>
        </w:numPr>
        <w:rPr>
          <w:rFonts w:ascii="Arial Narrow" w:cs="Arial Narrow" w:eastAsia="Arial Narrow" w:hAnsi="Arial Narrow"/>
          <w:sz w:val="15"/>
          <w:szCs w:val="15"/>
          <w:b w:val="1"/>
          <w:bCs w:val="1"/>
          <w:color w:val="auto"/>
        </w:rPr>
      </w:pPr>
      <w:r>
        <w:rPr>
          <w:rFonts w:ascii="Arial Narrow" w:cs="Arial Narrow" w:eastAsia="Arial Narrow" w:hAnsi="Arial Narrow"/>
          <w:sz w:val="15"/>
          <w:szCs w:val="15"/>
          <w:b w:val="1"/>
          <w:bCs w:val="1"/>
          <w:color w:val="auto"/>
        </w:rPr>
        <w:t>биоптатах печени у 52 пациентов с хроническим вирусным гепатитом С от генотипа вируса (Lorenzo et al., 2009)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36" w:lineRule="exact"/>
        <w:rPr>
          <w:sz w:val="20"/>
          <w:szCs w:val="20"/>
          <w:color w:val="auto"/>
        </w:rPr>
      </w:pPr>
    </w:p>
    <w:p>
      <w:pPr>
        <w:spacing w:after="0" w:line="1" w:lineRule="exact"/>
        <w:rPr>
          <w:sz w:val="1"/>
          <w:szCs w:val="1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23"/>
        </w:trPr>
        <w:tc>
          <w:tcPr>
            <w:tcW w:w="2600" w:type="dxa"/>
            <w:vAlign w:val="bottom"/>
            <w:vMerge w:val="restart"/>
          </w:tcPr>
          <w:p>
            <w:pPr>
              <w:jc w:val="right"/>
              <w:ind w:right="84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 Narrow" w:cs="Arial Narrow" w:eastAsia="Arial Narrow" w:hAnsi="Arial Narrow"/>
                <w:sz w:val="16"/>
                <w:szCs w:val="16"/>
                <w:b w:val="1"/>
                <w:bCs w:val="1"/>
                <w:color w:val="auto"/>
              </w:rPr>
              <w:t>Лекарственный гепатит</w:t>
            </w: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780" w:type="dxa"/>
            <w:vAlign w:val="bottom"/>
          </w:tcPr>
          <w:p>
            <w:pPr>
              <w:jc w:val="right"/>
              <w:ind w:right="12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 Narrow" w:cs="Arial Narrow" w:eastAsia="Arial Narrow" w:hAnsi="Arial Narrow"/>
                <w:sz w:val="16"/>
                <w:szCs w:val="16"/>
                <w:b w:val="1"/>
                <w:bCs w:val="1"/>
                <w:color w:val="auto"/>
              </w:rPr>
              <w:t>100%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10"/>
        </w:trPr>
        <w:tc>
          <w:tcPr>
            <w:tcW w:w="2600" w:type="dxa"/>
            <w:vAlign w:val="bottom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7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27"/>
        </w:trPr>
        <w:tc>
          <w:tcPr>
            <w:tcW w:w="2600" w:type="dxa"/>
            <w:vAlign w:val="bottom"/>
          </w:tcPr>
          <w:p>
            <w:pPr>
              <w:jc w:val="right"/>
              <w:ind w:right="86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 Narrow" w:cs="Arial Narrow" w:eastAsia="Arial Narrow" w:hAnsi="Arial Narrow"/>
                <w:sz w:val="16"/>
                <w:szCs w:val="16"/>
                <w:b w:val="1"/>
                <w:bCs w:val="1"/>
                <w:color w:val="auto"/>
                <w:w w:val="98"/>
              </w:rPr>
              <w:t>Жировая болезнь печени</w:t>
            </w: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jc w:val="right"/>
              <w:ind w:right="20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 Narrow" w:cs="Arial Narrow" w:eastAsia="Arial Narrow" w:hAnsi="Arial Narrow"/>
                <w:sz w:val="16"/>
                <w:szCs w:val="16"/>
                <w:b w:val="1"/>
                <w:bCs w:val="1"/>
                <w:color w:val="auto"/>
              </w:rPr>
              <w:t>66,7%</w:t>
            </w:r>
          </w:p>
        </w:tc>
        <w:tc>
          <w:tcPr>
            <w:tcW w:w="7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61"/>
        </w:trPr>
        <w:tc>
          <w:tcPr>
            <w:tcW w:w="2600" w:type="dxa"/>
            <w:vAlign w:val="bottom"/>
          </w:tcPr>
          <w:p>
            <w:pPr>
              <w:jc w:val="right"/>
              <w:ind w:right="86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 Narrow" w:cs="Arial Narrow" w:eastAsia="Arial Narrow" w:hAnsi="Arial Narrow"/>
                <w:sz w:val="16"/>
                <w:szCs w:val="16"/>
                <w:b w:val="1"/>
                <w:bCs w:val="1"/>
                <w:color w:val="auto"/>
              </w:rPr>
              <w:t>Цирроз печени</w:t>
            </w: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jc w:val="right"/>
              <w:ind w:right="16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 Narrow" w:cs="Arial Narrow" w:eastAsia="Arial Narrow" w:hAnsi="Arial Narrow"/>
                <w:sz w:val="16"/>
                <w:szCs w:val="16"/>
                <w:b w:val="1"/>
                <w:bCs w:val="1"/>
                <w:color w:val="auto"/>
              </w:rPr>
              <w:t>70,6%</w:t>
            </w:r>
          </w:p>
        </w:tc>
        <w:tc>
          <w:tcPr>
            <w:tcW w:w="7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7"/>
        </w:trPr>
        <w:tc>
          <w:tcPr>
            <w:tcW w:w="2600" w:type="dxa"/>
            <w:vAlign w:val="bottom"/>
          </w:tcPr>
          <w:p>
            <w:pPr>
              <w:jc w:val="right"/>
              <w:ind w:right="86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 Narrow" w:cs="Arial Narrow" w:eastAsia="Arial Narrow" w:hAnsi="Arial Narrow"/>
                <w:sz w:val="16"/>
                <w:szCs w:val="16"/>
                <w:b w:val="1"/>
                <w:bCs w:val="1"/>
                <w:color w:val="auto"/>
              </w:rPr>
              <w:t>Хронический вирусный</w:t>
            </w: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460" w:type="dxa"/>
            <w:vAlign w:val="bottom"/>
            <w:gridSpan w:val="2"/>
            <w:vMerge w:val="restart"/>
          </w:tcPr>
          <w:p>
            <w:pPr>
              <w:jc w:val="right"/>
              <w:ind w:right="54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 Narrow" w:cs="Arial Narrow" w:eastAsia="Arial Narrow" w:hAnsi="Arial Narrow"/>
                <w:sz w:val="16"/>
                <w:szCs w:val="16"/>
                <w:b w:val="1"/>
                <w:bCs w:val="1"/>
                <w:color w:val="auto"/>
              </w:rPr>
              <w:t>85,0%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4"/>
        </w:trPr>
        <w:tc>
          <w:tcPr>
            <w:tcW w:w="2600" w:type="dxa"/>
            <w:vAlign w:val="bottom"/>
          </w:tcPr>
          <w:p>
            <w:pPr>
              <w:jc w:val="right"/>
              <w:ind w:right="86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 Narrow" w:cs="Arial Narrow" w:eastAsia="Arial Narrow" w:hAnsi="Arial Narrow"/>
                <w:sz w:val="16"/>
                <w:szCs w:val="16"/>
                <w:b w:val="1"/>
                <w:bCs w:val="1"/>
                <w:color w:val="auto"/>
              </w:rPr>
              <w:t>гепатит</w:t>
            </w: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46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2600" w:type="dxa"/>
            <w:vAlign w:val="bottom"/>
          </w:tcPr>
          <w:p>
            <w:pPr>
              <w:jc w:val="right"/>
              <w:ind w:right="70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 Narrow" w:cs="Arial Narrow" w:eastAsia="Arial Narrow" w:hAnsi="Arial Narrow"/>
                <w:sz w:val="16"/>
                <w:szCs w:val="16"/>
                <w:b w:val="1"/>
                <w:bCs w:val="1"/>
                <w:color w:val="auto"/>
              </w:rPr>
              <w:t>0%</w:t>
            </w:r>
          </w:p>
        </w:tc>
        <w:tc>
          <w:tcPr>
            <w:tcW w:w="42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 Narrow" w:cs="Arial Narrow" w:eastAsia="Arial Narrow" w:hAnsi="Arial Narrow"/>
                <w:sz w:val="16"/>
                <w:szCs w:val="16"/>
                <w:b w:val="1"/>
                <w:bCs w:val="1"/>
                <w:color w:val="auto"/>
              </w:rPr>
              <w:t>40%</w:t>
            </w:r>
          </w:p>
        </w:tc>
        <w:tc>
          <w:tcPr>
            <w:tcW w:w="680" w:type="dxa"/>
            <w:vAlign w:val="bottom"/>
            <w:vMerge w:val="restart"/>
          </w:tcPr>
          <w:p>
            <w:pPr>
              <w:jc w:val="right"/>
              <w:ind w:right="6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 Narrow" w:cs="Arial Narrow" w:eastAsia="Arial Narrow" w:hAnsi="Arial Narrow"/>
                <w:sz w:val="16"/>
                <w:szCs w:val="16"/>
                <w:b w:val="1"/>
                <w:bCs w:val="1"/>
                <w:color w:val="auto"/>
              </w:rPr>
              <w:t>60%</w:t>
            </w:r>
          </w:p>
        </w:tc>
        <w:tc>
          <w:tcPr>
            <w:tcW w:w="78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 Narrow" w:cs="Arial Narrow" w:eastAsia="Arial Narrow" w:hAnsi="Arial Narrow"/>
                <w:sz w:val="16"/>
                <w:szCs w:val="16"/>
                <w:b w:val="1"/>
                <w:bCs w:val="1"/>
                <w:color w:val="auto"/>
              </w:rPr>
              <w:t>80% 100%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3"/>
        </w:trPr>
        <w:tc>
          <w:tcPr>
            <w:tcW w:w="2600" w:type="dxa"/>
            <w:vAlign w:val="bottom"/>
          </w:tcPr>
          <w:p>
            <w:pPr>
              <w:jc w:val="right"/>
              <w:ind w:right="6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 Narrow" w:cs="Arial Narrow" w:eastAsia="Arial Narrow" w:hAnsi="Arial Narrow"/>
                <w:sz w:val="16"/>
                <w:szCs w:val="16"/>
                <w:b w:val="1"/>
                <w:bCs w:val="1"/>
                <w:color w:val="auto"/>
              </w:rPr>
              <w:t>20%</w:t>
            </w:r>
          </w:p>
        </w:tc>
        <w:tc>
          <w:tcPr>
            <w:tcW w:w="42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8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78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97" w:lineRule="exact"/>
        <w:rPr>
          <w:sz w:val="20"/>
          <w:szCs w:val="20"/>
          <w:color w:val="auto"/>
        </w:rPr>
      </w:pPr>
    </w:p>
    <w:p>
      <w:pPr>
        <w:jc w:val="center"/>
        <w:ind w:left="-99" w:right="40"/>
        <w:spacing w:after="0" w:line="296" w:lineRule="auto"/>
        <w:rPr>
          <w:sz w:val="20"/>
          <w:szCs w:val="20"/>
          <w:color w:val="auto"/>
        </w:rPr>
      </w:pPr>
      <w:r>
        <w:rPr>
          <w:rFonts w:ascii="Arial Narrow" w:cs="Arial Narrow" w:eastAsia="Arial Narrow" w:hAnsi="Arial Narrow"/>
          <w:sz w:val="15"/>
          <w:szCs w:val="15"/>
          <w:b w:val="1"/>
          <w:bCs w:val="1"/>
          <w:color w:val="auto"/>
        </w:rPr>
        <w:t>Рис. 3. Процент пациентов с «отличным» и «хорошим» терапевтическим эффектом от применения глутатиона в течение 3 нед при разных заболеваниях печени (M. Yimin et al., 2000)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sectPr>
          <w:pgSz w:w="12160" w:h="17136" w:orient="portrait"/>
          <w:cols w:equalWidth="0" w:num="2">
            <w:col w:w="4948" w:space="720"/>
            <w:col w:w="4900"/>
          </w:cols>
          <w:pgMar w:left="792" w:top="1440" w:right="798" w:bottom="627" w:gutter="0" w:footer="0" w:header="0"/>
        </w:sectPr>
      </w:pPr>
    </w:p>
    <w:p>
      <w:pPr>
        <w:ind w:left="8" w:firstLine="48"/>
        <w:spacing w:after="0" w:line="227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что и наблюдается на практике: ХГС генотипа 1 хуже всего поддается лечению (Lorenzo et al., 2009).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both"/>
        <w:ind w:left="8" w:firstLine="232"/>
        <w:spacing w:after="0" w:line="242" w:lineRule="auto"/>
        <w:tabs>
          <w:tab w:leader="none" w:pos="411" w:val="left"/>
        </w:tabs>
        <w:numPr>
          <w:ilvl w:val="1"/>
          <w:numId w:val="5"/>
        </w:numPr>
        <w:rPr>
          <w:rFonts w:ascii="Times New Roman" w:cs="Times New Roman" w:eastAsia="Times New Roman" w:hAnsi="Times New Roman"/>
          <w:sz w:val="17"/>
          <w:szCs w:val="17"/>
          <w:color w:val="auto"/>
        </w:rPr>
      </w:pPr>
      <w:r>
        <w:rPr>
          <w:rFonts w:ascii="Times New Roman" w:cs="Times New Roman" w:eastAsia="Times New Roman" w:hAnsi="Times New Roman"/>
          <w:sz w:val="17"/>
          <w:szCs w:val="17"/>
          <w:color w:val="auto"/>
        </w:rPr>
        <w:t>результате обследования 128 пациентов с ХГС в возрасте от 19 до 45 лет и 20 практически здоровых людей с отсутствием маркеров гепатитов было установлено, что по мере нарастания интоксикации наблюдается достоверное снижение уровней общего глутатиона и его восстановленной формы. Из глутатион- зависимых ферментов с</w:t>
      </w:r>
    </w:p>
    <w:p>
      <w:pPr>
        <w:spacing w:after="0" w:line="3" w:lineRule="exact"/>
        <w:rPr>
          <w:rFonts w:ascii="Times New Roman" w:cs="Times New Roman" w:eastAsia="Times New Roman" w:hAnsi="Times New Roman"/>
          <w:sz w:val="17"/>
          <w:szCs w:val="17"/>
          <w:color w:val="auto"/>
        </w:rPr>
      </w:pPr>
    </w:p>
    <w:p>
      <w:pPr>
        <w:jc w:val="both"/>
        <w:ind w:left="8"/>
        <w:spacing w:after="0" w:line="228" w:lineRule="auto"/>
        <w:rPr>
          <w:rFonts w:ascii="Times New Roman" w:cs="Times New Roman" w:eastAsia="Times New Roman" w:hAnsi="Times New Roman"/>
          <w:sz w:val="17"/>
          <w:szCs w:val="17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интоксикационном синдромом наиболее связана глутатионпероксидаза: чем ниже уровень активности фермента, тем более выражена интоксикация у больного. Полученные данные свидетельствуют о возможности патогенетической коррекции прогрессирования ХГС путем восстановления антиоксидантной защиты клеток, прежде всего системы глутатиона (Г.З. Арипходжаева, 2014).</w:t>
      </w:r>
    </w:p>
    <w:p>
      <w:pPr>
        <w:spacing w:after="0" w:line="1" w:lineRule="exact"/>
        <w:rPr>
          <w:rFonts w:ascii="Times New Roman" w:cs="Times New Roman" w:eastAsia="Times New Roman" w:hAnsi="Times New Roman"/>
          <w:sz w:val="17"/>
          <w:szCs w:val="17"/>
          <w:color w:val="auto"/>
        </w:rPr>
      </w:pPr>
    </w:p>
    <w:p>
      <w:pPr>
        <w:jc w:val="both"/>
        <w:ind w:left="8" w:firstLine="240"/>
        <w:spacing w:after="0" w:line="227" w:lineRule="auto"/>
        <w:rPr>
          <w:rFonts w:ascii="Times New Roman" w:cs="Times New Roman" w:eastAsia="Times New Roman" w:hAnsi="Times New Roman"/>
          <w:sz w:val="17"/>
          <w:szCs w:val="17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Итальянские исследователи установили, что у пациентов с не-алкогольной жировой болезнью печени или стеатозом печени, ас-социированным с воздействием алкоголя или вирусными гепати-тами, наблюдается снижение уровня глутатиона и связанной с ним детоксикационной функции печени. 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>Доказано,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>что прием глута-</w:t>
      </w:r>
    </w:p>
    <w:p>
      <w:pPr>
        <w:spacing w:after="0" w:line="2" w:lineRule="exact"/>
        <w:rPr>
          <w:rFonts w:ascii="Times New Roman" w:cs="Times New Roman" w:eastAsia="Times New Roman" w:hAnsi="Times New Roman"/>
          <w:sz w:val="17"/>
          <w:szCs w:val="17"/>
          <w:color w:val="auto"/>
        </w:rPr>
      </w:pPr>
    </w:p>
    <w:p>
      <w:pPr>
        <w:jc w:val="both"/>
        <w:ind w:left="8"/>
        <w:spacing w:after="0" w:line="229" w:lineRule="auto"/>
        <w:rPr>
          <w:rFonts w:ascii="Times New Roman" w:cs="Times New Roman" w:eastAsia="Times New Roman" w:hAnsi="Times New Roman"/>
          <w:sz w:val="17"/>
          <w:szCs w:val="17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>тиона улучшает показатели печеночных тестов (в частности, АЛТ, АСТ, ЩФ) даже через несколько месяцев после окончания лечения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.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 xml:space="preserve"> Эффективность лечения глутатионом подтверждается также уменьшением концентрации малонового диальдегида — маркера повреждения гепатоцитов (P. Dentico et al., 1995) .Активизации "цистеин-глутатионового" оборота и гамма-глутамилтрансферазы (ГГТ) осуществляется при алкоголизме. Глутатион – способен противостоять процессам накопления жировых соединений в печени и свободнорадикальному окислению липидов, то есть препятствует жировому перерождению печеночной ткани.</w:t>
      </w:r>
    </w:p>
    <w:p>
      <w:pPr>
        <w:jc w:val="both"/>
        <w:ind w:left="8" w:firstLine="448"/>
        <w:spacing w:after="0" w:line="227" w:lineRule="auto"/>
        <w:tabs>
          <w:tab w:leader="none" w:pos="656" w:val="left"/>
        </w:tabs>
        <w:numPr>
          <w:ilvl w:val="2"/>
          <w:numId w:val="5"/>
        </w:numPr>
        <w:rPr>
          <w:rFonts w:ascii="Times New Roman" w:cs="Times New Roman" w:eastAsia="Times New Roman" w:hAnsi="Times New Roman"/>
          <w:sz w:val="18"/>
          <w:szCs w:val="18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многоцентровом исследовании, проведенном в Китае (M. Yimin et al., 2000), изучали эффективность и безопасность восстановленного глутатиона у пациентов с хроническими за-болеваниями печени и повышением активности печеночных трансаминаз. Спектр патологии включал лекарственные гепатиты (14 случаев), алкогольную болезнь печени (7), стеатоз (33), хронические вирусные гепатиты (156), цирроз (34) и патологию печени, обусловленную заболеванием щитовидной железы (1 случай). Всего в исследовании приняли участие 245 пациентов,</w:t>
      </w:r>
    </w:p>
    <w:p>
      <w:pPr>
        <w:spacing w:after="0" w:line="6" w:lineRule="exact"/>
        <w:rPr>
          <w:rFonts w:ascii="Times New Roman" w:cs="Times New Roman" w:eastAsia="Times New Roman" w:hAnsi="Times New Roman"/>
          <w:sz w:val="18"/>
          <w:szCs w:val="18"/>
          <w:color w:val="auto"/>
        </w:rPr>
      </w:pPr>
    </w:p>
    <w:p>
      <w:pPr>
        <w:ind w:left="8"/>
        <w:spacing w:after="0" w:line="231" w:lineRule="auto"/>
        <w:rPr>
          <w:rFonts w:ascii="Times New Roman" w:cs="Times New Roman" w:eastAsia="Times New Roman" w:hAnsi="Times New Roman"/>
          <w:sz w:val="18"/>
          <w:szCs w:val="18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которые в 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>течение трех недель получали глутатион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>1200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>мг/сут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.</w:t>
      </w:r>
    </w:p>
    <w:p>
      <w:pPr>
        <w:jc w:val="both"/>
        <w:ind w:left="8" w:hanging="8"/>
        <w:spacing w:after="0" w:line="228" w:lineRule="auto"/>
        <w:tabs>
          <w:tab w:leader="none" w:pos="301" w:val="left"/>
        </w:tabs>
        <w:numPr>
          <w:ilvl w:val="0"/>
          <w:numId w:val="5"/>
        </w:numPr>
        <w:rPr>
          <w:rFonts w:ascii="Times New Roman" w:cs="Times New Roman" w:eastAsia="Times New Roman" w:hAnsi="Times New Roman"/>
          <w:sz w:val="18"/>
          <w:szCs w:val="18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процессе лечения исключались любые противовирусные, иммуномодулирующие препараты и другие лекарства, которые могли бы снижать уровень печеночных ферментов. Эффект от терапии расценивали как «отличный» (исчезновение субъективных симптомов, уменьшение гепатоспленоме- галии, нормализация печеночных ферментов), «хороший» (уменьшение субъективных симптомов, отсутствие прогрессирования гепатоспленомегалии, уменьшение не менее чем на 50% показателей уровня печеночных ферментов) или без динамики.</w:t>
      </w:r>
    </w:p>
    <w:p>
      <w:pPr>
        <w:spacing w:after="0" w:line="1" w:lineRule="exact"/>
        <w:rPr>
          <w:rFonts w:ascii="Times New Roman" w:cs="Times New Roman" w:eastAsia="Times New Roman" w:hAnsi="Times New Roman"/>
          <w:sz w:val="18"/>
          <w:szCs w:val="18"/>
          <w:color w:val="auto"/>
        </w:rPr>
      </w:pPr>
    </w:p>
    <w:p>
      <w:pPr>
        <w:jc w:val="both"/>
        <w:ind w:left="8" w:firstLine="232"/>
        <w:spacing w:after="0" w:line="234" w:lineRule="auto"/>
        <w:tabs>
          <w:tab w:leader="none" w:pos="440" w:val="left"/>
        </w:tabs>
        <w:numPr>
          <w:ilvl w:val="1"/>
          <w:numId w:val="5"/>
        </w:numPr>
        <w:rPr>
          <w:rFonts w:ascii="Times New Roman" w:cs="Times New Roman" w:eastAsia="Times New Roman" w:hAnsi="Times New Roman"/>
          <w:sz w:val="18"/>
          <w:szCs w:val="18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результате исследователи отметили высокую эффективность глутатиона при хронических диффузных заболеваниях печени: в общей выборке у 38,4% пациентов наблюдался «отличный» эффект, у 43,3% — «хороший». У 85% из 156 больных с хроническим вирусным гепатитом С определялся отличный или хороший терапевтический эффект. Такие же обнадеживающие результаты были получены у пациентов с токсическими (лекарственными) гепатитами (100%), жировой болезнью печени (66,7%), циррозом печени (70,6%) (рис. 3).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jc w:val="both"/>
        <w:spacing w:after="0" w:line="241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7"/>
          <w:szCs w:val="17"/>
          <w:color w:val="auto"/>
        </w:rPr>
        <w:t>При повторной оценке клинических проявлений, а также би-охимических анализов крови отмечена достоверная положительная динамика по сравнению с исходными данными</w:t>
      </w:r>
      <w:r>
        <w:rPr>
          <w:rFonts w:ascii="Times New Roman" w:cs="Times New Roman" w:eastAsia="Times New Roman" w:hAnsi="Times New Roman"/>
          <w:sz w:val="17"/>
          <w:szCs w:val="17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17"/>
          <w:szCs w:val="17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7"/>
          <w:szCs w:val="17"/>
          <w:b w:val="1"/>
          <w:bCs w:val="1"/>
          <w:color w:val="auto"/>
        </w:rPr>
        <w:t>Значительно и</w:t>
      </w:r>
      <w:r>
        <w:rPr>
          <w:rFonts w:ascii="Times New Roman" w:cs="Times New Roman" w:eastAsia="Times New Roman" w:hAnsi="Times New Roman"/>
          <w:sz w:val="17"/>
          <w:szCs w:val="17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7"/>
          <w:szCs w:val="17"/>
          <w:b w:val="1"/>
          <w:bCs w:val="1"/>
          <w:color w:val="auto"/>
        </w:rPr>
        <w:t xml:space="preserve">достоверно ( р=0,001) уменьшились маркеры цитолитического синдрома — АЛТ, АСТ, ЩФ, ГГТП . </w:t>
      </w:r>
      <w:r>
        <w:rPr>
          <w:rFonts w:ascii="Times New Roman" w:cs="Times New Roman" w:eastAsia="Times New Roman" w:hAnsi="Times New Roman"/>
          <w:sz w:val="17"/>
          <w:szCs w:val="17"/>
          <w:color w:val="auto"/>
        </w:rPr>
        <w:t>С желчью экспортируется</w:t>
      </w:r>
      <w:r>
        <w:rPr>
          <w:rFonts w:ascii="Times New Roman" w:cs="Times New Roman" w:eastAsia="Times New Roman" w:hAnsi="Times New Roman"/>
          <w:sz w:val="17"/>
          <w:szCs w:val="17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7"/>
          <w:szCs w:val="17"/>
          <w:color w:val="auto"/>
        </w:rPr>
        <w:t xml:space="preserve">50–60% от общего количества глутатиона печени. Глутатион желчи — это мощный восстанавливающий фактор метаболических превращений переокисленных жиров в тонкой кишке. Внутриклеточный транспорт желчных кислот от базолатеральной до каналикулярной мембраны гепатоцита осуществляется цитозольными протеинами глутатион-S-трансферазы </w:t>
      </w:r>
      <w:r>
        <w:rPr>
          <w:rFonts w:ascii="Times New Roman" w:cs="Times New Roman" w:eastAsia="Times New Roman" w:hAnsi="Times New Roman"/>
          <w:sz w:val="17"/>
          <w:szCs w:val="17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17"/>
          <w:szCs w:val="17"/>
          <w:color w:val="auto"/>
        </w:rPr>
        <w:t xml:space="preserve"> В 2,45% случаев терапия глутатионом сопровождалась умеренно выраженными побочными явлениями со стороны желу-дочно-кишечного тракта, которые не потребовали отмены пре-парата. Авторы исследования заключили, что восстановленный глутатион может быть безопасной и эффективной адъювантной терапией при хронических заболеваниях печени.</w:t>
      </w:r>
    </w:p>
    <w:p>
      <w:pPr>
        <w:spacing w:after="0" w:line="208" w:lineRule="exact"/>
        <w:rPr>
          <w:sz w:val="20"/>
          <w:szCs w:val="20"/>
          <w:color w:val="auto"/>
        </w:rPr>
      </w:pPr>
    </w:p>
    <w:p>
      <w:pPr>
        <w:jc w:val="both"/>
        <w:ind w:firstLine="240"/>
        <w:spacing w:after="0" w:line="22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Целью еще одного китайского исследования (J. Nuyun et al., 2005) было оценить эффективность 3-4 недельного курса терапии глутатионом (1200 мг/сут) в сравнении с приемом витамина С (2 г/сут) у пациентов с неалкогольной жировой болезнью печени. На фоне терапии глутатионом у пациентов 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>через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>4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>недели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 xml:space="preserve">наблюдения отмечалось достоверное снижение уровня АЛТ, АСТ, ГГТП в сравнении с исходными значениями. 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В группе</w:t>
      </w: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витамина С зарегистрировано некоторое снижение уровня АЛТ, однако остальные маркеры оставались без изменений. Общая эффективность лечения в группе глутатиона и витамина С была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right="2200"/>
        <w:spacing w:after="0" w:line="254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оценена в 87,5 и 30,0% соответственно (р=0,01) .</w:t>
      </w:r>
    </w:p>
    <w:p>
      <w:pPr>
        <w:spacing w:after="0" w:line="4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 Narrow" w:cs="Arial Narrow" w:eastAsia="Arial Narrow" w:hAnsi="Arial Narrow"/>
          <w:sz w:val="20"/>
          <w:szCs w:val="20"/>
          <w:color w:val="auto"/>
        </w:rPr>
        <w:t>Выводы и перспективы</w:t>
      </w:r>
    </w:p>
    <w:p>
      <w:pPr>
        <w:jc w:val="both"/>
        <w:ind w:firstLine="238"/>
        <w:spacing w:after="0" w:line="229" w:lineRule="auto"/>
        <w:tabs>
          <w:tab w:leader="none" w:pos="331" w:val="left"/>
        </w:tabs>
        <w:numPr>
          <w:ilvl w:val="0"/>
          <w:numId w:val="6"/>
        </w:numPr>
        <w:rPr>
          <w:rFonts w:ascii="Times New Roman" w:cs="Times New Roman" w:eastAsia="Times New Roman" w:hAnsi="Times New Roman"/>
          <w:sz w:val="18"/>
          <w:szCs w:val="18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Важность поддержки эндогенных антиоксидантных систем организма при различных заболеваниях сегодня уже не вызывает сомнения, так как оксидативный стресс является универсальным патофизиологическим фактором.</w:t>
      </w:r>
    </w:p>
    <w:p>
      <w:pPr>
        <w:spacing w:after="0" w:line="2" w:lineRule="exact"/>
        <w:rPr>
          <w:rFonts w:ascii="Times New Roman" w:cs="Times New Roman" w:eastAsia="Times New Roman" w:hAnsi="Times New Roman"/>
          <w:sz w:val="18"/>
          <w:szCs w:val="18"/>
          <w:color w:val="auto"/>
        </w:rPr>
      </w:pPr>
    </w:p>
    <w:p>
      <w:pPr>
        <w:jc w:val="both"/>
        <w:ind w:firstLine="238"/>
        <w:spacing w:after="0" w:line="227" w:lineRule="auto"/>
        <w:tabs>
          <w:tab w:leader="none" w:pos="346" w:val="left"/>
        </w:tabs>
        <w:numPr>
          <w:ilvl w:val="0"/>
          <w:numId w:val="6"/>
        </w:numPr>
        <w:rPr>
          <w:rFonts w:ascii="Times New Roman" w:cs="Times New Roman" w:eastAsia="Times New Roman" w:hAnsi="Times New Roman"/>
          <w:sz w:val="18"/>
          <w:szCs w:val="18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Роль глутатиона в норме и при патологии остается предметом активного изучения. Применение глутатиона является перспективным инструментом нормализации окислительно-восстановительного баланса при заболеваниях печени различной этиологии.</w:t>
      </w:r>
    </w:p>
    <w:p>
      <w:pPr>
        <w:spacing w:after="0" w:line="2" w:lineRule="exact"/>
        <w:rPr>
          <w:rFonts w:ascii="Times New Roman" w:cs="Times New Roman" w:eastAsia="Times New Roman" w:hAnsi="Times New Roman"/>
          <w:sz w:val="18"/>
          <w:szCs w:val="18"/>
          <w:color w:val="auto"/>
        </w:rPr>
      </w:pPr>
    </w:p>
    <w:p>
      <w:pPr>
        <w:jc w:val="both"/>
        <w:ind w:firstLine="238"/>
        <w:spacing w:after="0" w:line="239" w:lineRule="auto"/>
        <w:tabs>
          <w:tab w:leader="none" w:pos="341" w:val="left"/>
        </w:tabs>
        <w:numPr>
          <w:ilvl w:val="0"/>
          <w:numId w:val="6"/>
        </w:numPr>
        <w:rPr>
          <w:rFonts w:ascii="Times New Roman" w:cs="Times New Roman" w:eastAsia="Times New Roman" w:hAnsi="Times New Roman"/>
          <w:sz w:val="18"/>
          <w:szCs w:val="18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b w:val="1"/>
          <w:bCs w:val="1"/>
          <w:color w:val="auto"/>
        </w:rPr>
        <w:t>По данным многочисленных исследований восполнение дефицита эндогенного глутатиона при его введении извне сопровождается улучшением печеночных биомаркеров и положительной клинической динамикой у пациентов с алкогольными, вирусными и другими поражениями печени.</w:t>
      </w:r>
    </w:p>
    <w:sectPr>
      <w:pgSz w:w="12160" w:h="17136" w:orient="portrait"/>
      <w:cols w:equalWidth="0" w:num="2">
        <w:col w:w="5208" w:space="160"/>
        <w:col w:w="5200"/>
      </w:cols>
      <w:pgMar w:left="792" w:top="1440" w:right="798" w:bottom="627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2000009F" w:csb1="DFD70000"/>
  </w:font>
  <w:font w:name="Segoe UI">
    <w:panose1 w:val="020B0502040204020203"/>
    <w:charset w:val="00"/>
    <w:family w:val="swiss"/>
    <w:pitch w:val="variable"/>
    <w:sig w:usb0="E4002EFF" w:usb1="C000E47F" w:usb2="00000009" w:usb3="00000000" w:csb0="200001FF" w:csb1="00000000"/>
  </w:font>
</w:fonts>
</file>

<file path=word/numbering.xml><?xml version="1.0" encoding="utf-8"?>
<w:numbering xmlns:w="http://schemas.openxmlformats.org/wordprocessingml/2006/main">
  <w:abstractNum w:abstractNumId="0">
    <w:nsid w:val="2AE8944A"/>
    <w:multiLevelType w:val="hybridMultilevel"/>
    <w:lvl w:ilvl="0">
      <w:lvlJc w:val="left"/>
      <w:lvlText w:val="В"/>
      <w:numFmt w:val="bullet"/>
      <w:start w:val="1"/>
    </w:lvl>
  </w:abstractNum>
  <w:abstractNum w:abstractNumId="1">
    <w:nsid w:val="625558EC"/>
    <w:multiLevelType w:val="hybridMultilevel"/>
    <w:lvl w:ilvl="0">
      <w:lvlJc w:val="left"/>
      <w:lvlText w:val="В"/>
      <w:numFmt w:val="bullet"/>
      <w:start w:val="1"/>
    </w:lvl>
  </w:abstractNum>
  <w:abstractNum w:abstractNumId="2">
    <w:nsid w:val="238E1F29"/>
    <w:multiLevelType w:val="hybridMultilevel"/>
    <w:lvl w:ilvl="0">
      <w:lvlJc w:val="left"/>
      <w:lvlText w:val="С"/>
      <w:numFmt w:val="bullet"/>
      <w:start w:val="1"/>
    </w:lvl>
  </w:abstractNum>
  <w:abstractNum w:abstractNumId="3">
    <w:nsid w:val="46E87CCD"/>
    <w:multiLevelType w:val="hybridMultilevel"/>
    <w:lvl w:ilvl="0">
      <w:lvlJc w:val="left"/>
      <w:lvlText w:val="в"/>
      <w:numFmt w:val="bullet"/>
      <w:start w:val="1"/>
    </w:lvl>
  </w:abstractNum>
  <w:abstractNum w:abstractNumId="4">
    <w:nsid w:val="3D1B58BA"/>
    <w:multiLevelType w:val="hybridMultilevel"/>
    <w:lvl w:ilvl="0">
      <w:lvlJc w:val="left"/>
      <w:lvlText w:val="В"/>
      <w:numFmt w:val="bullet"/>
      <w:start w:val="1"/>
    </w:lvl>
    <w:lvl w:ilvl="1">
      <w:lvlJc w:val="left"/>
      <w:lvlText w:val="В"/>
      <w:numFmt w:val="bullet"/>
      <w:start w:val="1"/>
    </w:lvl>
    <w:lvl w:ilvl="2">
      <w:lvlJc w:val="left"/>
      <w:lvlText w:val="В"/>
      <w:numFmt w:val="bullet"/>
      <w:start w:val="1"/>
    </w:lvl>
  </w:abstractNum>
  <w:abstractNum w:abstractNumId="5">
    <w:nsid w:val="507ED7AB"/>
    <w:multiLevelType w:val="hybridMultilevel"/>
    <w:lvl w:ilvl="0">
      <w:lvlJc w:val="left"/>
      <w:lvlText w:val="•"/>
      <w:numFmt w:val="bullet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numbering" Target="numbering.xml"/><Relationship Id="rId8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2018-08-26T06:20:17Z</dcterms:created>
  <dcterms:modified xsi:type="dcterms:W3CDTF">2018-08-26T06:20:17Z</dcterms:modified>
</cp:coreProperties>
</file>