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xmlns:wps="http://schemas.microsoft.com/office/word/2010/wordprocessingShape">
  <w:body>
    <w:bookmarkStart w:id="0" w:name="page1"/>
    <w:bookmarkEnd w:id="0"/>
    <w:p>
      <w:pPr>
        <w:ind w:left="7320"/>
        <w:spacing w:after="0"/>
        <w:rPr>
          <w:sz w:val="20"/>
          <w:szCs w:val="20"/>
          <w:color w:val="auto"/>
        </w:rPr>
      </w:pPr>
      <w:r>
        <w:rPr>
          <w:rFonts w:ascii="Times New Roman" w:cs="Times New Roman" w:eastAsia="Times New Roman" w:hAnsi="Times New Roman"/>
          <w:sz w:val="22"/>
          <w:szCs w:val="22"/>
          <w:color w:val="auto"/>
        </w:rPr>
        <w:t>УДК 616.61-008:616.379</w:t>
      </w:r>
    </w:p>
    <w:p>
      <w:pPr>
        <w:spacing w:after="0" w:line="3" w:lineRule="exact"/>
        <w:rPr>
          <w:sz w:val="24"/>
          <w:szCs w:val="24"/>
          <w:color w:val="auto"/>
        </w:rPr>
      </w:pPr>
    </w:p>
    <w:p>
      <w:pPr>
        <w:ind w:left="260" w:right="1240" w:firstLine="710"/>
        <w:spacing w:after="0" w:line="238" w:lineRule="auto"/>
        <w:rPr>
          <w:sz w:val="20"/>
          <w:szCs w:val="20"/>
          <w:color w:val="auto"/>
        </w:rPr>
      </w:pPr>
      <w:r>
        <w:rPr>
          <w:rFonts w:ascii="Times New Roman" w:cs="Times New Roman" w:eastAsia="Times New Roman" w:hAnsi="Times New Roman"/>
          <w:sz w:val="22"/>
          <w:szCs w:val="22"/>
          <w:b w:val="1"/>
          <w:bCs w:val="1"/>
          <w:color w:val="auto"/>
        </w:rPr>
        <w:t>ИЗУЧЕНИЕ АНТИОКСИДАНТНОЙ ЭФФЕКТИВНОСТИ ПРЕПАРАТА ГЛУТАТИОНА В КЛИНИЧЕСКИХ УСЛОВИЯХ</w:t>
      </w:r>
    </w:p>
    <w:p>
      <w:pPr>
        <w:spacing w:after="0" w:line="1" w:lineRule="exact"/>
        <w:rPr>
          <w:sz w:val="24"/>
          <w:szCs w:val="24"/>
          <w:color w:val="auto"/>
        </w:rPr>
      </w:pPr>
    </w:p>
    <w:p>
      <w:pPr>
        <w:jc w:val="center"/>
        <w:ind w:left="2400" w:right="420"/>
        <w:spacing w:after="0" w:line="456" w:lineRule="auto"/>
        <w:rPr>
          <w:sz w:val="20"/>
          <w:szCs w:val="20"/>
          <w:color w:val="auto"/>
        </w:rPr>
      </w:pPr>
      <w:r>
        <w:rPr>
          <w:rFonts w:ascii="Times New Roman" w:cs="Times New Roman" w:eastAsia="Times New Roman" w:hAnsi="Times New Roman"/>
          <w:sz w:val="22"/>
          <w:szCs w:val="22"/>
          <w:color w:val="auto"/>
        </w:rPr>
        <w:t>Шарипова Н.С., Жаббаров А.А., Ходжанова Ш.И., Эшонов Ш.Н. Ерлепесова П. М. Ташкентская Медицинская Академия, Ташкент, Узбекистан</w:t>
      </w:r>
    </w:p>
    <w:p>
      <w:pPr>
        <w:spacing w:after="0" w:line="1" w:lineRule="exact"/>
        <w:rPr>
          <w:sz w:val="24"/>
          <w:szCs w:val="24"/>
          <w:color w:val="auto"/>
        </w:rPr>
      </w:pPr>
    </w:p>
    <w:p>
      <w:pPr>
        <w:jc w:val="both"/>
        <w:ind w:left="260" w:firstLine="710"/>
        <w:spacing w:after="0" w:line="241" w:lineRule="auto"/>
        <w:rPr>
          <w:sz w:val="20"/>
          <w:szCs w:val="20"/>
          <w:color w:val="auto"/>
        </w:rPr>
      </w:pPr>
      <w:r>
        <w:rPr>
          <w:rFonts w:ascii="Times New Roman" w:cs="Times New Roman" w:eastAsia="Times New Roman" w:hAnsi="Times New Roman"/>
          <w:sz w:val="22"/>
          <w:szCs w:val="22"/>
          <w:b w:val="1"/>
          <w:bCs w:val="1"/>
          <w:i w:val="1"/>
          <w:iCs w:val="1"/>
          <w:color w:val="auto"/>
        </w:rPr>
        <w:t xml:space="preserve">Ключевые слова: </w:t>
      </w:r>
      <w:r>
        <w:rPr>
          <w:rFonts w:ascii="Times New Roman" w:cs="Times New Roman" w:eastAsia="Times New Roman" w:hAnsi="Times New Roman"/>
          <w:sz w:val="22"/>
          <w:szCs w:val="22"/>
          <w:i w:val="1"/>
          <w:iCs w:val="1"/>
          <w:color w:val="auto"/>
        </w:rPr>
        <w:t>хронической болезни почек</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(ХБП),</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сахарным диабетом</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(СД),</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глутатиона, хроническую почечную недостаточность (ХПН), антиоксидант, мочевина, креатинин, скорости клубочковой фильтрации (СКФ).</w:t>
      </w:r>
    </w:p>
    <w:p>
      <w:pPr>
        <w:ind w:left="3940"/>
        <w:spacing w:after="0" w:line="236" w:lineRule="auto"/>
        <w:rPr>
          <w:sz w:val="20"/>
          <w:szCs w:val="20"/>
          <w:color w:val="auto"/>
        </w:rPr>
      </w:pPr>
      <w:r>
        <w:rPr>
          <w:rFonts w:ascii="Times New Roman" w:cs="Times New Roman" w:eastAsia="Times New Roman" w:hAnsi="Times New Roman"/>
          <w:sz w:val="22"/>
          <w:szCs w:val="22"/>
          <w:b w:val="1"/>
          <w:bCs w:val="1"/>
          <w:i w:val="1"/>
          <w:iCs w:val="1"/>
          <w:color w:val="auto"/>
        </w:rPr>
        <w:t>РЕЗЮМЕ</w:t>
      </w:r>
    </w:p>
    <w:p>
      <w:pPr>
        <w:ind w:left="960"/>
        <w:spacing w:after="0" w:line="236" w:lineRule="auto"/>
        <w:rPr>
          <w:sz w:val="20"/>
          <w:szCs w:val="20"/>
          <w:color w:val="auto"/>
        </w:rPr>
      </w:pPr>
      <w:r>
        <w:rPr>
          <w:rFonts w:ascii="Times New Roman" w:cs="Times New Roman" w:eastAsia="Times New Roman" w:hAnsi="Times New Roman"/>
          <w:sz w:val="22"/>
          <w:szCs w:val="22"/>
          <w:color w:val="auto"/>
        </w:rPr>
        <w:t>Хроническая почечная недостаточность  является заболеванием приводящий тяжелой</w:t>
      </w:r>
    </w:p>
    <w:p>
      <w:pPr>
        <w:spacing w:after="0" w:line="1" w:lineRule="exact"/>
        <w:rPr>
          <w:sz w:val="24"/>
          <w:szCs w:val="24"/>
          <w:color w:val="auto"/>
        </w:rPr>
      </w:pPr>
    </w:p>
    <w:p>
      <w:pPr>
        <w:ind w:left="260"/>
        <w:spacing w:after="0" w:line="241" w:lineRule="auto"/>
        <w:rPr>
          <w:sz w:val="20"/>
          <w:szCs w:val="20"/>
          <w:color w:val="auto"/>
        </w:rPr>
      </w:pPr>
      <w:r>
        <w:rPr>
          <w:rFonts w:ascii="Times New Roman" w:cs="Times New Roman" w:eastAsia="Times New Roman" w:hAnsi="Times New Roman"/>
          <w:sz w:val="22"/>
          <w:szCs w:val="22"/>
          <w:color w:val="auto"/>
        </w:rPr>
        <w:t xml:space="preserve">уремической интоксикации. В проведенном исследовании, изучена антиоксидантная эффективность препарата Глутатион у больных с хронической болезни почек. </w:t>
      </w:r>
      <w:r>
        <w:rPr>
          <w:rFonts w:ascii="Times New Roman" w:cs="Times New Roman" w:eastAsia="Times New Roman" w:hAnsi="Times New Roman"/>
          <w:sz w:val="22"/>
          <w:szCs w:val="22"/>
          <w:b w:val="1"/>
          <w:bCs w:val="1"/>
          <w:color w:val="auto"/>
        </w:rPr>
        <w:t>Результаты</w:t>
      </w:r>
    </w:p>
    <w:p>
      <w:pPr>
        <w:spacing w:after="0" w:line="2" w:lineRule="exact"/>
        <w:rPr>
          <w:sz w:val="24"/>
          <w:szCs w:val="24"/>
          <w:color w:val="auto"/>
        </w:rPr>
      </w:pPr>
    </w:p>
    <w:p>
      <w:pPr>
        <w:ind w:left="260"/>
        <w:spacing w:after="0" w:line="286" w:lineRule="auto"/>
        <w:rPr>
          <w:sz w:val="20"/>
          <w:szCs w:val="20"/>
          <w:color w:val="auto"/>
        </w:rPr>
      </w:pPr>
      <w:r>
        <w:rPr>
          <w:rFonts w:ascii="Times New Roman" w:cs="Times New Roman" w:eastAsia="Times New Roman" w:hAnsi="Times New Roman"/>
          <w:sz w:val="22"/>
          <w:szCs w:val="22"/>
          <w:b w:val="1"/>
          <w:bCs w:val="1"/>
          <w:color w:val="auto"/>
        </w:rPr>
        <w:t>показывают, что у больных хронической болезни почек наблюдалось снижение уровней мочевины и креатинина.</w:t>
      </w:r>
    </w:p>
    <w:p>
      <w:pPr>
        <w:spacing w:after="0" w:line="155" w:lineRule="exact"/>
        <w:rPr>
          <w:sz w:val="24"/>
          <w:szCs w:val="24"/>
          <w:color w:val="auto"/>
        </w:rPr>
      </w:pPr>
    </w:p>
    <w:p>
      <w:pPr>
        <w:ind w:left="3100" w:right="180" w:hanging="1962"/>
        <w:spacing w:after="0" w:line="238" w:lineRule="auto"/>
        <w:rPr>
          <w:sz w:val="20"/>
          <w:szCs w:val="20"/>
          <w:color w:val="auto"/>
        </w:rPr>
      </w:pPr>
      <w:r>
        <w:rPr>
          <w:rFonts w:ascii="Times New Roman" w:cs="Times New Roman" w:eastAsia="Times New Roman" w:hAnsi="Times New Roman"/>
          <w:sz w:val="22"/>
          <w:szCs w:val="22"/>
          <w:b w:val="1"/>
          <w:bCs w:val="1"/>
          <w:color w:val="auto"/>
        </w:rPr>
        <w:t>КЛИНИКА ШАРОИТИДА ГЛУТАТИОН ПРЕПАРАТИНИНГ АНТИОКСИДАНТ САМАРАДОРЛИГИНИ ЎРГАНИШ</w:t>
      </w:r>
    </w:p>
    <w:p>
      <w:pPr>
        <w:spacing w:after="0" w:line="1" w:lineRule="exact"/>
        <w:rPr>
          <w:sz w:val="24"/>
          <w:szCs w:val="24"/>
          <w:color w:val="auto"/>
        </w:rPr>
      </w:pPr>
    </w:p>
    <w:p>
      <w:pPr>
        <w:jc w:val="center"/>
        <w:ind w:left="2400" w:right="420"/>
        <w:spacing w:after="0" w:line="335" w:lineRule="auto"/>
        <w:rPr>
          <w:sz w:val="20"/>
          <w:szCs w:val="20"/>
          <w:color w:val="auto"/>
        </w:rPr>
      </w:pPr>
      <w:r>
        <w:rPr>
          <w:rFonts w:ascii="Times New Roman" w:cs="Times New Roman" w:eastAsia="Times New Roman" w:hAnsi="Times New Roman"/>
          <w:sz w:val="22"/>
          <w:szCs w:val="22"/>
          <w:color w:val="auto"/>
        </w:rPr>
        <w:t>Шарипова Н.С., Жаббаров А.А., Ходжанова Ш.И., Эшонов Ш.Н. Ерлепесова П. М. Тошкент Тиббиёт Академияси, Тoшкент, Узбекистoн</w:t>
      </w:r>
    </w:p>
    <w:p>
      <w:pPr>
        <w:spacing w:after="0" w:line="1" w:lineRule="exact"/>
        <w:rPr>
          <w:sz w:val="24"/>
          <w:szCs w:val="24"/>
          <w:color w:val="auto"/>
        </w:rPr>
      </w:pPr>
    </w:p>
    <w:p>
      <w:pPr>
        <w:ind w:left="260" w:right="780" w:firstLine="711"/>
        <w:spacing w:after="0" w:line="241" w:lineRule="auto"/>
        <w:rPr>
          <w:sz w:val="20"/>
          <w:szCs w:val="20"/>
          <w:color w:val="auto"/>
        </w:rPr>
      </w:pPr>
      <w:r>
        <w:rPr>
          <w:rFonts w:ascii="Times New Roman" w:cs="Times New Roman" w:eastAsia="Times New Roman" w:hAnsi="Times New Roman"/>
          <w:sz w:val="22"/>
          <w:szCs w:val="22"/>
          <w:b w:val="1"/>
          <w:bCs w:val="1"/>
          <w:i w:val="1"/>
          <w:iCs w:val="1"/>
          <w:color w:val="auto"/>
        </w:rPr>
        <w:t xml:space="preserve">Калит сўзлар: </w:t>
      </w:r>
      <w:r>
        <w:rPr>
          <w:rFonts w:ascii="Times New Roman" w:cs="Times New Roman" w:eastAsia="Times New Roman" w:hAnsi="Times New Roman"/>
          <w:sz w:val="22"/>
          <w:szCs w:val="22"/>
          <w:i w:val="1"/>
          <w:iCs w:val="1"/>
          <w:color w:val="auto"/>
        </w:rPr>
        <w:t>сурункали буйрак касаллиги</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(СБК),</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қандли диабет</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(ҚД),</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глутатион,</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сурункали буйрак етишмовчилиги (СБЕ), антиоксидант, мочевина, креатинин, коптокча фильтрация тезлиги (КФТ).</w:t>
      </w:r>
    </w:p>
    <w:p>
      <w:pPr>
        <w:jc w:val="center"/>
        <w:ind w:left="1560"/>
        <w:spacing w:after="0" w:line="235" w:lineRule="auto"/>
        <w:rPr>
          <w:sz w:val="20"/>
          <w:szCs w:val="20"/>
          <w:color w:val="auto"/>
        </w:rPr>
      </w:pPr>
      <w:r>
        <w:rPr>
          <w:rFonts w:ascii="Times New Roman" w:cs="Times New Roman" w:eastAsia="Times New Roman" w:hAnsi="Times New Roman"/>
          <w:sz w:val="22"/>
          <w:szCs w:val="22"/>
          <w:b w:val="1"/>
          <w:bCs w:val="1"/>
          <w:i w:val="1"/>
          <w:iCs w:val="1"/>
          <w:color w:val="auto"/>
        </w:rPr>
        <w:t>ХУЛОСА</w:t>
      </w:r>
    </w:p>
    <w:p>
      <w:pPr>
        <w:spacing w:after="0" w:line="1" w:lineRule="exact"/>
        <w:rPr>
          <w:sz w:val="24"/>
          <w:szCs w:val="24"/>
          <w:color w:val="auto"/>
        </w:rPr>
      </w:pPr>
    </w:p>
    <w:p>
      <w:pPr>
        <w:jc w:val="both"/>
        <w:ind w:left="260" w:firstLine="711"/>
        <w:spacing w:after="0" w:line="250" w:lineRule="auto"/>
        <w:rPr>
          <w:sz w:val="20"/>
          <w:szCs w:val="20"/>
          <w:color w:val="auto"/>
        </w:rPr>
      </w:pPr>
      <w:r>
        <w:rPr>
          <w:rFonts w:ascii="Times New Roman" w:cs="Times New Roman" w:eastAsia="Times New Roman" w:hAnsi="Times New Roman"/>
          <w:sz w:val="22"/>
          <w:szCs w:val="22"/>
          <w:color w:val="auto"/>
        </w:rPr>
        <w:t>Сурункали буйрак касаллиги оғир уремик интоксикация ҳолатига олиб келувчи касаллик ҳисобланади. Ўтказилган текширувда Глутатион препаратининг сурункали буйрак касаллиги бор бўлган беморларда антиоксидант самарадорлиги ўрганилган. Натижалар, шуни кўрсатадики, Глутатион қабул қилган беморларда мочевина ва креатинин миқдори сезиларли даражада камайиши кузатилган.</w:t>
      </w:r>
    </w:p>
    <w:p>
      <w:pPr>
        <w:spacing w:after="0" w:line="200" w:lineRule="exact"/>
        <w:rPr>
          <w:sz w:val="24"/>
          <w:szCs w:val="24"/>
          <w:color w:val="auto"/>
        </w:rPr>
      </w:pPr>
    </w:p>
    <w:p>
      <w:pPr>
        <w:ind w:left="4280" w:right="160" w:hanging="3162"/>
        <w:spacing w:after="0"/>
        <w:rPr>
          <w:sz w:val="20"/>
          <w:szCs w:val="20"/>
          <w:color w:val="auto"/>
        </w:rPr>
      </w:pPr>
      <w:r>
        <w:rPr>
          <w:rFonts w:ascii="Times New Roman" w:cs="Times New Roman" w:eastAsia="Times New Roman" w:hAnsi="Times New Roman"/>
          <w:sz w:val="22"/>
          <w:szCs w:val="22"/>
          <w:b w:val="1"/>
          <w:bCs w:val="1"/>
          <w:color w:val="auto"/>
        </w:rPr>
        <w:t>STUDYING OF ANTIOXIDANTABILITY OF GLUTATHIONE DRUG IN CLINICAL CONDITION</w:t>
      </w:r>
    </w:p>
    <w:p>
      <w:pPr>
        <w:spacing w:after="0" w:line="1" w:lineRule="exact"/>
        <w:rPr>
          <w:sz w:val="24"/>
          <w:szCs w:val="24"/>
          <w:color w:val="auto"/>
        </w:rPr>
      </w:pPr>
    </w:p>
    <w:p>
      <w:pPr>
        <w:ind w:left="2020"/>
        <w:spacing w:after="0"/>
        <w:rPr>
          <w:sz w:val="20"/>
          <w:szCs w:val="20"/>
          <w:color w:val="auto"/>
        </w:rPr>
      </w:pPr>
      <w:r>
        <w:rPr>
          <w:rFonts w:ascii="Times New Roman" w:cs="Times New Roman" w:eastAsia="Times New Roman" w:hAnsi="Times New Roman"/>
          <w:sz w:val="22"/>
          <w:szCs w:val="22"/>
          <w:color w:val="auto"/>
        </w:rPr>
        <w:t>Sharipova N.S., Jabborov А.А., Khodjanova Sh.I., Eshonov Sh.N.</w:t>
      </w:r>
    </w:p>
    <w:p>
      <w:pPr>
        <w:ind w:left="4140"/>
        <w:spacing w:after="0" w:line="238" w:lineRule="auto"/>
        <w:rPr>
          <w:sz w:val="20"/>
          <w:szCs w:val="20"/>
          <w:color w:val="auto"/>
        </w:rPr>
      </w:pPr>
      <w:r>
        <w:rPr>
          <w:rFonts w:ascii="Times New Roman" w:cs="Times New Roman" w:eastAsia="Times New Roman" w:hAnsi="Times New Roman"/>
          <w:sz w:val="22"/>
          <w:szCs w:val="22"/>
          <w:color w:val="auto"/>
        </w:rPr>
        <w:t>Yerlepesova P.M.</w:t>
      </w:r>
    </w:p>
    <w:p>
      <w:pPr>
        <w:ind w:left="3000"/>
        <w:spacing w:after="0"/>
        <w:rPr>
          <w:sz w:val="20"/>
          <w:szCs w:val="20"/>
          <w:color w:val="auto"/>
        </w:rPr>
      </w:pPr>
      <w:r>
        <w:rPr>
          <w:rFonts w:ascii="Times New Roman" w:cs="Times New Roman" w:eastAsia="Times New Roman" w:hAnsi="Times New Roman"/>
          <w:sz w:val="22"/>
          <w:szCs w:val="22"/>
          <w:color w:val="auto"/>
        </w:rPr>
        <w:t>Tashkent Medical Academy, Ташкент, Узбекистан</w:t>
      </w:r>
    </w:p>
    <w:p>
      <w:pPr>
        <w:spacing w:after="0" w:line="3" w:lineRule="exact"/>
        <w:rPr>
          <w:sz w:val="24"/>
          <w:szCs w:val="24"/>
          <w:color w:val="auto"/>
        </w:rPr>
      </w:pPr>
    </w:p>
    <w:p>
      <w:pPr>
        <w:ind w:left="2960" w:right="180" w:hanging="1813"/>
        <w:spacing w:after="0" w:line="239" w:lineRule="auto"/>
        <w:rPr>
          <w:sz w:val="20"/>
          <w:szCs w:val="20"/>
          <w:color w:val="auto"/>
        </w:rPr>
      </w:pPr>
      <w:r>
        <w:rPr>
          <w:rFonts w:ascii="Times New Roman" w:cs="Times New Roman" w:eastAsia="Times New Roman" w:hAnsi="Times New Roman"/>
          <w:sz w:val="22"/>
          <w:szCs w:val="22"/>
          <w:b w:val="1"/>
          <w:bCs w:val="1"/>
          <w:i w:val="1"/>
          <w:iCs w:val="1"/>
          <w:color w:val="auto"/>
        </w:rPr>
        <w:t xml:space="preserve">Key words: </w:t>
      </w:r>
      <w:r>
        <w:rPr>
          <w:rFonts w:ascii="Times New Roman" w:cs="Times New Roman" w:eastAsia="Times New Roman" w:hAnsi="Times New Roman"/>
          <w:sz w:val="22"/>
          <w:szCs w:val="22"/>
          <w:i w:val="1"/>
          <w:iCs w:val="1"/>
          <w:color w:val="auto"/>
        </w:rPr>
        <w:t>chronic kidney disease (CKD), diabetes mellitus (DM), glutathione, chronic renal</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 xml:space="preserve">failure (CRF), antioxidant, </w:t>
      </w:r>
      <w:r>
        <w:rPr>
          <w:rFonts w:ascii="Times New Roman" w:cs="Times New Roman" w:eastAsia="Times New Roman" w:hAnsi="Times New Roman"/>
          <w:sz w:val="22"/>
          <w:szCs w:val="22"/>
          <w:i w:val="1"/>
          <w:iCs w:val="1"/>
          <w:color w:val="212121"/>
        </w:rPr>
        <w:t>urea, creatinine,</w:t>
      </w:r>
    </w:p>
    <w:p>
      <w:pPr>
        <w:spacing w:after="0" w:line="2" w:lineRule="exact"/>
        <w:rPr>
          <w:sz w:val="24"/>
          <w:szCs w:val="24"/>
          <w:color w:val="auto"/>
        </w:rPr>
      </w:pPr>
    </w:p>
    <w:p>
      <w:pPr>
        <w:jc w:val="center"/>
        <w:ind w:left="1560"/>
        <w:spacing w:after="0"/>
        <w:rPr>
          <w:sz w:val="20"/>
          <w:szCs w:val="20"/>
          <w:color w:val="auto"/>
        </w:rPr>
      </w:pPr>
      <w:r>
        <w:rPr>
          <w:rFonts w:ascii="Times New Roman" w:cs="Times New Roman" w:eastAsia="Times New Roman" w:hAnsi="Times New Roman"/>
          <w:sz w:val="22"/>
          <w:szCs w:val="22"/>
          <w:i w:val="1"/>
          <w:iCs w:val="1"/>
          <w:color w:val="212121"/>
        </w:rPr>
        <w:t>glomerular filtration rate (GFR).</w:t>
      </w:r>
    </w:p>
    <w:p>
      <w:pPr>
        <w:jc w:val="center"/>
        <w:ind w:left="1580"/>
        <w:spacing w:after="0"/>
        <w:rPr>
          <w:sz w:val="20"/>
          <w:szCs w:val="20"/>
          <w:color w:val="auto"/>
        </w:rPr>
      </w:pPr>
      <w:r>
        <w:rPr>
          <w:rFonts w:ascii="Times New Roman" w:cs="Times New Roman" w:eastAsia="Times New Roman" w:hAnsi="Times New Roman"/>
          <w:sz w:val="22"/>
          <w:szCs w:val="22"/>
          <w:b w:val="1"/>
          <w:bCs w:val="1"/>
          <w:i w:val="1"/>
          <w:iCs w:val="1"/>
          <w:color w:val="auto"/>
        </w:rPr>
        <w:t>SUMMARY</w:t>
      </w:r>
    </w:p>
    <w:p>
      <w:pPr>
        <w:jc w:val="both"/>
        <w:ind w:left="260" w:right="20" w:firstLine="710"/>
        <w:spacing w:after="0" w:line="259" w:lineRule="auto"/>
        <w:rPr>
          <w:sz w:val="20"/>
          <w:szCs w:val="20"/>
          <w:color w:val="auto"/>
        </w:rPr>
      </w:pPr>
      <w:r>
        <w:rPr>
          <w:rFonts w:ascii="Times New Roman" w:cs="Times New Roman" w:eastAsia="Times New Roman" w:hAnsi="Times New Roman"/>
          <w:sz w:val="22"/>
          <w:szCs w:val="22"/>
          <w:color w:val="auto"/>
        </w:rPr>
        <w:t>Chronic renal failure is disease wich caused heavy uraenic intoxication. In this research was studied antioxidante ability of Glutathionedrug in patients with chronic kidney diseases. Results demonstrate that level of urea and creatinine was decreased.</w:t>
      </w:r>
    </w:p>
    <w:p>
      <w:pPr>
        <w:spacing w:after="0" w:line="195" w:lineRule="exact"/>
        <w:rPr>
          <w:sz w:val="24"/>
          <w:szCs w:val="24"/>
          <w:color w:val="auto"/>
        </w:rPr>
      </w:pPr>
    </w:p>
    <w:p>
      <w:pPr>
        <w:jc w:val="both"/>
        <w:ind w:left="260" w:firstLine="710"/>
        <w:spacing w:after="0" w:line="239" w:lineRule="auto"/>
        <w:rPr>
          <w:sz w:val="20"/>
          <w:szCs w:val="20"/>
          <w:color w:val="auto"/>
        </w:rPr>
      </w:pPr>
      <w:r>
        <w:rPr>
          <w:rFonts w:ascii="Times New Roman" w:cs="Times New Roman" w:eastAsia="Times New Roman" w:hAnsi="Times New Roman"/>
          <w:sz w:val="22"/>
          <w:szCs w:val="22"/>
          <w:color w:val="333333"/>
        </w:rPr>
        <w:t>Хроническая болезнь почек (ХБП) – симптомокомплекс, обусловленный стойкими множественными нарушениями основных почечных функций вследствие необратимого критического уменьшения массы функционирующих нефронов на заключительных этапах прогрессирования заболеваний почек [2,6]. Наиболее частыми причинами хронической болезни почек являются диабетическая нефропатия, гломерулонефрит, пиелонефрит, другие интерстициальные нефриты.</w:t>
      </w:r>
    </w:p>
    <w:p>
      <w:pPr>
        <w:spacing w:after="0" w:line="5" w:lineRule="exact"/>
        <w:rPr>
          <w:sz w:val="24"/>
          <w:szCs w:val="24"/>
          <w:color w:val="auto"/>
        </w:rPr>
      </w:pPr>
    </w:p>
    <w:p>
      <w:pPr>
        <w:jc w:val="both"/>
        <w:ind w:left="260" w:firstLine="710"/>
        <w:spacing w:after="0"/>
        <w:rPr>
          <w:sz w:val="20"/>
          <w:szCs w:val="20"/>
          <w:color w:val="auto"/>
        </w:rPr>
      </w:pPr>
      <w:r>
        <w:rPr>
          <w:rFonts w:ascii="Times New Roman" w:cs="Times New Roman" w:eastAsia="Times New Roman" w:hAnsi="Times New Roman"/>
          <w:sz w:val="22"/>
          <w:szCs w:val="22"/>
          <w:color w:val="auto"/>
        </w:rPr>
        <w:t>Одним из наиболее эффективных среди антиоксидантов является препарат Глутатион. Терапевтический эффект курса энтеросорбции препаратом Глутатион сравним с инструментальными методами детоксикации, но он значительно проще и дешевле последних, не имеет противопоказаний и исключает возможность осложнений [1, 8, 10].</w:t>
      </w:r>
    </w:p>
    <w:p>
      <w:pPr>
        <w:spacing w:after="0" w:line="1" w:lineRule="exact"/>
        <w:rPr>
          <w:sz w:val="24"/>
          <w:szCs w:val="24"/>
          <w:color w:val="auto"/>
        </w:rPr>
      </w:pPr>
    </w:p>
    <w:p>
      <w:pPr>
        <w:jc w:val="both"/>
        <w:ind w:left="260" w:firstLine="710"/>
        <w:spacing w:after="0" w:line="277" w:lineRule="auto"/>
        <w:rPr>
          <w:sz w:val="20"/>
          <w:szCs w:val="20"/>
          <w:color w:val="auto"/>
        </w:rPr>
      </w:pPr>
      <w:r>
        <w:rPr>
          <w:rFonts w:ascii="Times New Roman" w:cs="Times New Roman" w:eastAsia="Times New Roman" w:hAnsi="Times New Roman"/>
          <w:sz w:val="22"/>
          <w:szCs w:val="22"/>
          <w:color w:val="auto"/>
        </w:rPr>
        <w:t>Способность глутатиона связывать мочевину, креатинин, другие токсические метаболиты послужила основанием использовать его для лечения нефрологических больных с хронической</w:t>
      </w:r>
    </w:p>
    <w:p>
      <w:pPr>
        <w:sectPr>
          <w:pgSz w:w="11900" w:h="16838" w:orient="portrait"/>
          <w:cols w:equalWidth="0" w:num="1">
            <w:col w:w="9620"/>
          </w:cols>
          <w:pgMar w:left="1440" w:top="1354" w:right="844" w:bottom="526" w:gutter="0" w:footer="0" w:header="0"/>
        </w:sectPr>
      </w:pPr>
    </w:p>
    <w:bookmarkStart w:id="1" w:name="page2"/>
    <w:bookmarkEnd w:id="1"/>
    <w:p>
      <w:pPr>
        <w:jc w:val="both"/>
        <w:ind w:left="260"/>
        <w:spacing w:after="0" w:line="241" w:lineRule="auto"/>
        <w:rPr>
          <w:sz w:val="20"/>
          <w:szCs w:val="20"/>
          <w:color w:val="auto"/>
        </w:rPr>
      </w:pPr>
      <w:r>
        <w:rPr>
          <w:rFonts w:ascii="Times New Roman" w:cs="Times New Roman" w:eastAsia="Times New Roman" w:hAnsi="Times New Roman"/>
          <w:sz w:val="22"/>
          <w:szCs w:val="22"/>
          <w:color w:val="auto"/>
        </w:rPr>
        <w:t>болезни почек в целях энтерального снижения уремической интоксикации. Показанием к его назначению являлось наличие у больных хронической болезни почек различной стадии.</w:t>
      </w:r>
    </w:p>
    <w:p>
      <w:pPr>
        <w:spacing w:after="0" w:line="2" w:lineRule="exact"/>
        <w:rPr>
          <w:sz w:val="20"/>
          <w:szCs w:val="20"/>
          <w:color w:val="auto"/>
        </w:rPr>
      </w:pPr>
    </w:p>
    <w:p>
      <w:pPr>
        <w:jc w:val="both"/>
        <w:ind w:left="260" w:firstLine="710"/>
        <w:spacing w:after="0" w:line="238" w:lineRule="auto"/>
        <w:rPr>
          <w:sz w:val="20"/>
          <w:szCs w:val="20"/>
          <w:color w:val="auto"/>
        </w:rPr>
      </w:pPr>
      <w:r>
        <w:rPr>
          <w:rFonts w:ascii="Times New Roman" w:cs="Times New Roman" w:eastAsia="Times New Roman" w:hAnsi="Times New Roman"/>
          <w:sz w:val="22"/>
          <w:szCs w:val="22"/>
          <w:b w:val="1"/>
          <w:bCs w:val="1"/>
          <w:color w:val="auto"/>
        </w:rPr>
        <w:t>Эффективность глутатион оцениваются по уровню мочевины, креатинина в биохимических анализах</w:t>
      </w:r>
      <w:r>
        <w:rPr>
          <w:rFonts w:ascii="Times New Roman" w:cs="Times New Roman" w:eastAsia="Times New Roman" w:hAnsi="Times New Roman"/>
          <w:sz w:val="22"/>
          <w:szCs w:val="22"/>
          <w:color w:val="auto"/>
        </w:rPr>
        <w:t>.</w:t>
      </w:r>
      <w:r>
        <w:rPr>
          <w:rFonts w:ascii="Times New Roman" w:cs="Times New Roman" w:eastAsia="Times New Roman" w:hAnsi="Times New Roman"/>
          <w:sz w:val="22"/>
          <w:szCs w:val="22"/>
          <w:b w:val="1"/>
          <w:bCs w:val="1"/>
          <w:color w:val="auto"/>
        </w:rPr>
        <w:t xml:space="preserve"> </w:t>
      </w:r>
      <w:r>
        <w:rPr>
          <w:rFonts w:ascii="Times New Roman" w:cs="Times New Roman" w:eastAsia="Times New Roman" w:hAnsi="Times New Roman"/>
          <w:sz w:val="22"/>
          <w:szCs w:val="22"/>
          <w:color w:val="auto"/>
        </w:rPr>
        <w:t>Перед назначением глутатиона определить и фиксироват все критерии</w:t>
      </w:r>
    </w:p>
    <w:p>
      <w:pPr>
        <w:spacing w:after="0" w:line="1" w:lineRule="exact"/>
        <w:rPr>
          <w:sz w:val="20"/>
          <w:szCs w:val="20"/>
          <w:color w:val="auto"/>
        </w:rPr>
      </w:pPr>
    </w:p>
    <w:p>
      <w:pPr>
        <w:ind w:left="260"/>
        <w:spacing w:after="0"/>
        <w:tabs>
          <w:tab w:leader="none" w:pos="1140" w:val="left"/>
          <w:tab w:leader="none" w:pos="2300" w:val="left"/>
          <w:tab w:leader="none" w:pos="3440" w:val="left"/>
          <w:tab w:leader="none" w:pos="4700" w:val="left"/>
          <w:tab w:leader="none" w:pos="6440" w:val="left"/>
          <w:tab w:leader="none" w:pos="6960" w:val="left"/>
          <w:tab w:leader="none" w:pos="8500" w:val="left"/>
        </w:tabs>
        <w:rPr>
          <w:sz w:val="20"/>
          <w:szCs w:val="20"/>
          <w:color w:val="auto"/>
        </w:rPr>
      </w:pPr>
      <w:r>
        <w:rPr>
          <w:rFonts w:ascii="Times New Roman" w:cs="Times New Roman" w:eastAsia="Times New Roman" w:hAnsi="Times New Roman"/>
          <w:sz w:val="22"/>
          <w:szCs w:val="22"/>
          <w:color w:val="auto"/>
        </w:rPr>
        <w:t>оценки</w:t>
        <w:tab/>
        <w:t>состояния</w:t>
        <w:tab/>
        <w:t>больного.</w:t>
        <w:tab/>
        <w:t>Ежедневно</w:t>
        <w:tab/>
        <w:t>контролировать</w:t>
        <w:tab/>
        <w:t>все</w:t>
        <w:tab/>
        <w:t>субъективные</w:t>
        <w:tab/>
        <w:t>показатели.</w:t>
      </w:r>
    </w:p>
    <w:p>
      <w:pPr>
        <w:ind w:left="260"/>
        <w:spacing w:after="0" w:line="238" w:lineRule="auto"/>
        <w:rPr>
          <w:sz w:val="20"/>
          <w:szCs w:val="20"/>
          <w:color w:val="auto"/>
        </w:rPr>
      </w:pPr>
      <w:r>
        <w:rPr>
          <w:rFonts w:ascii="Times New Roman" w:cs="Times New Roman" w:eastAsia="Times New Roman" w:hAnsi="Times New Roman"/>
          <w:sz w:val="22"/>
          <w:szCs w:val="22"/>
          <w:color w:val="auto"/>
        </w:rPr>
        <w:t>Лабораторные исследования повторять каждые 5 дня.</w:t>
      </w:r>
    </w:p>
    <w:p>
      <w:pPr>
        <w:jc w:val="both"/>
        <w:ind w:left="260" w:firstLine="710"/>
        <w:spacing w:after="0"/>
        <w:rPr>
          <w:sz w:val="20"/>
          <w:szCs w:val="20"/>
          <w:color w:val="auto"/>
        </w:rPr>
      </w:pPr>
      <w:r>
        <w:rPr>
          <w:rFonts w:ascii="Times New Roman" w:cs="Times New Roman" w:eastAsia="Times New Roman" w:hAnsi="Times New Roman"/>
          <w:sz w:val="22"/>
          <w:szCs w:val="22"/>
          <w:color w:val="auto"/>
        </w:rPr>
        <w:t>Следовательно, Глутатион может быть использован в качестве парэнтерального детоксиканта для лечения больных с хронической болезни почек. Преимущества Глутатиона по сравнению с традиционными средствами детоксикации следующие: он обладает высокой эффективностью; применение его не связано с инвазивностью, препарат безвреден, хорошо переносится, который был предварительно растворен в 200,0 мл 0,9% физиологического раствора хлорида натрия, вводили внутривенно, медленно путем инфузий по 1 ампуле (600 мг восстановленного глутатиона) в сутки. Диспансерное наблюдение этих больных сможет предотвратить нарастание азотемии и прогрессирование почечной недостаточности.</w:t>
      </w:r>
    </w:p>
    <w:p>
      <w:pPr>
        <w:spacing w:after="0" w:line="2" w:lineRule="exact"/>
        <w:rPr>
          <w:sz w:val="20"/>
          <w:szCs w:val="20"/>
          <w:color w:val="auto"/>
        </w:rPr>
      </w:pPr>
    </w:p>
    <w:p>
      <w:pPr>
        <w:jc w:val="both"/>
        <w:ind w:left="260" w:firstLine="710"/>
        <w:spacing w:after="0" w:line="241" w:lineRule="auto"/>
        <w:rPr>
          <w:sz w:val="20"/>
          <w:szCs w:val="20"/>
          <w:color w:val="auto"/>
        </w:rPr>
      </w:pPr>
      <w:r>
        <w:rPr>
          <w:rFonts w:ascii="Times New Roman" w:cs="Times New Roman" w:eastAsia="Times New Roman" w:hAnsi="Times New Roman"/>
          <w:sz w:val="22"/>
          <w:szCs w:val="22"/>
          <w:color w:val="auto"/>
        </w:rPr>
        <w:t>Глутатион представляет собой очень простую молекулу, комбинацию трех аминокислот — глутамина, глицина, цистеина. Важность этого элемента в борьбе со свободными радикалами</w:t>
      </w:r>
    </w:p>
    <w:p>
      <w:pPr>
        <w:spacing w:after="0" w:line="1" w:lineRule="exact"/>
        <w:rPr>
          <w:sz w:val="20"/>
          <w:szCs w:val="20"/>
          <w:color w:val="auto"/>
        </w:rPr>
      </w:pPr>
    </w:p>
    <w:p>
      <w:pPr>
        <w:jc w:val="both"/>
        <w:ind w:left="260"/>
        <w:spacing w:after="0" w:line="239" w:lineRule="auto"/>
        <w:tabs>
          <w:tab w:leader="none" w:pos="437" w:val="left"/>
        </w:tabs>
        <w:numPr>
          <w:ilvl w:val="0"/>
          <w:numId w:val="1"/>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 xml:space="preserve">другими вредными веществами в нашем организме определяется наличием серосодержащих групп. Сера — клейкое вещество, которое благодаря своей клейкости </w:t>
      </w:r>
      <w:r>
        <w:rPr>
          <w:rFonts w:ascii="Times New Roman" w:cs="Times New Roman" w:eastAsia="Times New Roman" w:hAnsi="Times New Roman"/>
          <w:sz w:val="22"/>
          <w:szCs w:val="22"/>
          <w:b w:val="1"/>
          <w:bCs w:val="1"/>
          <w:color w:val="auto"/>
        </w:rPr>
        <w:t>работает</w:t>
      </w:r>
      <w:r>
        <w:rPr>
          <w:rFonts w:ascii="Times New Roman" w:cs="Times New Roman" w:eastAsia="Times New Roman" w:hAnsi="Times New Roman"/>
          <w:sz w:val="22"/>
          <w:szCs w:val="22"/>
          <w:color w:val="auto"/>
        </w:rPr>
        <w:t xml:space="preserve"> </w:t>
      </w:r>
      <w:r>
        <w:rPr>
          <w:rFonts w:ascii="Times New Roman" w:cs="Times New Roman" w:eastAsia="Times New Roman" w:hAnsi="Times New Roman"/>
          <w:sz w:val="22"/>
          <w:szCs w:val="22"/>
          <w:b w:val="1"/>
          <w:bCs w:val="1"/>
          <w:color w:val="auto"/>
        </w:rPr>
        <w:t>«дворником»,</w:t>
      </w:r>
    </w:p>
    <w:p>
      <w:pPr>
        <w:spacing w:after="0" w:line="1" w:lineRule="exact"/>
        <w:rPr>
          <w:rFonts w:ascii="Times New Roman" w:cs="Times New Roman" w:eastAsia="Times New Roman" w:hAnsi="Times New Roman"/>
          <w:sz w:val="22"/>
          <w:szCs w:val="22"/>
          <w:color w:val="auto"/>
        </w:rPr>
      </w:pPr>
    </w:p>
    <w:p>
      <w:pPr>
        <w:ind w:left="260"/>
        <w:spacing w:after="0"/>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b w:val="1"/>
          <w:bCs w:val="1"/>
          <w:color w:val="auto"/>
        </w:rPr>
        <w:t>собирая весь мусор нашего организма — тяжелые металлы, токсины, свободные радикалы.</w:t>
      </w:r>
    </w:p>
    <w:p>
      <w:pPr>
        <w:jc w:val="both"/>
        <w:ind w:left="260" w:firstLine="710"/>
        <w:spacing w:after="0" w:line="239" w:lineRule="auto"/>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Роль глутатиона, как антиоксиданта, сложно переоценить — это, без сомнения, наиболее мощный антиоксидант, ключевое звено 3-х антиоксидантных систем из четырех, которыми располагает наш организм. Можно сказать, что это — эликсир здоровья и молодости.</w:t>
      </w:r>
    </w:p>
    <w:p>
      <w:pPr>
        <w:spacing w:after="0" w:line="2" w:lineRule="exact"/>
        <w:rPr>
          <w:rFonts w:ascii="Times New Roman" w:cs="Times New Roman" w:eastAsia="Times New Roman" w:hAnsi="Times New Roman"/>
          <w:sz w:val="22"/>
          <w:szCs w:val="22"/>
          <w:color w:val="auto"/>
        </w:rPr>
      </w:pPr>
    </w:p>
    <w:p>
      <w:pPr>
        <w:jc w:val="both"/>
        <w:ind w:left="260" w:firstLine="710"/>
        <w:spacing w:after="0"/>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Глутатион является одним из самых мощных антиоксидантов, основным "сборщиком" свободных радикалов в клетках. В антиоксидантную систему глутатиона входят три глутатионзависимых фермента: глутатионпероксидаза (ГПО), глутатионредуктаза (ГР) и глутатионтрансфераза (ГТ).</w:t>
      </w:r>
    </w:p>
    <w:p>
      <w:pPr>
        <w:jc w:val="both"/>
        <w:ind w:left="260" w:firstLine="710"/>
        <w:spacing w:after="0" w:line="239" w:lineRule="auto"/>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Глутатионтрансфераза катализирует реакции обезвреживания свободных радикалов, которые проходят с участием глутатиона; глутатионпероксидаза восстанавливает окисленные водородные молекулы, а также липидные и другие органические молекулы, окисленные радикалами кислорода; глутатион-редуктаза восстанавливает сам глутатион.</w:t>
      </w:r>
    </w:p>
    <w:p>
      <w:pPr>
        <w:jc w:val="both"/>
        <w:ind w:left="260" w:firstLine="710"/>
        <w:spacing w:after="0"/>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Во всех этих ферментных реакциях глутатион выступает в качестве кофермента и центрального игрока. Восстановленный (GSH) глутатион обладает собственной антиоксидантной активностью.</w:t>
      </w:r>
    </w:p>
    <w:p>
      <w:pPr>
        <w:ind w:left="960"/>
        <w:spacing w:after="0" w:line="236" w:lineRule="auto"/>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b w:val="1"/>
          <w:bCs w:val="1"/>
          <w:color w:val="auto"/>
        </w:rPr>
        <w:t>Главная антиоксидантная роль глутатиона заключается в защите иммунных клеток,</w:t>
      </w:r>
    </w:p>
    <w:p>
      <w:pPr>
        <w:jc w:val="both"/>
        <w:ind w:left="260"/>
        <w:spacing w:after="0" w:line="241" w:lineRule="auto"/>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b w:val="1"/>
          <w:bCs w:val="1"/>
          <w:color w:val="auto"/>
        </w:rPr>
        <w:t xml:space="preserve">в первую очередь лимфоцитов. </w:t>
      </w:r>
      <w:r>
        <w:rPr>
          <w:rFonts w:ascii="Times New Roman" w:cs="Times New Roman" w:eastAsia="Times New Roman" w:hAnsi="Times New Roman"/>
          <w:sz w:val="22"/>
          <w:szCs w:val="22"/>
          <w:color w:val="auto"/>
        </w:rPr>
        <w:t>В борьбе с вредными микроорганизмами и токсинами главным</w:t>
      </w:r>
      <w:r>
        <w:rPr>
          <w:rFonts w:ascii="Times New Roman" w:cs="Times New Roman" w:eastAsia="Times New Roman" w:hAnsi="Times New Roman"/>
          <w:sz w:val="22"/>
          <w:szCs w:val="22"/>
          <w:b w:val="1"/>
          <w:bCs w:val="1"/>
          <w:color w:val="auto"/>
        </w:rPr>
        <w:t xml:space="preserve"> </w:t>
      </w:r>
      <w:r>
        <w:rPr>
          <w:rFonts w:ascii="Times New Roman" w:cs="Times New Roman" w:eastAsia="Times New Roman" w:hAnsi="Times New Roman"/>
          <w:sz w:val="22"/>
          <w:szCs w:val="22"/>
          <w:color w:val="auto"/>
        </w:rPr>
        <w:t>оружием иммунных клеток являются те же свободные радикалы, поэтому они нуждаются в собственной защите. А если глутатиона недостаточно, лимфоциты могут сами погибнуть, вызвав"огонь на себя" и функционирование иммунной системы будет серьезнонарушено.</w:t>
      </w:r>
    </w:p>
    <w:p>
      <w:pPr>
        <w:spacing w:after="0" w:line="1" w:lineRule="exact"/>
        <w:rPr>
          <w:sz w:val="20"/>
          <w:szCs w:val="20"/>
          <w:color w:val="auto"/>
        </w:rPr>
      </w:pPr>
    </w:p>
    <w:p>
      <w:pPr>
        <w:ind w:left="1680"/>
        <w:spacing w:after="0"/>
        <w:rPr>
          <w:sz w:val="20"/>
          <w:szCs w:val="20"/>
          <w:color w:val="auto"/>
        </w:rPr>
      </w:pPr>
      <w:r>
        <w:rPr>
          <w:rFonts w:ascii="Times New Roman" w:cs="Times New Roman" w:eastAsia="Times New Roman" w:hAnsi="Times New Roman"/>
          <w:sz w:val="22"/>
          <w:szCs w:val="22"/>
          <w:b w:val="1"/>
          <w:bCs w:val="1"/>
          <w:color w:val="auto"/>
        </w:rPr>
        <w:t>Цель исследования.</w:t>
      </w:r>
    </w:p>
    <w:p>
      <w:pPr>
        <w:ind w:left="960"/>
        <w:spacing w:after="0" w:line="238" w:lineRule="auto"/>
        <w:rPr>
          <w:sz w:val="20"/>
          <w:szCs w:val="20"/>
          <w:color w:val="auto"/>
        </w:rPr>
      </w:pPr>
      <w:r>
        <w:rPr>
          <w:rFonts w:ascii="Times New Roman" w:cs="Times New Roman" w:eastAsia="Times New Roman" w:hAnsi="Times New Roman"/>
          <w:sz w:val="22"/>
          <w:szCs w:val="22"/>
          <w:color w:val="auto"/>
        </w:rPr>
        <w:t>Целью настоящего исследования будет являться изучение в сравнительном аспекте</w:t>
      </w:r>
    </w:p>
    <w:p>
      <w:pPr>
        <w:ind w:left="260"/>
        <w:spacing w:after="0" w:line="290" w:lineRule="auto"/>
        <w:rPr>
          <w:sz w:val="20"/>
          <w:szCs w:val="20"/>
          <w:color w:val="auto"/>
        </w:rPr>
      </w:pPr>
      <w:r>
        <w:rPr>
          <w:rFonts w:ascii="Times New Roman" w:cs="Times New Roman" w:eastAsia="Times New Roman" w:hAnsi="Times New Roman"/>
          <w:sz w:val="22"/>
          <w:szCs w:val="22"/>
          <w:b w:val="1"/>
          <w:bCs w:val="1"/>
          <w:color w:val="auto"/>
        </w:rPr>
        <w:t>эффективность препарата «Глутион » у больных хронической болезнью почек III стадии диабетической этиологии.</w:t>
      </w:r>
    </w:p>
    <w:p>
      <w:pPr>
        <w:spacing w:after="0" w:line="143" w:lineRule="exact"/>
        <w:rPr>
          <w:sz w:val="20"/>
          <w:szCs w:val="20"/>
          <w:color w:val="auto"/>
        </w:rPr>
      </w:pPr>
    </w:p>
    <w:p>
      <w:pPr>
        <w:ind w:left="1360"/>
        <w:spacing w:after="0"/>
        <w:tabs>
          <w:tab w:leader="none" w:pos="4440" w:val="left"/>
        </w:tabs>
        <w:rPr>
          <w:sz w:val="20"/>
          <w:szCs w:val="20"/>
          <w:color w:val="auto"/>
        </w:rPr>
      </w:pPr>
      <w:r>
        <w:rPr>
          <w:rFonts w:ascii="Times New Roman" w:cs="Times New Roman" w:eastAsia="Times New Roman" w:hAnsi="Times New Roman"/>
          <w:sz w:val="22"/>
          <w:szCs w:val="22"/>
          <w:b w:val="1"/>
          <w:bCs w:val="1"/>
          <w:color w:val="auto"/>
        </w:rPr>
        <w:t>Материалы исследования</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2"/>
          <w:szCs w:val="22"/>
          <w:color w:val="auto"/>
        </w:rPr>
        <w:t>В исследовании будут принимать участие 30 больных</w:t>
      </w:r>
    </w:p>
    <w:p>
      <w:pPr>
        <w:jc w:val="both"/>
        <w:ind w:left="260" w:hanging="1"/>
        <w:spacing w:after="0"/>
        <w:tabs>
          <w:tab w:leader="none" w:pos="438" w:val="left"/>
        </w:tabs>
        <w:numPr>
          <w:ilvl w:val="0"/>
          <w:numId w:val="2"/>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ХБП III в исходе нефропатий диабетической этиологии, находящихся на лечении в отделении нефрологии 3 клиники Ташкентской медицинской академии с последующим стационарном наблюдением. Все пациенты были разделены на две группы. Первая группа, состоящая из 15 больных с ХБП III стадии диабетической этиологии, получала традиционную терапию, а вторая группа, состоящая из 15 больных с ХБП III стадии диабетической этиологии, получила традиционную терапию и Глутатион, который был предварительно растворен в 200,0 мл 0,9% физиологического раствора хлорида натрия, вводили внутривенно, медленно путем инфузий по 1 ампуле (600 мг восстановленного глутатиона) в сутки.</w:t>
      </w:r>
    </w:p>
    <w:p>
      <w:pPr>
        <w:spacing w:after="0" w:line="1" w:lineRule="exact"/>
        <w:rPr>
          <w:rFonts w:ascii="Times New Roman" w:cs="Times New Roman" w:eastAsia="Times New Roman" w:hAnsi="Times New Roman"/>
          <w:sz w:val="22"/>
          <w:szCs w:val="22"/>
          <w:color w:val="auto"/>
        </w:rPr>
      </w:pPr>
    </w:p>
    <w:p>
      <w:pPr>
        <w:jc w:val="both"/>
        <w:ind w:left="260" w:firstLine="710"/>
        <w:spacing w:after="0" w:line="250" w:lineRule="auto"/>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Длительность исследования составит один месяц. Всем больным будет проводиться базисное лечение ХБП, включаюшее диету и дифференцированное назначение медикаментозных средств: корректоров водно-электролитных нарушений, артериальной гипертензии, ацидоза, антиагреганты, антибиотики, антикоагулянты. Причинами исключения больных из исследования будут: нестабильные стенокардия, артериальное давления и сахарный диабет. Для получения</w:t>
      </w:r>
    </w:p>
    <w:p>
      <w:pPr>
        <w:sectPr>
          <w:pgSz w:w="11900" w:h="16838" w:orient="portrait"/>
          <w:cols w:equalWidth="0" w:num="1">
            <w:col w:w="9620"/>
          </w:cols>
          <w:pgMar w:left="1440" w:top="1099" w:right="844" w:bottom="701" w:gutter="0" w:footer="0" w:header="0"/>
        </w:sectPr>
      </w:pPr>
    </w:p>
    <w:bookmarkStart w:id="2" w:name="page3"/>
    <w:bookmarkEnd w:id="2"/>
    <w:p>
      <w:pPr>
        <w:jc w:val="both"/>
        <w:ind w:left="260" w:right="20"/>
        <w:spacing w:after="0" w:line="239" w:lineRule="auto"/>
        <w:rPr>
          <w:sz w:val="20"/>
          <w:szCs w:val="20"/>
          <w:color w:val="auto"/>
        </w:rPr>
      </w:pPr>
      <w:r>
        <w:rPr>
          <w:rFonts w:ascii="Times New Roman" w:cs="Times New Roman" w:eastAsia="Times New Roman" w:hAnsi="Times New Roman"/>
          <w:sz w:val="22"/>
          <w:szCs w:val="22"/>
          <w:color w:val="auto"/>
        </w:rPr>
        <w:t>соответствующих разъяснений по поводу применения препарата пациентам рекомендуется обратиться к врачу или фармацевту.</w:t>
      </w:r>
    </w:p>
    <w:p>
      <w:pPr>
        <w:spacing w:after="0" w:line="1" w:lineRule="exact"/>
        <w:rPr>
          <w:sz w:val="20"/>
          <w:szCs w:val="20"/>
          <w:color w:val="auto"/>
        </w:rPr>
      </w:pPr>
    </w:p>
    <w:p>
      <w:pPr>
        <w:ind w:left="960"/>
        <w:spacing w:after="0"/>
        <w:rPr>
          <w:sz w:val="20"/>
          <w:szCs w:val="20"/>
          <w:color w:val="auto"/>
        </w:rPr>
      </w:pPr>
      <w:r>
        <w:rPr>
          <w:rFonts w:ascii="Times New Roman" w:cs="Times New Roman" w:eastAsia="Times New Roman" w:hAnsi="Times New Roman"/>
          <w:sz w:val="22"/>
          <w:szCs w:val="22"/>
          <w:b w:val="1"/>
          <w:bCs w:val="1"/>
          <w:color w:val="auto"/>
        </w:rPr>
        <w:t>Результаты исследования</w:t>
      </w:r>
      <w:r>
        <w:rPr>
          <w:rFonts w:ascii="Times New Roman" w:cs="Times New Roman" w:eastAsia="Times New Roman" w:hAnsi="Times New Roman"/>
          <w:sz w:val="22"/>
          <w:szCs w:val="22"/>
          <w:color w:val="auto"/>
        </w:rPr>
        <w:t>.</w:t>
      </w:r>
    </w:p>
    <w:p>
      <w:pPr>
        <w:jc w:val="both"/>
        <w:ind w:left="260" w:firstLine="710"/>
        <w:spacing w:after="0" w:line="241" w:lineRule="auto"/>
        <w:rPr>
          <w:sz w:val="20"/>
          <w:szCs w:val="20"/>
          <w:color w:val="auto"/>
        </w:rPr>
      </w:pPr>
      <w:r>
        <w:rPr>
          <w:rFonts w:ascii="Times New Roman" w:cs="Times New Roman" w:eastAsia="Times New Roman" w:hAnsi="Times New Roman"/>
          <w:sz w:val="22"/>
          <w:szCs w:val="22"/>
          <w:color w:val="auto"/>
        </w:rPr>
        <w:t>Как показали результаты исследования все больные до лечения имели клинико-лабораторные признаки нефропатии умеренной и высокой степени активности.</w:t>
      </w:r>
    </w:p>
    <w:p>
      <w:pPr>
        <w:spacing w:after="0" w:line="2" w:lineRule="exact"/>
        <w:rPr>
          <w:sz w:val="20"/>
          <w:szCs w:val="20"/>
          <w:color w:val="auto"/>
        </w:rPr>
      </w:pPr>
    </w:p>
    <w:p>
      <w:pPr>
        <w:ind w:left="960"/>
        <w:spacing w:after="0"/>
        <w:rPr>
          <w:sz w:val="20"/>
          <w:szCs w:val="20"/>
          <w:color w:val="auto"/>
        </w:rPr>
      </w:pPr>
      <w:r>
        <w:rPr>
          <w:rFonts w:ascii="Times New Roman" w:cs="Times New Roman" w:eastAsia="Times New Roman" w:hAnsi="Times New Roman"/>
          <w:sz w:val="22"/>
          <w:szCs w:val="22"/>
          <w:b w:val="1"/>
          <w:bCs w:val="1"/>
          <w:color w:val="auto"/>
        </w:rPr>
        <w:t>Таблица. Результаты исследования.</w:t>
      </w:r>
    </w:p>
    <w:p>
      <w:pPr>
        <w:spacing w:after="0" w:line="28" w:lineRule="exact"/>
        <w:rPr>
          <w:sz w:val="20"/>
          <w:szCs w:val="20"/>
          <w:color w:val="auto"/>
        </w:rPr>
      </w:pPr>
    </w:p>
    <w:tbl>
      <w:tblPr>
        <w:tblLayout w:type="fixed"/>
        <w:tblInd w:w="810" w:type="dxa"/>
        <w:tblCellMar>
          <w:top w:w="0" w:type="dxa"/>
          <w:left w:w="0" w:type="dxa"/>
          <w:bottom w:w="0" w:type="dxa"/>
          <w:right w:w="0" w:type="dxa"/>
        </w:tblCellMar>
      </w:tblPr>
      <w:tr>
        <w:trPr>
          <w:trHeight w:val="383"/>
        </w:trPr>
        <w:tc>
          <w:tcPr>
            <w:tcW w:w="2500" w:type="dxa"/>
            <w:vAlign w:val="bottom"/>
            <w:tcBorders>
              <w:top w:val="single" w:sz="8" w:color="auto"/>
              <w:left w:val="single" w:sz="8" w:color="auto"/>
              <w:right w:val="single" w:sz="8" w:color="auto"/>
            </w:tcBorders>
          </w:tcPr>
          <w:p>
            <w:pPr>
              <w:spacing w:after="0"/>
              <w:rPr>
                <w:sz w:val="24"/>
                <w:szCs w:val="24"/>
                <w:color w:val="auto"/>
              </w:rPr>
            </w:pPr>
          </w:p>
        </w:tc>
        <w:tc>
          <w:tcPr>
            <w:tcW w:w="1540" w:type="dxa"/>
            <w:vAlign w:val="bottom"/>
            <w:tcBorders>
              <w:top w:val="single" w:sz="8" w:color="auto"/>
              <w:right w:val="single" w:sz="8" w:color="auto"/>
            </w:tcBorders>
          </w:tcPr>
          <w:p>
            <w:pPr>
              <w:spacing w:after="0"/>
              <w:rPr>
                <w:sz w:val="24"/>
                <w:szCs w:val="24"/>
                <w:color w:val="auto"/>
              </w:rPr>
            </w:pPr>
          </w:p>
        </w:tc>
        <w:tc>
          <w:tcPr>
            <w:tcW w:w="1420" w:type="dxa"/>
            <w:vAlign w:val="bottom"/>
            <w:tcBorders>
              <w:top w:val="single" w:sz="8" w:color="auto"/>
              <w:right w:val="single" w:sz="8" w:color="auto"/>
            </w:tcBorders>
          </w:tcPr>
          <w:p>
            <w:pPr>
              <w:spacing w:after="0"/>
              <w:rPr>
                <w:sz w:val="20"/>
                <w:szCs w:val="20"/>
                <w:color w:val="auto"/>
              </w:rPr>
            </w:pPr>
            <w:r>
              <w:rPr>
                <w:rFonts w:ascii="Times New Roman" w:cs="Times New Roman" w:eastAsia="Times New Roman" w:hAnsi="Times New Roman"/>
                <w:sz w:val="22"/>
                <w:szCs w:val="22"/>
                <w:b w:val="1"/>
                <w:bCs w:val="1"/>
                <w:color w:val="auto"/>
              </w:rPr>
              <w:t>Группа А</w:t>
            </w:r>
          </w:p>
        </w:tc>
        <w:tc>
          <w:tcPr>
            <w:tcW w:w="1400" w:type="dxa"/>
            <w:vAlign w:val="bottom"/>
            <w:tcBorders>
              <w:top w:val="single" w:sz="8" w:color="auto"/>
              <w:right w:val="single" w:sz="8" w:color="auto"/>
            </w:tcBorders>
          </w:tcPr>
          <w:p>
            <w:pPr>
              <w:spacing w:after="0"/>
              <w:rPr>
                <w:sz w:val="20"/>
                <w:szCs w:val="20"/>
                <w:color w:val="auto"/>
              </w:rPr>
            </w:pPr>
            <w:r>
              <w:rPr>
                <w:rFonts w:ascii="Times New Roman" w:cs="Times New Roman" w:eastAsia="Times New Roman" w:hAnsi="Times New Roman"/>
                <w:sz w:val="22"/>
                <w:szCs w:val="22"/>
                <w:b w:val="1"/>
                <w:bCs w:val="1"/>
                <w:color w:val="auto"/>
              </w:rPr>
              <w:t>Группа Б</w:t>
            </w:r>
          </w:p>
        </w:tc>
        <w:tc>
          <w:tcPr>
            <w:tcW w:w="1420" w:type="dxa"/>
            <w:vAlign w:val="bottom"/>
            <w:tcBorders>
              <w:top w:val="single" w:sz="8" w:color="auto"/>
              <w:right w:val="single" w:sz="8" w:color="auto"/>
            </w:tcBorders>
          </w:tcPr>
          <w:p>
            <w:pPr>
              <w:spacing w:after="0"/>
              <w:rPr>
                <w:sz w:val="24"/>
                <w:szCs w:val="24"/>
                <w:color w:val="auto"/>
              </w:rPr>
            </w:pPr>
          </w:p>
        </w:tc>
        <w:tc>
          <w:tcPr>
            <w:tcW w:w="0" w:type="dxa"/>
            <w:vAlign w:val="bottom"/>
          </w:tcPr>
          <w:p>
            <w:pPr>
              <w:spacing w:after="0"/>
              <w:rPr>
                <w:sz w:val="1"/>
                <w:szCs w:val="1"/>
                <w:color w:val="auto"/>
              </w:rPr>
            </w:pPr>
          </w:p>
        </w:tc>
      </w:tr>
      <w:tr>
        <w:trPr>
          <w:trHeight w:val="91"/>
        </w:trPr>
        <w:tc>
          <w:tcPr>
            <w:tcW w:w="2500" w:type="dxa"/>
            <w:vAlign w:val="bottom"/>
            <w:tcBorders>
              <w:left w:val="single" w:sz="8" w:color="auto"/>
              <w:right w:val="single" w:sz="8" w:color="auto"/>
            </w:tcBorders>
            <w:vMerge w:val="restart"/>
          </w:tcPr>
          <w:p>
            <w:pPr>
              <w:ind w:left="160"/>
              <w:spacing w:after="0"/>
              <w:rPr>
                <w:sz w:val="20"/>
                <w:szCs w:val="20"/>
                <w:color w:val="auto"/>
              </w:rPr>
            </w:pPr>
            <w:r>
              <w:rPr>
                <w:rFonts w:ascii="Times New Roman" w:cs="Times New Roman" w:eastAsia="Times New Roman" w:hAnsi="Times New Roman"/>
                <w:sz w:val="22"/>
                <w:szCs w:val="22"/>
                <w:b w:val="1"/>
                <w:bCs w:val="1"/>
                <w:color w:val="auto"/>
              </w:rPr>
              <w:t>Параметры</w:t>
            </w:r>
          </w:p>
        </w:tc>
        <w:tc>
          <w:tcPr>
            <w:tcW w:w="1540" w:type="dxa"/>
            <w:vAlign w:val="bottom"/>
            <w:tcBorders>
              <w:bottom w:val="single" w:sz="8" w:color="auto"/>
              <w:right w:val="single" w:sz="8" w:color="auto"/>
            </w:tcBorders>
          </w:tcPr>
          <w:p>
            <w:pPr>
              <w:spacing w:after="0"/>
              <w:rPr>
                <w:sz w:val="7"/>
                <w:szCs w:val="7"/>
                <w:color w:val="auto"/>
              </w:rPr>
            </w:pPr>
          </w:p>
        </w:tc>
        <w:tc>
          <w:tcPr>
            <w:tcW w:w="1420" w:type="dxa"/>
            <w:vAlign w:val="bottom"/>
            <w:tcBorders>
              <w:bottom w:val="single" w:sz="8" w:color="auto"/>
              <w:right w:val="single" w:sz="8" w:color="auto"/>
            </w:tcBorders>
          </w:tcPr>
          <w:p>
            <w:pPr>
              <w:spacing w:after="0"/>
              <w:rPr>
                <w:sz w:val="7"/>
                <w:szCs w:val="7"/>
                <w:color w:val="auto"/>
              </w:rPr>
            </w:pPr>
          </w:p>
        </w:tc>
        <w:tc>
          <w:tcPr>
            <w:tcW w:w="1400" w:type="dxa"/>
            <w:vAlign w:val="bottom"/>
            <w:tcBorders>
              <w:bottom w:val="single" w:sz="8" w:color="auto"/>
              <w:right w:val="single" w:sz="8" w:color="auto"/>
            </w:tcBorders>
          </w:tcPr>
          <w:p>
            <w:pPr>
              <w:spacing w:after="0"/>
              <w:rPr>
                <w:sz w:val="7"/>
                <w:szCs w:val="7"/>
                <w:color w:val="auto"/>
              </w:rPr>
            </w:pPr>
          </w:p>
        </w:tc>
        <w:tc>
          <w:tcPr>
            <w:tcW w:w="1420" w:type="dxa"/>
            <w:vAlign w:val="bottom"/>
            <w:tcBorders>
              <w:bottom w:val="single" w:sz="8" w:color="auto"/>
              <w:right w:val="single" w:sz="8" w:color="auto"/>
            </w:tcBorders>
          </w:tcPr>
          <w:p>
            <w:pPr>
              <w:spacing w:after="0"/>
              <w:rPr>
                <w:sz w:val="7"/>
                <w:szCs w:val="7"/>
                <w:color w:val="auto"/>
              </w:rPr>
            </w:pPr>
          </w:p>
        </w:tc>
        <w:tc>
          <w:tcPr>
            <w:tcW w:w="0" w:type="dxa"/>
            <w:vAlign w:val="bottom"/>
          </w:tcPr>
          <w:p>
            <w:pPr>
              <w:spacing w:after="0"/>
              <w:rPr>
                <w:sz w:val="1"/>
                <w:szCs w:val="1"/>
                <w:color w:val="auto"/>
              </w:rPr>
            </w:pPr>
          </w:p>
        </w:tc>
      </w:tr>
      <w:tr>
        <w:trPr>
          <w:trHeight w:val="71"/>
        </w:trPr>
        <w:tc>
          <w:tcPr>
            <w:tcW w:w="2500" w:type="dxa"/>
            <w:vAlign w:val="bottom"/>
            <w:tcBorders>
              <w:left w:val="single" w:sz="8" w:color="auto"/>
              <w:right w:val="single" w:sz="8" w:color="auto"/>
            </w:tcBorders>
            <w:vMerge w:val="continue"/>
          </w:tcPr>
          <w:p>
            <w:pPr>
              <w:spacing w:after="0"/>
              <w:rPr>
                <w:sz w:val="6"/>
                <w:szCs w:val="6"/>
                <w:color w:val="auto"/>
              </w:rPr>
            </w:pPr>
          </w:p>
        </w:tc>
        <w:tc>
          <w:tcPr>
            <w:tcW w:w="1540" w:type="dxa"/>
            <w:vAlign w:val="bottom"/>
            <w:tcBorders>
              <w:right w:val="single" w:sz="8" w:color="auto"/>
            </w:tcBorders>
            <w:vMerge w:val="restart"/>
          </w:tcPr>
          <w:p>
            <w:pPr>
              <w:ind w:left="420"/>
              <w:spacing w:after="0"/>
              <w:rPr>
                <w:sz w:val="20"/>
                <w:szCs w:val="20"/>
                <w:color w:val="auto"/>
              </w:rPr>
            </w:pPr>
            <w:r>
              <w:rPr>
                <w:rFonts w:ascii="Times New Roman" w:cs="Times New Roman" w:eastAsia="Times New Roman" w:hAnsi="Times New Roman"/>
                <w:sz w:val="22"/>
                <w:szCs w:val="22"/>
                <w:color w:val="auto"/>
              </w:rPr>
              <w:t>До</w:t>
            </w:r>
          </w:p>
        </w:tc>
        <w:tc>
          <w:tcPr>
            <w:tcW w:w="1420" w:type="dxa"/>
            <w:vAlign w:val="bottom"/>
            <w:tcBorders>
              <w:right w:val="single" w:sz="8" w:color="auto"/>
            </w:tcBorders>
            <w:vMerge w:val="restart"/>
          </w:tcPr>
          <w:p>
            <w:pPr>
              <w:ind w:left="100"/>
              <w:spacing w:after="0"/>
              <w:rPr>
                <w:sz w:val="20"/>
                <w:szCs w:val="20"/>
                <w:color w:val="auto"/>
              </w:rPr>
            </w:pPr>
            <w:r>
              <w:rPr>
                <w:rFonts w:ascii="Times New Roman" w:cs="Times New Roman" w:eastAsia="Times New Roman" w:hAnsi="Times New Roman"/>
                <w:sz w:val="22"/>
                <w:szCs w:val="22"/>
                <w:color w:val="auto"/>
              </w:rPr>
              <w:t>После 10</w:t>
            </w:r>
          </w:p>
        </w:tc>
        <w:tc>
          <w:tcPr>
            <w:tcW w:w="1400" w:type="dxa"/>
            <w:vAlign w:val="bottom"/>
            <w:tcBorders>
              <w:right w:val="single" w:sz="8" w:color="auto"/>
            </w:tcBorders>
            <w:vMerge w:val="restart"/>
          </w:tcPr>
          <w:p>
            <w:pPr>
              <w:ind w:left="20"/>
              <w:spacing w:after="0"/>
              <w:rPr>
                <w:sz w:val="20"/>
                <w:szCs w:val="20"/>
                <w:color w:val="auto"/>
              </w:rPr>
            </w:pPr>
            <w:r>
              <w:rPr>
                <w:rFonts w:ascii="Times New Roman" w:cs="Times New Roman" w:eastAsia="Times New Roman" w:hAnsi="Times New Roman"/>
                <w:sz w:val="22"/>
                <w:szCs w:val="22"/>
                <w:color w:val="auto"/>
              </w:rPr>
              <w:t>После 10</w:t>
            </w:r>
          </w:p>
        </w:tc>
        <w:tc>
          <w:tcPr>
            <w:tcW w:w="1420" w:type="dxa"/>
            <w:vAlign w:val="bottom"/>
            <w:tcBorders>
              <w:right w:val="single" w:sz="8" w:color="auto"/>
            </w:tcBorders>
            <w:vMerge w:val="restart"/>
          </w:tcPr>
          <w:p>
            <w:pPr>
              <w:ind w:left="420"/>
              <w:spacing w:after="0"/>
              <w:rPr>
                <w:sz w:val="20"/>
                <w:szCs w:val="20"/>
                <w:color w:val="auto"/>
              </w:rPr>
            </w:pPr>
            <w:r>
              <w:rPr>
                <w:rFonts w:ascii="Times New Roman" w:cs="Times New Roman" w:eastAsia="Times New Roman" w:hAnsi="Times New Roman"/>
                <w:sz w:val="22"/>
                <w:szCs w:val="22"/>
                <w:color w:val="auto"/>
              </w:rPr>
              <w:t>P</w:t>
            </w:r>
          </w:p>
        </w:tc>
        <w:tc>
          <w:tcPr>
            <w:tcW w:w="0" w:type="dxa"/>
            <w:vAlign w:val="bottom"/>
          </w:tcPr>
          <w:p>
            <w:pPr>
              <w:spacing w:after="0"/>
              <w:rPr>
                <w:sz w:val="1"/>
                <w:szCs w:val="1"/>
                <w:color w:val="auto"/>
              </w:rPr>
            </w:pPr>
          </w:p>
        </w:tc>
      </w:tr>
      <w:tr>
        <w:trPr>
          <w:trHeight w:val="153"/>
        </w:trPr>
        <w:tc>
          <w:tcPr>
            <w:tcW w:w="2500" w:type="dxa"/>
            <w:vAlign w:val="bottom"/>
            <w:tcBorders>
              <w:left w:val="single" w:sz="8" w:color="auto"/>
              <w:right w:val="single" w:sz="8" w:color="auto"/>
            </w:tcBorders>
            <w:vMerge w:val="continue"/>
          </w:tcPr>
          <w:p>
            <w:pPr>
              <w:spacing w:after="0"/>
              <w:rPr>
                <w:sz w:val="13"/>
                <w:szCs w:val="13"/>
                <w:color w:val="auto"/>
              </w:rPr>
            </w:pPr>
          </w:p>
        </w:tc>
        <w:tc>
          <w:tcPr>
            <w:tcW w:w="1540" w:type="dxa"/>
            <w:vAlign w:val="bottom"/>
            <w:tcBorders>
              <w:right w:val="single" w:sz="8" w:color="auto"/>
            </w:tcBorders>
            <w:vMerge w:val="continue"/>
          </w:tcPr>
          <w:p>
            <w:pPr>
              <w:spacing w:after="0"/>
              <w:rPr>
                <w:sz w:val="13"/>
                <w:szCs w:val="13"/>
                <w:color w:val="auto"/>
              </w:rPr>
            </w:pPr>
          </w:p>
        </w:tc>
        <w:tc>
          <w:tcPr>
            <w:tcW w:w="1420" w:type="dxa"/>
            <w:vAlign w:val="bottom"/>
            <w:tcBorders>
              <w:right w:val="single" w:sz="8" w:color="auto"/>
            </w:tcBorders>
            <w:vMerge w:val="continue"/>
          </w:tcPr>
          <w:p>
            <w:pPr>
              <w:spacing w:after="0"/>
              <w:rPr>
                <w:sz w:val="13"/>
                <w:szCs w:val="13"/>
                <w:color w:val="auto"/>
              </w:rPr>
            </w:pPr>
          </w:p>
        </w:tc>
        <w:tc>
          <w:tcPr>
            <w:tcW w:w="1400" w:type="dxa"/>
            <w:vAlign w:val="bottom"/>
            <w:tcBorders>
              <w:right w:val="single" w:sz="8" w:color="auto"/>
            </w:tcBorders>
            <w:vMerge w:val="continue"/>
          </w:tcPr>
          <w:p>
            <w:pPr>
              <w:spacing w:after="0"/>
              <w:rPr>
                <w:sz w:val="13"/>
                <w:szCs w:val="13"/>
                <w:color w:val="auto"/>
              </w:rPr>
            </w:pPr>
          </w:p>
        </w:tc>
        <w:tc>
          <w:tcPr>
            <w:tcW w:w="1420" w:type="dxa"/>
            <w:vAlign w:val="bottom"/>
            <w:tcBorders>
              <w:right w:val="single" w:sz="8" w:color="auto"/>
            </w:tcBorders>
            <w:vMerge w:val="continue"/>
          </w:tcPr>
          <w:p>
            <w:pPr>
              <w:spacing w:after="0"/>
              <w:rPr>
                <w:sz w:val="13"/>
                <w:szCs w:val="13"/>
                <w:color w:val="auto"/>
              </w:rPr>
            </w:pPr>
          </w:p>
        </w:tc>
        <w:tc>
          <w:tcPr>
            <w:tcW w:w="0" w:type="dxa"/>
            <w:vAlign w:val="bottom"/>
          </w:tcPr>
          <w:p>
            <w:pPr>
              <w:spacing w:after="0"/>
              <w:rPr>
                <w:sz w:val="1"/>
                <w:szCs w:val="1"/>
                <w:color w:val="auto"/>
              </w:rPr>
            </w:pPr>
          </w:p>
        </w:tc>
      </w:tr>
      <w:tr>
        <w:trPr>
          <w:trHeight w:val="68"/>
        </w:trPr>
        <w:tc>
          <w:tcPr>
            <w:tcW w:w="2500" w:type="dxa"/>
            <w:vAlign w:val="bottom"/>
            <w:tcBorders>
              <w:left w:val="single" w:sz="8" w:color="auto"/>
              <w:right w:val="single" w:sz="8" w:color="auto"/>
            </w:tcBorders>
          </w:tcPr>
          <w:p>
            <w:pPr>
              <w:spacing w:after="0"/>
              <w:rPr>
                <w:sz w:val="5"/>
                <w:szCs w:val="5"/>
                <w:color w:val="auto"/>
              </w:rPr>
            </w:pPr>
          </w:p>
        </w:tc>
        <w:tc>
          <w:tcPr>
            <w:tcW w:w="1540" w:type="dxa"/>
            <w:vAlign w:val="bottom"/>
            <w:tcBorders>
              <w:right w:val="single" w:sz="8" w:color="auto"/>
            </w:tcBorders>
            <w:vMerge w:val="continue"/>
          </w:tcPr>
          <w:p>
            <w:pPr>
              <w:spacing w:after="0"/>
              <w:rPr>
                <w:sz w:val="5"/>
                <w:szCs w:val="5"/>
                <w:color w:val="auto"/>
              </w:rPr>
            </w:pPr>
          </w:p>
        </w:tc>
        <w:tc>
          <w:tcPr>
            <w:tcW w:w="1420" w:type="dxa"/>
            <w:vAlign w:val="bottom"/>
            <w:tcBorders>
              <w:right w:val="single" w:sz="8" w:color="auto"/>
            </w:tcBorders>
            <w:vMerge w:val="continue"/>
          </w:tcPr>
          <w:p>
            <w:pPr>
              <w:spacing w:after="0"/>
              <w:rPr>
                <w:sz w:val="5"/>
                <w:szCs w:val="5"/>
                <w:color w:val="auto"/>
              </w:rPr>
            </w:pPr>
          </w:p>
        </w:tc>
        <w:tc>
          <w:tcPr>
            <w:tcW w:w="1400" w:type="dxa"/>
            <w:vAlign w:val="bottom"/>
            <w:tcBorders>
              <w:right w:val="single" w:sz="8" w:color="auto"/>
            </w:tcBorders>
            <w:vMerge w:val="continue"/>
          </w:tcPr>
          <w:p>
            <w:pPr>
              <w:spacing w:after="0"/>
              <w:rPr>
                <w:sz w:val="5"/>
                <w:szCs w:val="5"/>
                <w:color w:val="auto"/>
              </w:rPr>
            </w:pPr>
          </w:p>
        </w:tc>
        <w:tc>
          <w:tcPr>
            <w:tcW w:w="1420" w:type="dxa"/>
            <w:vAlign w:val="bottom"/>
            <w:tcBorders>
              <w:right w:val="single" w:sz="8" w:color="auto"/>
            </w:tcBorders>
            <w:vMerge w:val="continue"/>
          </w:tcPr>
          <w:p>
            <w:pPr>
              <w:spacing w:after="0"/>
              <w:rPr>
                <w:sz w:val="5"/>
                <w:szCs w:val="5"/>
                <w:color w:val="auto"/>
              </w:rPr>
            </w:pPr>
          </w:p>
        </w:tc>
        <w:tc>
          <w:tcPr>
            <w:tcW w:w="0" w:type="dxa"/>
            <w:vAlign w:val="bottom"/>
          </w:tcPr>
          <w:p>
            <w:pPr>
              <w:spacing w:after="0"/>
              <w:rPr>
                <w:sz w:val="1"/>
                <w:szCs w:val="1"/>
                <w:color w:val="auto"/>
              </w:rPr>
            </w:pPr>
          </w:p>
        </w:tc>
      </w:tr>
      <w:tr>
        <w:trPr>
          <w:trHeight w:val="296"/>
        </w:trPr>
        <w:tc>
          <w:tcPr>
            <w:tcW w:w="2500" w:type="dxa"/>
            <w:vAlign w:val="bottom"/>
            <w:tcBorders>
              <w:left w:val="single" w:sz="8" w:color="auto"/>
              <w:right w:val="single" w:sz="8" w:color="auto"/>
            </w:tcBorders>
          </w:tcPr>
          <w:p>
            <w:pPr>
              <w:spacing w:after="0"/>
              <w:rPr>
                <w:sz w:val="24"/>
                <w:szCs w:val="24"/>
                <w:color w:val="auto"/>
              </w:rPr>
            </w:pPr>
          </w:p>
        </w:tc>
        <w:tc>
          <w:tcPr>
            <w:tcW w:w="1540" w:type="dxa"/>
            <w:vAlign w:val="bottom"/>
            <w:tcBorders>
              <w:right w:val="single" w:sz="8" w:color="auto"/>
            </w:tcBorders>
          </w:tcPr>
          <w:p>
            <w:pPr>
              <w:ind w:left="140"/>
              <w:spacing w:after="0"/>
              <w:rPr>
                <w:sz w:val="20"/>
                <w:szCs w:val="20"/>
                <w:color w:val="auto"/>
              </w:rPr>
            </w:pPr>
            <w:r>
              <w:rPr>
                <w:rFonts w:ascii="Times New Roman" w:cs="Times New Roman" w:eastAsia="Times New Roman" w:hAnsi="Times New Roman"/>
                <w:sz w:val="22"/>
                <w:szCs w:val="22"/>
                <w:color w:val="auto"/>
              </w:rPr>
              <w:t>лечения</w:t>
            </w:r>
          </w:p>
        </w:tc>
        <w:tc>
          <w:tcPr>
            <w:tcW w:w="1420" w:type="dxa"/>
            <w:vAlign w:val="bottom"/>
            <w:tcBorders>
              <w:right w:val="single" w:sz="8" w:color="auto"/>
            </w:tcBorders>
          </w:tcPr>
          <w:p>
            <w:pPr>
              <w:ind w:left="100"/>
              <w:spacing w:after="0"/>
              <w:rPr>
                <w:sz w:val="20"/>
                <w:szCs w:val="20"/>
                <w:color w:val="auto"/>
              </w:rPr>
            </w:pPr>
            <w:r>
              <w:rPr>
                <w:rFonts w:ascii="Times New Roman" w:cs="Times New Roman" w:eastAsia="Times New Roman" w:hAnsi="Times New Roman"/>
                <w:sz w:val="22"/>
                <w:szCs w:val="22"/>
                <w:color w:val="auto"/>
              </w:rPr>
              <w:t>дней</w:t>
            </w:r>
          </w:p>
        </w:tc>
        <w:tc>
          <w:tcPr>
            <w:tcW w:w="1400" w:type="dxa"/>
            <w:vAlign w:val="bottom"/>
            <w:tcBorders>
              <w:right w:val="single" w:sz="8" w:color="auto"/>
            </w:tcBorders>
          </w:tcPr>
          <w:p>
            <w:pPr>
              <w:spacing w:after="0"/>
              <w:rPr>
                <w:sz w:val="20"/>
                <w:szCs w:val="20"/>
                <w:color w:val="auto"/>
              </w:rPr>
            </w:pPr>
            <w:r>
              <w:rPr>
                <w:rFonts w:ascii="Times New Roman" w:cs="Times New Roman" w:eastAsia="Times New Roman" w:hAnsi="Times New Roman"/>
                <w:sz w:val="22"/>
                <w:szCs w:val="22"/>
                <w:color w:val="auto"/>
              </w:rPr>
              <w:t>дней</w:t>
            </w:r>
          </w:p>
        </w:tc>
        <w:tc>
          <w:tcPr>
            <w:tcW w:w="1420" w:type="dxa"/>
            <w:vAlign w:val="bottom"/>
            <w:tcBorders>
              <w:right w:val="single" w:sz="8" w:color="auto"/>
            </w:tcBorders>
          </w:tcPr>
          <w:p>
            <w:pPr>
              <w:spacing w:after="0"/>
              <w:rPr>
                <w:sz w:val="24"/>
                <w:szCs w:val="24"/>
                <w:color w:val="auto"/>
              </w:rPr>
            </w:pPr>
          </w:p>
        </w:tc>
        <w:tc>
          <w:tcPr>
            <w:tcW w:w="0" w:type="dxa"/>
            <w:vAlign w:val="bottom"/>
          </w:tcPr>
          <w:p>
            <w:pPr>
              <w:spacing w:after="0"/>
              <w:rPr>
                <w:sz w:val="1"/>
                <w:szCs w:val="1"/>
                <w:color w:val="auto"/>
              </w:rPr>
            </w:pPr>
          </w:p>
        </w:tc>
      </w:tr>
      <w:tr>
        <w:trPr>
          <w:trHeight w:val="64"/>
        </w:trPr>
        <w:tc>
          <w:tcPr>
            <w:tcW w:w="2500" w:type="dxa"/>
            <w:vAlign w:val="bottom"/>
            <w:tcBorders>
              <w:left w:val="single" w:sz="8" w:color="auto"/>
              <w:bottom w:val="single" w:sz="8" w:color="auto"/>
              <w:right w:val="single" w:sz="8" w:color="auto"/>
            </w:tcBorders>
          </w:tcPr>
          <w:p>
            <w:pPr>
              <w:spacing w:after="0"/>
              <w:rPr>
                <w:sz w:val="5"/>
                <w:szCs w:val="5"/>
                <w:color w:val="auto"/>
              </w:rPr>
            </w:pPr>
          </w:p>
        </w:tc>
        <w:tc>
          <w:tcPr>
            <w:tcW w:w="1540" w:type="dxa"/>
            <w:vAlign w:val="bottom"/>
            <w:tcBorders>
              <w:bottom w:val="single" w:sz="8" w:color="auto"/>
              <w:right w:val="single" w:sz="8" w:color="auto"/>
            </w:tcBorders>
          </w:tcPr>
          <w:p>
            <w:pPr>
              <w:spacing w:after="0"/>
              <w:rPr>
                <w:sz w:val="5"/>
                <w:szCs w:val="5"/>
                <w:color w:val="auto"/>
              </w:rPr>
            </w:pPr>
          </w:p>
        </w:tc>
        <w:tc>
          <w:tcPr>
            <w:tcW w:w="1420" w:type="dxa"/>
            <w:vAlign w:val="bottom"/>
            <w:tcBorders>
              <w:bottom w:val="single" w:sz="8" w:color="auto"/>
              <w:right w:val="single" w:sz="8" w:color="auto"/>
            </w:tcBorders>
          </w:tcPr>
          <w:p>
            <w:pPr>
              <w:spacing w:after="0"/>
              <w:rPr>
                <w:sz w:val="5"/>
                <w:szCs w:val="5"/>
                <w:color w:val="auto"/>
              </w:rPr>
            </w:pPr>
          </w:p>
        </w:tc>
        <w:tc>
          <w:tcPr>
            <w:tcW w:w="1400" w:type="dxa"/>
            <w:vAlign w:val="bottom"/>
            <w:tcBorders>
              <w:bottom w:val="single" w:sz="8" w:color="auto"/>
              <w:right w:val="single" w:sz="8" w:color="auto"/>
            </w:tcBorders>
          </w:tcPr>
          <w:p>
            <w:pPr>
              <w:spacing w:after="0"/>
              <w:rPr>
                <w:sz w:val="5"/>
                <w:szCs w:val="5"/>
                <w:color w:val="auto"/>
              </w:rPr>
            </w:pPr>
          </w:p>
        </w:tc>
        <w:tc>
          <w:tcPr>
            <w:tcW w:w="1420" w:type="dxa"/>
            <w:vAlign w:val="bottom"/>
            <w:tcBorders>
              <w:bottom w:val="single" w:sz="8" w:color="auto"/>
              <w:right w:val="single" w:sz="8" w:color="auto"/>
            </w:tcBorders>
          </w:tcPr>
          <w:p>
            <w:pPr>
              <w:spacing w:after="0"/>
              <w:rPr>
                <w:sz w:val="5"/>
                <w:szCs w:val="5"/>
                <w:color w:val="auto"/>
              </w:rPr>
            </w:pPr>
          </w:p>
        </w:tc>
        <w:tc>
          <w:tcPr>
            <w:tcW w:w="0" w:type="dxa"/>
            <w:vAlign w:val="bottom"/>
          </w:tcPr>
          <w:p>
            <w:pPr>
              <w:spacing w:after="0"/>
              <w:rPr>
                <w:sz w:val="1"/>
                <w:szCs w:val="1"/>
                <w:color w:val="auto"/>
              </w:rPr>
            </w:pPr>
          </w:p>
        </w:tc>
      </w:tr>
      <w:tr>
        <w:trPr>
          <w:trHeight w:val="334"/>
        </w:trPr>
        <w:tc>
          <w:tcPr>
            <w:tcW w:w="2500" w:type="dxa"/>
            <w:vAlign w:val="bottom"/>
            <w:tcBorders>
              <w:left w:val="single" w:sz="8" w:color="auto"/>
              <w:right w:val="single" w:sz="8" w:color="auto"/>
            </w:tcBorders>
            <w:vMerge w:val="restart"/>
          </w:tcPr>
          <w:p>
            <w:pPr>
              <w:ind w:left="160"/>
              <w:spacing w:after="0"/>
              <w:rPr>
                <w:sz w:val="20"/>
                <w:szCs w:val="20"/>
                <w:color w:val="auto"/>
              </w:rPr>
            </w:pPr>
            <w:r>
              <w:rPr>
                <w:rFonts w:ascii="Times New Roman" w:cs="Times New Roman" w:eastAsia="Times New Roman" w:hAnsi="Times New Roman"/>
                <w:sz w:val="22"/>
                <w:szCs w:val="22"/>
                <w:color w:val="auto"/>
              </w:rPr>
              <w:t>СКФ, мл/мин</w:t>
            </w:r>
          </w:p>
        </w:tc>
        <w:tc>
          <w:tcPr>
            <w:tcW w:w="1540" w:type="dxa"/>
            <w:vAlign w:val="bottom"/>
            <w:tcBorders>
              <w:right w:val="single" w:sz="8" w:color="auto"/>
            </w:tcBorders>
            <w:vMerge w:val="restart"/>
          </w:tcPr>
          <w:p>
            <w:pPr>
              <w:ind w:left="140"/>
              <w:spacing w:after="0"/>
              <w:rPr>
                <w:sz w:val="20"/>
                <w:szCs w:val="20"/>
                <w:color w:val="auto"/>
              </w:rPr>
            </w:pPr>
            <w:r>
              <w:rPr>
                <w:rFonts w:ascii="Times New Roman" w:cs="Times New Roman" w:eastAsia="Times New Roman" w:hAnsi="Times New Roman"/>
                <w:sz w:val="22"/>
                <w:szCs w:val="22"/>
                <w:color w:val="auto"/>
              </w:rPr>
              <w:t>46±3,2</w:t>
            </w:r>
          </w:p>
        </w:tc>
        <w:tc>
          <w:tcPr>
            <w:tcW w:w="1420" w:type="dxa"/>
            <w:vAlign w:val="bottom"/>
            <w:tcBorders>
              <w:right w:val="single" w:sz="8" w:color="auto"/>
            </w:tcBorders>
            <w:vMerge w:val="restart"/>
          </w:tcPr>
          <w:p>
            <w:pPr>
              <w:ind w:left="100"/>
              <w:spacing w:after="0"/>
              <w:rPr>
                <w:sz w:val="20"/>
                <w:szCs w:val="20"/>
                <w:color w:val="auto"/>
              </w:rPr>
            </w:pPr>
            <w:r>
              <w:rPr>
                <w:rFonts w:ascii="Times New Roman" w:cs="Times New Roman" w:eastAsia="Times New Roman" w:hAnsi="Times New Roman"/>
                <w:sz w:val="22"/>
                <w:szCs w:val="22"/>
                <w:color w:val="auto"/>
              </w:rPr>
              <w:t>49±2,5</w:t>
            </w:r>
          </w:p>
        </w:tc>
        <w:tc>
          <w:tcPr>
            <w:tcW w:w="1400" w:type="dxa"/>
            <w:vAlign w:val="bottom"/>
            <w:tcBorders>
              <w:right w:val="single" w:sz="8" w:color="auto"/>
            </w:tcBorders>
            <w:vMerge w:val="restart"/>
          </w:tcPr>
          <w:p>
            <w:pPr>
              <w:spacing w:after="0"/>
              <w:rPr>
                <w:sz w:val="20"/>
                <w:szCs w:val="20"/>
                <w:color w:val="auto"/>
              </w:rPr>
            </w:pPr>
            <w:r>
              <w:rPr>
                <w:rFonts w:ascii="Times New Roman" w:cs="Times New Roman" w:eastAsia="Times New Roman" w:hAnsi="Times New Roman"/>
                <w:sz w:val="22"/>
                <w:szCs w:val="22"/>
                <w:color w:val="auto"/>
              </w:rPr>
              <w:t>52±1,5</w:t>
            </w:r>
          </w:p>
        </w:tc>
        <w:tc>
          <w:tcPr>
            <w:tcW w:w="1420" w:type="dxa"/>
            <w:vAlign w:val="bottom"/>
            <w:tcBorders>
              <w:right w:val="single" w:sz="8" w:color="auto"/>
            </w:tcBorders>
          </w:tcPr>
          <w:p>
            <w:pPr>
              <w:spacing w:after="0"/>
              <w:rPr>
                <w:sz w:val="20"/>
                <w:szCs w:val="20"/>
                <w:color w:val="auto"/>
              </w:rPr>
            </w:pPr>
            <w:r>
              <w:rPr>
                <w:rFonts w:ascii="Times New Roman" w:cs="Times New Roman" w:eastAsia="Times New Roman" w:hAnsi="Times New Roman"/>
                <w:sz w:val="22"/>
                <w:szCs w:val="22"/>
                <w:color w:val="auto"/>
              </w:rPr>
              <w:t>(p&lt;0,05)</w:t>
            </w:r>
          </w:p>
        </w:tc>
        <w:tc>
          <w:tcPr>
            <w:tcW w:w="0" w:type="dxa"/>
            <w:vAlign w:val="bottom"/>
          </w:tcPr>
          <w:p>
            <w:pPr>
              <w:spacing w:after="0"/>
              <w:rPr>
                <w:sz w:val="1"/>
                <w:szCs w:val="1"/>
                <w:color w:val="auto"/>
              </w:rPr>
            </w:pPr>
          </w:p>
        </w:tc>
      </w:tr>
      <w:tr>
        <w:trPr>
          <w:trHeight w:val="154"/>
        </w:trPr>
        <w:tc>
          <w:tcPr>
            <w:tcW w:w="2500" w:type="dxa"/>
            <w:vAlign w:val="bottom"/>
            <w:tcBorders>
              <w:left w:val="single" w:sz="8" w:color="auto"/>
              <w:right w:val="single" w:sz="8" w:color="auto"/>
            </w:tcBorders>
            <w:vMerge w:val="continue"/>
          </w:tcPr>
          <w:p>
            <w:pPr>
              <w:spacing w:after="0"/>
              <w:rPr>
                <w:sz w:val="13"/>
                <w:szCs w:val="13"/>
                <w:color w:val="auto"/>
              </w:rPr>
            </w:pPr>
          </w:p>
        </w:tc>
        <w:tc>
          <w:tcPr>
            <w:tcW w:w="1540" w:type="dxa"/>
            <w:vAlign w:val="bottom"/>
            <w:tcBorders>
              <w:right w:val="single" w:sz="8" w:color="auto"/>
            </w:tcBorders>
            <w:vMerge w:val="continue"/>
          </w:tcPr>
          <w:p>
            <w:pPr>
              <w:spacing w:after="0"/>
              <w:rPr>
                <w:sz w:val="13"/>
                <w:szCs w:val="13"/>
                <w:color w:val="auto"/>
              </w:rPr>
            </w:pPr>
          </w:p>
        </w:tc>
        <w:tc>
          <w:tcPr>
            <w:tcW w:w="1420" w:type="dxa"/>
            <w:vAlign w:val="bottom"/>
            <w:tcBorders>
              <w:right w:val="single" w:sz="8" w:color="auto"/>
            </w:tcBorders>
            <w:vMerge w:val="continue"/>
          </w:tcPr>
          <w:p>
            <w:pPr>
              <w:spacing w:after="0"/>
              <w:rPr>
                <w:sz w:val="13"/>
                <w:szCs w:val="13"/>
                <w:color w:val="auto"/>
              </w:rPr>
            </w:pPr>
          </w:p>
        </w:tc>
        <w:tc>
          <w:tcPr>
            <w:tcW w:w="1400" w:type="dxa"/>
            <w:vAlign w:val="bottom"/>
            <w:tcBorders>
              <w:right w:val="single" w:sz="8" w:color="auto"/>
            </w:tcBorders>
            <w:vMerge w:val="continue"/>
          </w:tcPr>
          <w:p>
            <w:pPr>
              <w:spacing w:after="0"/>
              <w:rPr>
                <w:sz w:val="13"/>
                <w:szCs w:val="13"/>
                <w:color w:val="auto"/>
              </w:rPr>
            </w:pPr>
          </w:p>
        </w:tc>
        <w:tc>
          <w:tcPr>
            <w:tcW w:w="1420" w:type="dxa"/>
            <w:vAlign w:val="bottom"/>
            <w:tcBorders>
              <w:right w:val="single" w:sz="8" w:color="auto"/>
            </w:tcBorders>
          </w:tcPr>
          <w:p>
            <w:pPr>
              <w:spacing w:after="0"/>
              <w:rPr>
                <w:sz w:val="13"/>
                <w:szCs w:val="13"/>
                <w:color w:val="auto"/>
              </w:rPr>
            </w:pPr>
          </w:p>
        </w:tc>
        <w:tc>
          <w:tcPr>
            <w:tcW w:w="0" w:type="dxa"/>
            <w:vAlign w:val="bottom"/>
          </w:tcPr>
          <w:p>
            <w:pPr>
              <w:spacing w:after="0"/>
              <w:rPr>
                <w:sz w:val="1"/>
                <w:szCs w:val="1"/>
                <w:color w:val="auto"/>
              </w:rPr>
            </w:pPr>
          </w:p>
        </w:tc>
      </w:tr>
      <w:tr>
        <w:trPr>
          <w:trHeight w:val="217"/>
        </w:trPr>
        <w:tc>
          <w:tcPr>
            <w:tcW w:w="2500" w:type="dxa"/>
            <w:vAlign w:val="bottom"/>
            <w:tcBorders>
              <w:left w:val="single" w:sz="8" w:color="auto"/>
              <w:bottom w:val="single" w:sz="8" w:color="auto"/>
              <w:right w:val="single" w:sz="8" w:color="auto"/>
            </w:tcBorders>
          </w:tcPr>
          <w:p>
            <w:pPr>
              <w:spacing w:after="0"/>
              <w:rPr>
                <w:sz w:val="18"/>
                <w:szCs w:val="18"/>
                <w:color w:val="auto"/>
              </w:rPr>
            </w:pPr>
          </w:p>
        </w:tc>
        <w:tc>
          <w:tcPr>
            <w:tcW w:w="1540" w:type="dxa"/>
            <w:vAlign w:val="bottom"/>
            <w:tcBorders>
              <w:bottom w:val="single" w:sz="8" w:color="auto"/>
              <w:right w:val="single" w:sz="8" w:color="auto"/>
            </w:tcBorders>
          </w:tcPr>
          <w:p>
            <w:pPr>
              <w:spacing w:after="0"/>
              <w:rPr>
                <w:sz w:val="18"/>
                <w:szCs w:val="18"/>
                <w:color w:val="auto"/>
              </w:rPr>
            </w:pPr>
          </w:p>
        </w:tc>
        <w:tc>
          <w:tcPr>
            <w:tcW w:w="1420" w:type="dxa"/>
            <w:vAlign w:val="bottom"/>
            <w:tcBorders>
              <w:bottom w:val="single" w:sz="8" w:color="auto"/>
              <w:right w:val="single" w:sz="8" w:color="auto"/>
            </w:tcBorders>
          </w:tcPr>
          <w:p>
            <w:pPr>
              <w:spacing w:after="0"/>
              <w:rPr>
                <w:sz w:val="18"/>
                <w:szCs w:val="18"/>
                <w:color w:val="auto"/>
              </w:rPr>
            </w:pPr>
          </w:p>
        </w:tc>
        <w:tc>
          <w:tcPr>
            <w:tcW w:w="1400" w:type="dxa"/>
            <w:vAlign w:val="bottom"/>
            <w:tcBorders>
              <w:bottom w:val="single" w:sz="8" w:color="auto"/>
              <w:right w:val="single" w:sz="8" w:color="auto"/>
            </w:tcBorders>
          </w:tcPr>
          <w:p>
            <w:pPr>
              <w:spacing w:after="0"/>
              <w:rPr>
                <w:sz w:val="18"/>
                <w:szCs w:val="18"/>
                <w:color w:val="auto"/>
              </w:rPr>
            </w:pPr>
          </w:p>
        </w:tc>
        <w:tc>
          <w:tcPr>
            <w:tcW w:w="1420" w:type="dxa"/>
            <w:vAlign w:val="bottom"/>
            <w:tcBorders>
              <w:bottom w:val="single" w:sz="8" w:color="auto"/>
              <w:right w:val="single" w:sz="8" w:color="auto"/>
            </w:tcBorders>
          </w:tcPr>
          <w:p>
            <w:pPr>
              <w:spacing w:after="0"/>
              <w:rPr>
                <w:sz w:val="18"/>
                <w:szCs w:val="18"/>
                <w:color w:val="auto"/>
              </w:rPr>
            </w:pPr>
          </w:p>
        </w:tc>
        <w:tc>
          <w:tcPr>
            <w:tcW w:w="0" w:type="dxa"/>
            <w:vAlign w:val="bottom"/>
          </w:tcPr>
          <w:p>
            <w:pPr>
              <w:spacing w:after="0"/>
              <w:rPr>
                <w:sz w:val="1"/>
                <w:szCs w:val="1"/>
                <w:color w:val="auto"/>
              </w:rPr>
            </w:pPr>
          </w:p>
        </w:tc>
      </w:tr>
      <w:tr>
        <w:trPr>
          <w:trHeight w:val="293"/>
        </w:trPr>
        <w:tc>
          <w:tcPr>
            <w:tcW w:w="2500" w:type="dxa"/>
            <w:vAlign w:val="bottom"/>
            <w:tcBorders>
              <w:left w:val="single" w:sz="8" w:color="auto"/>
              <w:right w:val="single" w:sz="8" w:color="auto"/>
            </w:tcBorders>
          </w:tcPr>
          <w:p>
            <w:pPr>
              <w:ind w:left="140"/>
              <w:spacing w:after="0"/>
              <w:rPr>
                <w:sz w:val="20"/>
                <w:szCs w:val="20"/>
                <w:color w:val="auto"/>
              </w:rPr>
            </w:pPr>
            <w:r>
              <w:rPr>
                <w:rFonts w:ascii="Times New Roman" w:cs="Times New Roman" w:eastAsia="Times New Roman" w:hAnsi="Times New Roman"/>
                <w:sz w:val="22"/>
                <w:szCs w:val="22"/>
                <w:color w:val="auto"/>
              </w:rPr>
              <w:t>Мочевина</w:t>
            </w:r>
          </w:p>
        </w:tc>
        <w:tc>
          <w:tcPr>
            <w:tcW w:w="1540" w:type="dxa"/>
            <w:vAlign w:val="bottom"/>
            <w:tcBorders>
              <w:right w:val="single" w:sz="8" w:color="auto"/>
            </w:tcBorders>
          </w:tcPr>
          <w:p>
            <w:pPr>
              <w:spacing w:after="0"/>
              <w:rPr>
                <w:sz w:val="24"/>
                <w:szCs w:val="24"/>
                <w:color w:val="auto"/>
              </w:rPr>
            </w:pPr>
          </w:p>
        </w:tc>
        <w:tc>
          <w:tcPr>
            <w:tcW w:w="1420" w:type="dxa"/>
            <w:vAlign w:val="bottom"/>
            <w:tcBorders>
              <w:right w:val="single" w:sz="8" w:color="auto"/>
            </w:tcBorders>
          </w:tcPr>
          <w:p>
            <w:pPr>
              <w:spacing w:after="0"/>
              <w:rPr>
                <w:sz w:val="24"/>
                <w:szCs w:val="24"/>
                <w:color w:val="auto"/>
              </w:rPr>
            </w:pPr>
          </w:p>
        </w:tc>
        <w:tc>
          <w:tcPr>
            <w:tcW w:w="1400" w:type="dxa"/>
            <w:vAlign w:val="bottom"/>
            <w:tcBorders>
              <w:right w:val="single" w:sz="8" w:color="auto"/>
            </w:tcBorders>
          </w:tcPr>
          <w:p>
            <w:pPr>
              <w:spacing w:after="0"/>
              <w:rPr>
                <w:sz w:val="24"/>
                <w:szCs w:val="24"/>
                <w:color w:val="auto"/>
              </w:rPr>
            </w:pPr>
          </w:p>
        </w:tc>
        <w:tc>
          <w:tcPr>
            <w:tcW w:w="1420" w:type="dxa"/>
            <w:vAlign w:val="bottom"/>
            <w:tcBorders>
              <w:right w:val="single" w:sz="8" w:color="auto"/>
            </w:tcBorders>
          </w:tcPr>
          <w:p>
            <w:pPr>
              <w:spacing w:after="0"/>
              <w:rPr>
                <w:sz w:val="24"/>
                <w:szCs w:val="24"/>
                <w:color w:val="auto"/>
              </w:rPr>
            </w:pPr>
          </w:p>
        </w:tc>
        <w:tc>
          <w:tcPr>
            <w:tcW w:w="0" w:type="dxa"/>
            <w:vAlign w:val="bottom"/>
          </w:tcPr>
          <w:p>
            <w:pPr>
              <w:spacing w:after="0"/>
              <w:rPr>
                <w:sz w:val="1"/>
                <w:szCs w:val="1"/>
                <w:color w:val="auto"/>
              </w:rPr>
            </w:pPr>
          </w:p>
        </w:tc>
      </w:tr>
      <w:tr>
        <w:trPr>
          <w:trHeight w:val="296"/>
        </w:trPr>
        <w:tc>
          <w:tcPr>
            <w:tcW w:w="2500" w:type="dxa"/>
            <w:vAlign w:val="bottom"/>
            <w:tcBorders>
              <w:left w:val="single" w:sz="8" w:color="auto"/>
              <w:right w:val="single" w:sz="8" w:color="auto"/>
            </w:tcBorders>
          </w:tcPr>
          <w:p>
            <w:pPr>
              <w:ind w:left="80"/>
              <w:spacing w:after="0"/>
              <w:rPr>
                <w:sz w:val="20"/>
                <w:szCs w:val="20"/>
                <w:color w:val="auto"/>
              </w:rPr>
            </w:pPr>
            <w:r>
              <w:rPr>
                <w:rFonts w:ascii="Times New Roman" w:cs="Times New Roman" w:eastAsia="Times New Roman" w:hAnsi="Times New Roman"/>
                <w:sz w:val="22"/>
                <w:szCs w:val="22"/>
                <w:color w:val="auto"/>
              </w:rPr>
              <w:t>сыворотки,ммоль/л</w:t>
            </w:r>
          </w:p>
        </w:tc>
        <w:tc>
          <w:tcPr>
            <w:tcW w:w="1540" w:type="dxa"/>
            <w:vAlign w:val="bottom"/>
            <w:tcBorders>
              <w:right w:val="single" w:sz="8" w:color="auto"/>
            </w:tcBorders>
          </w:tcPr>
          <w:p>
            <w:pPr>
              <w:ind w:left="140"/>
              <w:spacing w:after="0"/>
              <w:rPr>
                <w:sz w:val="20"/>
                <w:szCs w:val="20"/>
                <w:color w:val="auto"/>
              </w:rPr>
            </w:pPr>
            <w:r>
              <w:rPr>
                <w:rFonts w:ascii="Times New Roman" w:cs="Times New Roman" w:eastAsia="Times New Roman" w:hAnsi="Times New Roman"/>
                <w:sz w:val="22"/>
                <w:szCs w:val="22"/>
                <w:color w:val="auto"/>
              </w:rPr>
              <w:t>18,1±2,3</w:t>
            </w:r>
          </w:p>
        </w:tc>
        <w:tc>
          <w:tcPr>
            <w:tcW w:w="1420" w:type="dxa"/>
            <w:vAlign w:val="bottom"/>
            <w:tcBorders>
              <w:right w:val="single" w:sz="8" w:color="auto"/>
            </w:tcBorders>
          </w:tcPr>
          <w:p>
            <w:pPr>
              <w:ind w:left="20"/>
              <w:spacing w:after="0"/>
              <w:rPr>
                <w:sz w:val="20"/>
                <w:szCs w:val="20"/>
                <w:color w:val="auto"/>
              </w:rPr>
            </w:pPr>
            <w:r>
              <w:rPr>
                <w:rFonts w:ascii="Times New Roman" w:cs="Times New Roman" w:eastAsia="Times New Roman" w:hAnsi="Times New Roman"/>
                <w:sz w:val="22"/>
                <w:szCs w:val="22"/>
                <w:color w:val="auto"/>
              </w:rPr>
              <w:t>15,2±1,5</w:t>
            </w:r>
          </w:p>
        </w:tc>
        <w:tc>
          <w:tcPr>
            <w:tcW w:w="1400" w:type="dxa"/>
            <w:vAlign w:val="bottom"/>
            <w:tcBorders>
              <w:right w:val="single" w:sz="8" w:color="auto"/>
            </w:tcBorders>
          </w:tcPr>
          <w:p>
            <w:pPr>
              <w:spacing w:after="0"/>
              <w:rPr>
                <w:sz w:val="20"/>
                <w:szCs w:val="20"/>
                <w:color w:val="auto"/>
              </w:rPr>
            </w:pPr>
            <w:r>
              <w:rPr>
                <w:rFonts w:ascii="Times New Roman" w:cs="Times New Roman" w:eastAsia="Times New Roman" w:hAnsi="Times New Roman"/>
                <w:sz w:val="22"/>
                <w:szCs w:val="22"/>
                <w:color w:val="auto"/>
              </w:rPr>
              <w:t>13,2±0,12</w:t>
            </w:r>
          </w:p>
        </w:tc>
        <w:tc>
          <w:tcPr>
            <w:tcW w:w="1420" w:type="dxa"/>
            <w:vAlign w:val="bottom"/>
            <w:tcBorders>
              <w:right w:val="single" w:sz="8" w:color="auto"/>
            </w:tcBorders>
          </w:tcPr>
          <w:p>
            <w:pPr>
              <w:ind w:left="100"/>
              <w:spacing w:after="0"/>
              <w:rPr>
                <w:sz w:val="20"/>
                <w:szCs w:val="20"/>
                <w:color w:val="auto"/>
              </w:rPr>
            </w:pPr>
            <w:r>
              <w:rPr>
                <w:rFonts w:ascii="Times New Roman" w:cs="Times New Roman" w:eastAsia="Times New Roman" w:hAnsi="Times New Roman"/>
                <w:sz w:val="22"/>
                <w:szCs w:val="22"/>
                <w:color w:val="auto"/>
              </w:rPr>
              <w:t>(р&lt;0,01)</w:t>
            </w:r>
          </w:p>
        </w:tc>
        <w:tc>
          <w:tcPr>
            <w:tcW w:w="0" w:type="dxa"/>
            <w:vAlign w:val="bottom"/>
          </w:tcPr>
          <w:p>
            <w:pPr>
              <w:spacing w:after="0"/>
              <w:rPr>
                <w:sz w:val="1"/>
                <w:szCs w:val="1"/>
                <w:color w:val="auto"/>
              </w:rPr>
            </w:pPr>
          </w:p>
        </w:tc>
      </w:tr>
      <w:tr>
        <w:trPr>
          <w:trHeight w:val="64"/>
        </w:trPr>
        <w:tc>
          <w:tcPr>
            <w:tcW w:w="2500" w:type="dxa"/>
            <w:vAlign w:val="bottom"/>
            <w:tcBorders>
              <w:left w:val="single" w:sz="8" w:color="auto"/>
              <w:bottom w:val="single" w:sz="8" w:color="auto"/>
              <w:right w:val="single" w:sz="8" w:color="auto"/>
            </w:tcBorders>
          </w:tcPr>
          <w:p>
            <w:pPr>
              <w:spacing w:after="0"/>
              <w:rPr>
                <w:sz w:val="5"/>
                <w:szCs w:val="5"/>
                <w:color w:val="auto"/>
              </w:rPr>
            </w:pPr>
          </w:p>
        </w:tc>
        <w:tc>
          <w:tcPr>
            <w:tcW w:w="1540" w:type="dxa"/>
            <w:vAlign w:val="bottom"/>
            <w:tcBorders>
              <w:bottom w:val="single" w:sz="8" w:color="auto"/>
              <w:right w:val="single" w:sz="8" w:color="auto"/>
            </w:tcBorders>
          </w:tcPr>
          <w:p>
            <w:pPr>
              <w:spacing w:after="0"/>
              <w:rPr>
                <w:sz w:val="5"/>
                <w:szCs w:val="5"/>
                <w:color w:val="auto"/>
              </w:rPr>
            </w:pPr>
          </w:p>
        </w:tc>
        <w:tc>
          <w:tcPr>
            <w:tcW w:w="1420" w:type="dxa"/>
            <w:vAlign w:val="bottom"/>
            <w:tcBorders>
              <w:bottom w:val="single" w:sz="8" w:color="auto"/>
              <w:right w:val="single" w:sz="8" w:color="auto"/>
            </w:tcBorders>
          </w:tcPr>
          <w:p>
            <w:pPr>
              <w:spacing w:after="0"/>
              <w:rPr>
                <w:sz w:val="5"/>
                <w:szCs w:val="5"/>
                <w:color w:val="auto"/>
              </w:rPr>
            </w:pPr>
          </w:p>
        </w:tc>
        <w:tc>
          <w:tcPr>
            <w:tcW w:w="1400" w:type="dxa"/>
            <w:vAlign w:val="bottom"/>
            <w:tcBorders>
              <w:bottom w:val="single" w:sz="8" w:color="auto"/>
              <w:right w:val="single" w:sz="8" w:color="auto"/>
            </w:tcBorders>
          </w:tcPr>
          <w:p>
            <w:pPr>
              <w:spacing w:after="0"/>
              <w:rPr>
                <w:sz w:val="5"/>
                <w:szCs w:val="5"/>
                <w:color w:val="auto"/>
              </w:rPr>
            </w:pPr>
          </w:p>
        </w:tc>
        <w:tc>
          <w:tcPr>
            <w:tcW w:w="1420" w:type="dxa"/>
            <w:vAlign w:val="bottom"/>
            <w:tcBorders>
              <w:bottom w:val="single" w:sz="8" w:color="auto"/>
              <w:right w:val="single" w:sz="8" w:color="auto"/>
            </w:tcBorders>
          </w:tcPr>
          <w:p>
            <w:pPr>
              <w:spacing w:after="0"/>
              <w:rPr>
                <w:sz w:val="5"/>
                <w:szCs w:val="5"/>
                <w:color w:val="auto"/>
              </w:rPr>
            </w:pPr>
          </w:p>
        </w:tc>
        <w:tc>
          <w:tcPr>
            <w:tcW w:w="0" w:type="dxa"/>
            <w:vAlign w:val="bottom"/>
          </w:tcPr>
          <w:p>
            <w:pPr>
              <w:spacing w:after="0"/>
              <w:rPr>
                <w:sz w:val="1"/>
                <w:szCs w:val="1"/>
                <w:color w:val="auto"/>
              </w:rPr>
            </w:pPr>
          </w:p>
        </w:tc>
      </w:tr>
      <w:tr>
        <w:trPr>
          <w:trHeight w:val="307"/>
        </w:trPr>
        <w:tc>
          <w:tcPr>
            <w:tcW w:w="2500" w:type="dxa"/>
            <w:vAlign w:val="bottom"/>
            <w:tcBorders>
              <w:left w:val="single" w:sz="8" w:color="auto"/>
              <w:right w:val="single" w:sz="8" w:color="auto"/>
            </w:tcBorders>
          </w:tcPr>
          <w:p>
            <w:pPr>
              <w:ind w:left="140"/>
              <w:spacing w:after="0"/>
              <w:rPr>
                <w:sz w:val="20"/>
                <w:szCs w:val="20"/>
                <w:color w:val="auto"/>
              </w:rPr>
            </w:pPr>
            <w:r>
              <w:rPr>
                <w:rFonts w:ascii="Times New Roman" w:cs="Times New Roman" w:eastAsia="Times New Roman" w:hAnsi="Times New Roman"/>
                <w:sz w:val="22"/>
                <w:szCs w:val="22"/>
                <w:color w:val="auto"/>
              </w:rPr>
              <w:t>Креатинин сыворотки,</w:t>
            </w:r>
          </w:p>
        </w:tc>
        <w:tc>
          <w:tcPr>
            <w:tcW w:w="1540" w:type="dxa"/>
            <w:vAlign w:val="bottom"/>
            <w:tcBorders>
              <w:right w:val="single" w:sz="8" w:color="auto"/>
            </w:tcBorders>
            <w:vMerge w:val="restart"/>
          </w:tcPr>
          <w:p>
            <w:pPr>
              <w:ind w:left="140"/>
              <w:spacing w:after="0"/>
              <w:rPr>
                <w:sz w:val="20"/>
                <w:szCs w:val="20"/>
                <w:color w:val="auto"/>
              </w:rPr>
            </w:pPr>
            <w:r>
              <w:rPr>
                <w:rFonts w:ascii="Times New Roman" w:cs="Times New Roman" w:eastAsia="Times New Roman" w:hAnsi="Times New Roman"/>
                <w:sz w:val="22"/>
                <w:szCs w:val="22"/>
                <w:color w:val="auto"/>
              </w:rPr>
              <w:t>238±16,05</w:t>
            </w:r>
          </w:p>
        </w:tc>
        <w:tc>
          <w:tcPr>
            <w:tcW w:w="1420" w:type="dxa"/>
            <w:vAlign w:val="bottom"/>
            <w:tcBorders>
              <w:right w:val="single" w:sz="8" w:color="auto"/>
            </w:tcBorders>
            <w:vMerge w:val="restart"/>
          </w:tcPr>
          <w:p>
            <w:pPr>
              <w:ind w:left="20"/>
              <w:spacing w:after="0"/>
              <w:rPr>
                <w:sz w:val="20"/>
                <w:szCs w:val="20"/>
                <w:color w:val="auto"/>
              </w:rPr>
            </w:pPr>
            <w:r>
              <w:rPr>
                <w:rFonts w:ascii="Times New Roman" w:cs="Times New Roman" w:eastAsia="Times New Roman" w:hAnsi="Times New Roman"/>
                <w:sz w:val="22"/>
                <w:szCs w:val="22"/>
                <w:color w:val="auto"/>
              </w:rPr>
              <w:t>200±4,8</w:t>
            </w:r>
          </w:p>
        </w:tc>
        <w:tc>
          <w:tcPr>
            <w:tcW w:w="1400" w:type="dxa"/>
            <w:vAlign w:val="bottom"/>
            <w:tcBorders>
              <w:right w:val="single" w:sz="8" w:color="auto"/>
            </w:tcBorders>
            <w:vMerge w:val="restart"/>
          </w:tcPr>
          <w:p>
            <w:pPr>
              <w:spacing w:after="0"/>
              <w:rPr>
                <w:sz w:val="20"/>
                <w:szCs w:val="20"/>
                <w:color w:val="auto"/>
              </w:rPr>
            </w:pPr>
            <w:r>
              <w:rPr>
                <w:rFonts w:ascii="Times New Roman" w:cs="Times New Roman" w:eastAsia="Times New Roman" w:hAnsi="Times New Roman"/>
                <w:sz w:val="22"/>
                <w:szCs w:val="22"/>
                <w:color w:val="auto"/>
              </w:rPr>
              <w:t>189±3,9</w:t>
            </w:r>
          </w:p>
        </w:tc>
        <w:tc>
          <w:tcPr>
            <w:tcW w:w="1420" w:type="dxa"/>
            <w:vAlign w:val="bottom"/>
            <w:tcBorders>
              <w:right w:val="single" w:sz="8" w:color="auto"/>
            </w:tcBorders>
            <w:vMerge w:val="restart"/>
          </w:tcPr>
          <w:p>
            <w:pPr>
              <w:ind w:left="100"/>
              <w:spacing w:after="0"/>
              <w:rPr>
                <w:sz w:val="20"/>
                <w:szCs w:val="20"/>
                <w:color w:val="auto"/>
              </w:rPr>
            </w:pPr>
            <w:r>
              <w:rPr>
                <w:rFonts w:ascii="Times New Roman" w:cs="Times New Roman" w:eastAsia="Times New Roman" w:hAnsi="Times New Roman"/>
                <w:sz w:val="22"/>
                <w:szCs w:val="22"/>
                <w:color w:val="auto"/>
              </w:rPr>
              <w:t>(р&lt;0,001)</w:t>
            </w:r>
          </w:p>
        </w:tc>
        <w:tc>
          <w:tcPr>
            <w:tcW w:w="0" w:type="dxa"/>
            <w:vAlign w:val="bottom"/>
          </w:tcPr>
          <w:p>
            <w:pPr>
              <w:spacing w:after="0"/>
              <w:rPr>
                <w:sz w:val="1"/>
                <w:szCs w:val="1"/>
                <w:color w:val="auto"/>
              </w:rPr>
            </w:pPr>
          </w:p>
        </w:tc>
      </w:tr>
      <w:tr>
        <w:trPr>
          <w:trHeight w:val="171"/>
        </w:trPr>
        <w:tc>
          <w:tcPr>
            <w:tcW w:w="2500" w:type="dxa"/>
            <w:vAlign w:val="bottom"/>
            <w:tcBorders>
              <w:left w:val="single" w:sz="8" w:color="auto"/>
              <w:right w:val="single" w:sz="8" w:color="auto"/>
            </w:tcBorders>
            <w:vMerge w:val="restart"/>
          </w:tcPr>
          <w:p>
            <w:pPr>
              <w:ind w:left="80"/>
              <w:spacing w:after="0"/>
              <w:rPr>
                <w:sz w:val="20"/>
                <w:szCs w:val="20"/>
                <w:color w:val="auto"/>
              </w:rPr>
            </w:pPr>
            <w:r>
              <w:rPr>
                <w:rFonts w:ascii="Times New Roman" w:cs="Times New Roman" w:eastAsia="Times New Roman" w:hAnsi="Times New Roman"/>
                <w:sz w:val="22"/>
                <w:szCs w:val="22"/>
                <w:color w:val="auto"/>
              </w:rPr>
              <w:t>мкмоль/л</w:t>
            </w:r>
          </w:p>
        </w:tc>
        <w:tc>
          <w:tcPr>
            <w:tcW w:w="1540" w:type="dxa"/>
            <w:vAlign w:val="bottom"/>
            <w:tcBorders>
              <w:right w:val="single" w:sz="8" w:color="auto"/>
            </w:tcBorders>
            <w:vMerge w:val="continue"/>
          </w:tcPr>
          <w:p>
            <w:pPr>
              <w:spacing w:after="0"/>
              <w:rPr>
                <w:sz w:val="14"/>
                <w:szCs w:val="14"/>
                <w:color w:val="auto"/>
              </w:rPr>
            </w:pPr>
          </w:p>
        </w:tc>
        <w:tc>
          <w:tcPr>
            <w:tcW w:w="1420" w:type="dxa"/>
            <w:vAlign w:val="bottom"/>
            <w:tcBorders>
              <w:right w:val="single" w:sz="8" w:color="auto"/>
            </w:tcBorders>
            <w:vMerge w:val="continue"/>
          </w:tcPr>
          <w:p>
            <w:pPr>
              <w:spacing w:after="0"/>
              <w:rPr>
                <w:sz w:val="14"/>
                <w:szCs w:val="14"/>
                <w:color w:val="auto"/>
              </w:rPr>
            </w:pPr>
          </w:p>
        </w:tc>
        <w:tc>
          <w:tcPr>
            <w:tcW w:w="1400" w:type="dxa"/>
            <w:vAlign w:val="bottom"/>
            <w:tcBorders>
              <w:right w:val="single" w:sz="8" w:color="auto"/>
            </w:tcBorders>
            <w:vMerge w:val="continue"/>
          </w:tcPr>
          <w:p>
            <w:pPr>
              <w:spacing w:after="0"/>
              <w:rPr>
                <w:sz w:val="14"/>
                <w:szCs w:val="14"/>
                <w:color w:val="auto"/>
              </w:rPr>
            </w:pPr>
          </w:p>
        </w:tc>
        <w:tc>
          <w:tcPr>
            <w:tcW w:w="1420" w:type="dxa"/>
            <w:vAlign w:val="bottom"/>
            <w:tcBorders>
              <w:right w:val="single" w:sz="8" w:color="auto"/>
            </w:tcBorders>
            <w:vMerge w:val="continue"/>
          </w:tcPr>
          <w:p>
            <w:pPr>
              <w:spacing w:after="0"/>
              <w:rPr>
                <w:sz w:val="14"/>
                <w:szCs w:val="14"/>
                <w:color w:val="auto"/>
              </w:rPr>
            </w:pPr>
          </w:p>
        </w:tc>
        <w:tc>
          <w:tcPr>
            <w:tcW w:w="0" w:type="dxa"/>
            <w:vAlign w:val="bottom"/>
          </w:tcPr>
          <w:p>
            <w:pPr>
              <w:spacing w:after="0"/>
              <w:rPr>
                <w:sz w:val="1"/>
                <w:szCs w:val="1"/>
                <w:color w:val="auto"/>
              </w:rPr>
            </w:pPr>
          </w:p>
        </w:tc>
      </w:tr>
      <w:tr>
        <w:trPr>
          <w:trHeight w:val="125"/>
        </w:trPr>
        <w:tc>
          <w:tcPr>
            <w:tcW w:w="2500" w:type="dxa"/>
            <w:vAlign w:val="bottom"/>
            <w:tcBorders>
              <w:left w:val="single" w:sz="8" w:color="auto"/>
              <w:right w:val="single" w:sz="8" w:color="auto"/>
            </w:tcBorders>
            <w:vMerge w:val="continue"/>
          </w:tcPr>
          <w:p>
            <w:pPr>
              <w:spacing w:after="0"/>
              <w:rPr>
                <w:sz w:val="10"/>
                <w:szCs w:val="10"/>
                <w:color w:val="auto"/>
              </w:rPr>
            </w:pPr>
          </w:p>
        </w:tc>
        <w:tc>
          <w:tcPr>
            <w:tcW w:w="1540" w:type="dxa"/>
            <w:vAlign w:val="bottom"/>
            <w:tcBorders>
              <w:right w:val="single" w:sz="8" w:color="auto"/>
            </w:tcBorders>
          </w:tcPr>
          <w:p>
            <w:pPr>
              <w:spacing w:after="0"/>
              <w:rPr>
                <w:sz w:val="10"/>
                <w:szCs w:val="10"/>
                <w:color w:val="auto"/>
              </w:rPr>
            </w:pPr>
          </w:p>
        </w:tc>
        <w:tc>
          <w:tcPr>
            <w:tcW w:w="1420" w:type="dxa"/>
            <w:vAlign w:val="bottom"/>
            <w:tcBorders>
              <w:right w:val="single" w:sz="8" w:color="auto"/>
            </w:tcBorders>
          </w:tcPr>
          <w:p>
            <w:pPr>
              <w:spacing w:after="0"/>
              <w:rPr>
                <w:sz w:val="10"/>
                <w:szCs w:val="10"/>
                <w:color w:val="auto"/>
              </w:rPr>
            </w:pPr>
          </w:p>
        </w:tc>
        <w:tc>
          <w:tcPr>
            <w:tcW w:w="1400" w:type="dxa"/>
            <w:vAlign w:val="bottom"/>
            <w:tcBorders>
              <w:right w:val="single" w:sz="8" w:color="auto"/>
            </w:tcBorders>
          </w:tcPr>
          <w:p>
            <w:pPr>
              <w:spacing w:after="0"/>
              <w:rPr>
                <w:sz w:val="10"/>
                <w:szCs w:val="10"/>
                <w:color w:val="auto"/>
              </w:rPr>
            </w:pPr>
          </w:p>
        </w:tc>
        <w:tc>
          <w:tcPr>
            <w:tcW w:w="1420" w:type="dxa"/>
            <w:vAlign w:val="bottom"/>
            <w:tcBorders>
              <w:right w:val="single" w:sz="8" w:color="auto"/>
            </w:tcBorders>
            <w:vMerge w:val="continue"/>
          </w:tcPr>
          <w:p>
            <w:pPr>
              <w:spacing w:after="0"/>
              <w:rPr>
                <w:sz w:val="10"/>
                <w:szCs w:val="10"/>
                <w:color w:val="auto"/>
              </w:rPr>
            </w:pPr>
          </w:p>
        </w:tc>
        <w:tc>
          <w:tcPr>
            <w:tcW w:w="0" w:type="dxa"/>
            <w:vAlign w:val="bottom"/>
          </w:tcPr>
          <w:p>
            <w:pPr>
              <w:spacing w:after="0"/>
              <w:rPr>
                <w:sz w:val="1"/>
                <w:szCs w:val="1"/>
                <w:color w:val="auto"/>
              </w:rPr>
            </w:pPr>
          </w:p>
        </w:tc>
      </w:tr>
      <w:tr>
        <w:trPr>
          <w:trHeight w:val="78"/>
        </w:trPr>
        <w:tc>
          <w:tcPr>
            <w:tcW w:w="2500" w:type="dxa"/>
            <w:vAlign w:val="bottom"/>
            <w:tcBorders>
              <w:left w:val="single" w:sz="8" w:color="auto"/>
              <w:bottom w:val="single" w:sz="8" w:color="auto"/>
              <w:right w:val="single" w:sz="8" w:color="auto"/>
            </w:tcBorders>
          </w:tcPr>
          <w:p>
            <w:pPr>
              <w:spacing w:after="0"/>
              <w:rPr>
                <w:sz w:val="6"/>
                <w:szCs w:val="6"/>
                <w:color w:val="auto"/>
              </w:rPr>
            </w:pPr>
          </w:p>
        </w:tc>
        <w:tc>
          <w:tcPr>
            <w:tcW w:w="1540" w:type="dxa"/>
            <w:vAlign w:val="bottom"/>
            <w:tcBorders>
              <w:bottom w:val="single" w:sz="8" w:color="auto"/>
              <w:right w:val="single" w:sz="8" w:color="auto"/>
            </w:tcBorders>
          </w:tcPr>
          <w:p>
            <w:pPr>
              <w:spacing w:after="0"/>
              <w:rPr>
                <w:sz w:val="6"/>
                <w:szCs w:val="6"/>
                <w:color w:val="auto"/>
              </w:rPr>
            </w:pPr>
          </w:p>
        </w:tc>
        <w:tc>
          <w:tcPr>
            <w:tcW w:w="1420" w:type="dxa"/>
            <w:vAlign w:val="bottom"/>
            <w:tcBorders>
              <w:bottom w:val="single" w:sz="8" w:color="auto"/>
              <w:right w:val="single" w:sz="8" w:color="auto"/>
            </w:tcBorders>
          </w:tcPr>
          <w:p>
            <w:pPr>
              <w:spacing w:after="0"/>
              <w:rPr>
                <w:sz w:val="6"/>
                <w:szCs w:val="6"/>
                <w:color w:val="auto"/>
              </w:rPr>
            </w:pPr>
          </w:p>
        </w:tc>
        <w:tc>
          <w:tcPr>
            <w:tcW w:w="1400" w:type="dxa"/>
            <w:vAlign w:val="bottom"/>
            <w:tcBorders>
              <w:bottom w:val="single" w:sz="8" w:color="auto"/>
              <w:right w:val="single" w:sz="8" w:color="auto"/>
            </w:tcBorders>
          </w:tcPr>
          <w:p>
            <w:pPr>
              <w:spacing w:after="0"/>
              <w:rPr>
                <w:sz w:val="6"/>
                <w:szCs w:val="6"/>
                <w:color w:val="auto"/>
              </w:rPr>
            </w:pPr>
          </w:p>
        </w:tc>
        <w:tc>
          <w:tcPr>
            <w:tcW w:w="1420" w:type="dxa"/>
            <w:vAlign w:val="bottom"/>
            <w:tcBorders>
              <w:bottom w:val="single" w:sz="8" w:color="auto"/>
              <w:right w:val="single" w:sz="8" w:color="auto"/>
            </w:tcBorders>
          </w:tcPr>
          <w:p>
            <w:pPr>
              <w:spacing w:after="0"/>
              <w:rPr>
                <w:sz w:val="6"/>
                <w:szCs w:val="6"/>
                <w:color w:val="auto"/>
              </w:rPr>
            </w:pPr>
          </w:p>
        </w:tc>
        <w:tc>
          <w:tcPr>
            <w:tcW w:w="0" w:type="dxa"/>
            <w:vAlign w:val="bottom"/>
          </w:tcPr>
          <w:p>
            <w:pPr>
              <w:spacing w:after="0"/>
              <w:rPr>
                <w:sz w:val="1"/>
                <w:szCs w:val="1"/>
                <w:color w:val="auto"/>
              </w:rPr>
            </w:pPr>
          </w:p>
        </w:tc>
      </w:tr>
      <w:tr>
        <w:trPr>
          <w:trHeight w:val="339"/>
        </w:trPr>
        <w:tc>
          <w:tcPr>
            <w:tcW w:w="2500" w:type="dxa"/>
            <w:vAlign w:val="bottom"/>
            <w:tcBorders>
              <w:left w:val="single" w:sz="8" w:color="auto"/>
              <w:right w:val="single" w:sz="8" w:color="auto"/>
            </w:tcBorders>
          </w:tcPr>
          <w:p>
            <w:pPr>
              <w:ind w:left="140"/>
              <w:spacing w:after="0"/>
              <w:rPr>
                <w:sz w:val="20"/>
                <w:szCs w:val="20"/>
                <w:color w:val="auto"/>
              </w:rPr>
            </w:pPr>
            <w:r>
              <w:rPr>
                <w:rFonts w:ascii="Times New Roman" w:cs="Times New Roman" w:eastAsia="Times New Roman" w:hAnsi="Times New Roman"/>
                <w:sz w:val="22"/>
                <w:szCs w:val="22"/>
                <w:color w:val="auto"/>
              </w:rPr>
              <w:t>СОЭ, мм/ч</w:t>
            </w:r>
          </w:p>
        </w:tc>
        <w:tc>
          <w:tcPr>
            <w:tcW w:w="1540" w:type="dxa"/>
            <w:vAlign w:val="bottom"/>
            <w:tcBorders>
              <w:right w:val="single" w:sz="8" w:color="auto"/>
            </w:tcBorders>
          </w:tcPr>
          <w:p>
            <w:pPr>
              <w:ind w:left="140"/>
              <w:spacing w:after="0"/>
              <w:rPr>
                <w:sz w:val="20"/>
                <w:szCs w:val="20"/>
                <w:color w:val="auto"/>
              </w:rPr>
            </w:pPr>
            <w:r>
              <w:rPr>
                <w:rFonts w:ascii="Times New Roman" w:cs="Times New Roman" w:eastAsia="Times New Roman" w:hAnsi="Times New Roman"/>
                <w:sz w:val="22"/>
                <w:szCs w:val="22"/>
                <w:color w:val="auto"/>
              </w:rPr>
              <w:t>23,3±2,1</w:t>
            </w:r>
          </w:p>
        </w:tc>
        <w:tc>
          <w:tcPr>
            <w:tcW w:w="1420" w:type="dxa"/>
            <w:vAlign w:val="bottom"/>
            <w:tcBorders>
              <w:right w:val="single" w:sz="8" w:color="auto"/>
            </w:tcBorders>
          </w:tcPr>
          <w:p>
            <w:pPr>
              <w:ind w:left="20"/>
              <w:spacing w:after="0"/>
              <w:rPr>
                <w:sz w:val="20"/>
                <w:szCs w:val="20"/>
                <w:color w:val="auto"/>
              </w:rPr>
            </w:pPr>
            <w:r>
              <w:rPr>
                <w:rFonts w:ascii="Times New Roman" w:cs="Times New Roman" w:eastAsia="Times New Roman" w:hAnsi="Times New Roman"/>
                <w:sz w:val="22"/>
                <w:szCs w:val="22"/>
                <w:color w:val="auto"/>
              </w:rPr>
              <w:t>17,1±2,2</w:t>
            </w:r>
          </w:p>
        </w:tc>
        <w:tc>
          <w:tcPr>
            <w:tcW w:w="1400" w:type="dxa"/>
            <w:vAlign w:val="bottom"/>
            <w:tcBorders>
              <w:right w:val="single" w:sz="8" w:color="auto"/>
            </w:tcBorders>
          </w:tcPr>
          <w:p>
            <w:pPr>
              <w:spacing w:after="0"/>
              <w:rPr>
                <w:sz w:val="20"/>
                <w:szCs w:val="20"/>
                <w:color w:val="auto"/>
              </w:rPr>
            </w:pPr>
            <w:r>
              <w:rPr>
                <w:rFonts w:ascii="Times New Roman" w:cs="Times New Roman" w:eastAsia="Times New Roman" w:hAnsi="Times New Roman"/>
                <w:sz w:val="22"/>
                <w:szCs w:val="22"/>
                <w:color w:val="auto"/>
              </w:rPr>
              <w:t>17,1±1,2</w:t>
            </w:r>
          </w:p>
        </w:tc>
        <w:tc>
          <w:tcPr>
            <w:tcW w:w="1420" w:type="dxa"/>
            <w:vAlign w:val="bottom"/>
            <w:tcBorders>
              <w:right w:val="single" w:sz="8" w:color="auto"/>
            </w:tcBorders>
          </w:tcPr>
          <w:p>
            <w:pPr>
              <w:ind w:left="420"/>
              <w:spacing w:after="0"/>
              <w:rPr>
                <w:sz w:val="20"/>
                <w:szCs w:val="20"/>
                <w:color w:val="auto"/>
              </w:rPr>
            </w:pPr>
            <w:r>
              <w:rPr>
                <w:rFonts w:ascii="Times New Roman" w:cs="Times New Roman" w:eastAsia="Times New Roman" w:hAnsi="Times New Roman"/>
                <w:sz w:val="22"/>
                <w:szCs w:val="22"/>
                <w:color w:val="auto"/>
              </w:rPr>
              <w:t>нд</w:t>
            </w:r>
          </w:p>
        </w:tc>
        <w:tc>
          <w:tcPr>
            <w:tcW w:w="0" w:type="dxa"/>
            <w:vAlign w:val="bottom"/>
          </w:tcPr>
          <w:p>
            <w:pPr>
              <w:spacing w:after="0"/>
              <w:rPr>
                <w:sz w:val="1"/>
                <w:szCs w:val="1"/>
                <w:color w:val="auto"/>
              </w:rPr>
            </w:pPr>
          </w:p>
        </w:tc>
      </w:tr>
      <w:tr>
        <w:trPr>
          <w:trHeight w:val="59"/>
        </w:trPr>
        <w:tc>
          <w:tcPr>
            <w:tcW w:w="2500" w:type="dxa"/>
            <w:vAlign w:val="bottom"/>
            <w:tcBorders>
              <w:left w:val="single" w:sz="8" w:color="auto"/>
              <w:bottom w:val="single" w:sz="8" w:color="auto"/>
              <w:right w:val="single" w:sz="8" w:color="auto"/>
            </w:tcBorders>
          </w:tcPr>
          <w:p>
            <w:pPr>
              <w:spacing w:after="0"/>
              <w:rPr>
                <w:sz w:val="5"/>
                <w:szCs w:val="5"/>
                <w:color w:val="auto"/>
              </w:rPr>
            </w:pPr>
          </w:p>
        </w:tc>
        <w:tc>
          <w:tcPr>
            <w:tcW w:w="1540" w:type="dxa"/>
            <w:vAlign w:val="bottom"/>
            <w:tcBorders>
              <w:bottom w:val="single" w:sz="8" w:color="auto"/>
              <w:right w:val="single" w:sz="8" w:color="auto"/>
            </w:tcBorders>
          </w:tcPr>
          <w:p>
            <w:pPr>
              <w:spacing w:after="0"/>
              <w:rPr>
                <w:sz w:val="5"/>
                <w:szCs w:val="5"/>
                <w:color w:val="auto"/>
              </w:rPr>
            </w:pPr>
          </w:p>
        </w:tc>
        <w:tc>
          <w:tcPr>
            <w:tcW w:w="1420" w:type="dxa"/>
            <w:vAlign w:val="bottom"/>
            <w:tcBorders>
              <w:bottom w:val="single" w:sz="8" w:color="auto"/>
              <w:right w:val="single" w:sz="8" w:color="auto"/>
            </w:tcBorders>
          </w:tcPr>
          <w:p>
            <w:pPr>
              <w:spacing w:after="0"/>
              <w:rPr>
                <w:sz w:val="5"/>
                <w:szCs w:val="5"/>
                <w:color w:val="auto"/>
              </w:rPr>
            </w:pPr>
          </w:p>
        </w:tc>
        <w:tc>
          <w:tcPr>
            <w:tcW w:w="1400" w:type="dxa"/>
            <w:vAlign w:val="bottom"/>
            <w:tcBorders>
              <w:bottom w:val="single" w:sz="8" w:color="auto"/>
              <w:right w:val="single" w:sz="8" w:color="auto"/>
            </w:tcBorders>
          </w:tcPr>
          <w:p>
            <w:pPr>
              <w:spacing w:after="0"/>
              <w:rPr>
                <w:sz w:val="5"/>
                <w:szCs w:val="5"/>
                <w:color w:val="auto"/>
              </w:rPr>
            </w:pPr>
          </w:p>
        </w:tc>
        <w:tc>
          <w:tcPr>
            <w:tcW w:w="1420" w:type="dxa"/>
            <w:vAlign w:val="bottom"/>
            <w:tcBorders>
              <w:bottom w:val="single" w:sz="8" w:color="auto"/>
              <w:right w:val="single" w:sz="8" w:color="auto"/>
            </w:tcBorders>
          </w:tcPr>
          <w:p>
            <w:pPr>
              <w:spacing w:after="0"/>
              <w:rPr>
                <w:sz w:val="5"/>
                <w:szCs w:val="5"/>
                <w:color w:val="auto"/>
              </w:rPr>
            </w:pPr>
          </w:p>
        </w:tc>
        <w:tc>
          <w:tcPr>
            <w:tcW w:w="0" w:type="dxa"/>
            <w:vAlign w:val="bottom"/>
          </w:tcPr>
          <w:p>
            <w:pPr>
              <w:spacing w:after="0"/>
              <w:rPr>
                <w:sz w:val="1"/>
                <w:szCs w:val="1"/>
                <w:color w:val="auto"/>
              </w:rPr>
            </w:pPr>
          </w:p>
        </w:tc>
      </w:tr>
      <w:tr>
        <w:trPr>
          <w:trHeight w:val="446"/>
        </w:trPr>
        <w:tc>
          <w:tcPr>
            <w:tcW w:w="2500" w:type="dxa"/>
            <w:vAlign w:val="bottom"/>
            <w:tcBorders>
              <w:left w:val="single" w:sz="8" w:color="auto"/>
              <w:right w:val="single" w:sz="8" w:color="auto"/>
            </w:tcBorders>
          </w:tcPr>
          <w:p>
            <w:pPr>
              <w:ind w:left="840"/>
              <w:spacing w:after="0"/>
              <w:rPr>
                <w:sz w:val="20"/>
                <w:szCs w:val="20"/>
                <w:color w:val="auto"/>
              </w:rPr>
            </w:pPr>
            <w:r>
              <w:rPr>
                <w:rFonts w:ascii="Times New Roman" w:cs="Times New Roman" w:eastAsia="Times New Roman" w:hAnsi="Times New Roman"/>
                <w:sz w:val="22"/>
                <w:szCs w:val="22"/>
                <w:color w:val="auto"/>
              </w:rPr>
              <w:t>Протеинурия,</w:t>
            </w:r>
          </w:p>
        </w:tc>
        <w:tc>
          <w:tcPr>
            <w:tcW w:w="1540" w:type="dxa"/>
            <w:vAlign w:val="bottom"/>
            <w:tcBorders>
              <w:right w:val="single" w:sz="8" w:color="auto"/>
            </w:tcBorders>
          </w:tcPr>
          <w:p>
            <w:pPr>
              <w:spacing w:after="0"/>
              <w:rPr>
                <w:sz w:val="24"/>
                <w:szCs w:val="24"/>
                <w:color w:val="auto"/>
              </w:rPr>
            </w:pPr>
          </w:p>
        </w:tc>
        <w:tc>
          <w:tcPr>
            <w:tcW w:w="1420" w:type="dxa"/>
            <w:vAlign w:val="bottom"/>
            <w:tcBorders>
              <w:right w:val="single" w:sz="8" w:color="auto"/>
            </w:tcBorders>
          </w:tcPr>
          <w:p>
            <w:pPr>
              <w:spacing w:after="0"/>
              <w:rPr>
                <w:sz w:val="24"/>
                <w:szCs w:val="24"/>
                <w:color w:val="auto"/>
              </w:rPr>
            </w:pPr>
          </w:p>
        </w:tc>
        <w:tc>
          <w:tcPr>
            <w:tcW w:w="1400" w:type="dxa"/>
            <w:vAlign w:val="bottom"/>
            <w:tcBorders>
              <w:right w:val="single" w:sz="8" w:color="auto"/>
            </w:tcBorders>
          </w:tcPr>
          <w:p>
            <w:pPr>
              <w:spacing w:after="0"/>
              <w:rPr>
                <w:sz w:val="24"/>
                <w:szCs w:val="24"/>
                <w:color w:val="auto"/>
              </w:rPr>
            </w:pPr>
          </w:p>
        </w:tc>
        <w:tc>
          <w:tcPr>
            <w:tcW w:w="1420" w:type="dxa"/>
            <w:vAlign w:val="bottom"/>
            <w:tcBorders>
              <w:right w:val="single" w:sz="8" w:color="auto"/>
            </w:tcBorders>
            <w:vMerge w:val="restart"/>
          </w:tcPr>
          <w:p>
            <w:pPr>
              <w:ind w:left="100"/>
              <w:spacing w:after="0"/>
              <w:rPr>
                <w:sz w:val="20"/>
                <w:szCs w:val="20"/>
                <w:color w:val="auto"/>
              </w:rPr>
            </w:pPr>
            <w:r>
              <w:rPr>
                <w:rFonts w:ascii="Times New Roman" w:cs="Times New Roman" w:eastAsia="Times New Roman" w:hAnsi="Times New Roman"/>
                <w:sz w:val="22"/>
                <w:szCs w:val="22"/>
                <w:color w:val="auto"/>
              </w:rPr>
              <w:t>(р&lt;0/05)</w:t>
            </w:r>
          </w:p>
        </w:tc>
        <w:tc>
          <w:tcPr>
            <w:tcW w:w="0" w:type="dxa"/>
            <w:vAlign w:val="bottom"/>
          </w:tcPr>
          <w:p>
            <w:pPr>
              <w:spacing w:after="0"/>
              <w:rPr>
                <w:sz w:val="1"/>
                <w:szCs w:val="1"/>
                <w:color w:val="auto"/>
              </w:rPr>
            </w:pPr>
          </w:p>
        </w:tc>
      </w:tr>
      <w:tr>
        <w:trPr>
          <w:trHeight w:val="142"/>
        </w:trPr>
        <w:tc>
          <w:tcPr>
            <w:tcW w:w="2500" w:type="dxa"/>
            <w:vAlign w:val="bottom"/>
            <w:tcBorders>
              <w:left w:val="single" w:sz="8" w:color="auto"/>
              <w:right w:val="single" w:sz="8" w:color="auto"/>
            </w:tcBorders>
            <w:vMerge w:val="restart"/>
          </w:tcPr>
          <w:p>
            <w:pPr>
              <w:ind w:left="80"/>
              <w:spacing w:after="0"/>
              <w:rPr>
                <w:sz w:val="20"/>
                <w:szCs w:val="20"/>
                <w:color w:val="auto"/>
              </w:rPr>
            </w:pPr>
            <w:r>
              <w:rPr>
                <w:rFonts w:ascii="Times New Roman" w:cs="Times New Roman" w:eastAsia="Times New Roman" w:hAnsi="Times New Roman"/>
                <w:sz w:val="22"/>
                <w:szCs w:val="22"/>
                <w:color w:val="auto"/>
              </w:rPr>
              <w:t>г/л</w:t>
            </w:r>
          </w:p>
        </w:tc>
        <w:tc>
          <w:tcPr>
            <w:tcW w:w="1540" w:type="dxa"/>
            <w:vAlign w:val="bottom"/>
            <w:tcBorders>
              <w:right w:val="single" w:sz="8" w:color="auto"/>
            </w:tcBorders>
            <w:vMerge w:val="restart"/>
          </w:tcPr>
          <w:p>
            <w:pPr>
              <w:ind w:left="140"/>
              <w:spacing w:after="0"/>
              <w:rPr>
                <w:sz w:val="20"/>
                <w:szCs w:val="20"/>
                <w:color w:val="auto"/>
              </w:rPr>
            </w:pPr>
            <w:r>
              <w:rPr>
                <w:rFonts w:ascii="Times New Roman" w:cs="Times New Roman" w:eastAsia="Times New Roman" w:hAnsi="Times New Roman"/>
                <w:sz w:val="22"/>
                <w:szCs w:val="22"/>
                <w:color w:val="auto"/>
              </w:rPr>
              <w:t>1,43±0,20</w:t>
            </w:r>
          </w:p>
        </w:tc>
        <w:tc>
          <w:tcPr>
            <w:tcW w:w="1420" w:type="dxa"/>
            <w:vAlign w:val="bottom"/>
            <w:tcBorders>
              <w:right w:val="single" w:sz="8" w:color="auto"/>
            </w:tcBorders>
            <w:vMerge w:val="restart"/>
          </w:tcPr>
          <w:p>
            <w:pPr>
              <w:ind w:left="20"/>
              <w:spacing w:after="0"/>
              <w:rPr>
                <w:sz w:val="20"/>
                <w:szCs w:val="20"/>
                <w:color w:val="auto"/>
              </w:rPr>
            </w:pPr>
            <w:r>
              <w:rPr>
                <w:rFonts w:ascii="Times New Roman" w:cs="Times New Roman" w:eastAsia="Times New Roman" w:hAnsi="Times New Roman"/>
                <w:sz w:val="22"/>
                <w:szCs w:val="22"/>
                <w:color w:val="auto"/>
              </w:rPr>
              <w:t>1.20±0,1</w:t>
            </w:r>
          </w:p>
        </w:tc>
        <w:tc>
          <w:tcPr>
            <w:tcW w:w="1400" w:type="dxa"/>
            <w:vAlign w:val="bottom"/>
            <w:tcBorders>
              <w:right w:val="single" w:sz="8" w:color="auto"/>
            </w:tcBorders>
            <w:vMerge w:val="restart"/>
          </w:tcPr>
          <w:p>
            <w:pPr>
              <w:spacing w:after="0"/>
              <w:rPr>
                <w:sz w:val="20"/>
                <w:szCs w:val="20"/>
                <w:color w:val="auto"/>
              </w:rPr>
            </w:pPr>
            <w:r>
              <w:rPr>
                <w:rFonts w:ascii="Times New Roman" w:cs="Times New Roman" w:eastAsia="Times New Roman" w:hAnsi="Times New Roman"/>
                <w:sz w:val="22"/>
                <w:szCs w:val="22"/>
                <w:color w:val="auto"/>
              </w:rPr>
              <w:t>0.99±0,1</w:t>
            </w:r>
          </w:p>
        </w:tc>
        <w:tc>
          <w:tcPr>
            <w:tcW w:w="1420" w:type="dxa"/>
            <w:vAlign w:val="bottom"/>
            <w:tcBorders>
              <w:right w:val="single" w:sz="8" w:color="auto"/>
            </w:tcBorders>
            <w:vMerge w:val="continue"/>
          </w:tcPr>
          <w:p>
            <w:pPr>
              <w:spacing w:after="0"/>
              <w:rPr>
                <w:sz w:val="12"/>
                <w:szCs w:val="12"/>
                <w:color w:val="auto"/>
              </w:rPr>
            </w:pPr>
          </w:p>
        </w:tc>
        <w:tc>
          <w:tcPr>
            <w:tcW w:w="0" w:type="dxa"/>
            <w:vAlign w:val="bottom"/>
          </w:tcPr>
          <w:p>
            <w:pPr>
              <w:spacing w:after="0"/>
              <w:rPr>
                <w:sz w:val="1"/>
                <w:szCs w:val="1"/>
                <w:color w:val="auto"/>
              </w:rPr>
            </w:pPr>
          </w:p>
        </w:tc>
      </w:tr>
      <w:tr>
        <w:trPr>
          <w:trHeight w:val="154"/>
        </w:trPr>
        <w:tc>
          <w:tcPr>
            <w:tcW w:w="2500" w:type="dxa"/>
            <w:vAlign w:val="bottom"/>
            <w:tcBorders>
              <w:left w:val="single" w:sz="8" w:color="auto"/>
              <w:right w:val="single" w:sz="8" w:color="auto"/>
            </w:tcBorders>
            <w:vMerge w:val="continue"/>
          </w:tcPr>
          <w:p>
            <w:pPr>
              <w:spacing w:after="0"/>
              <w:rPr>
                <w:sz w:val="13"/>
                <w:szCs w:val="13"/>
                <w:color w:val="auto"/>
              </w:rPr>
            </w:pPr>
          </w:p>
        </w:tc>
        <w:tc>
          <w:tcPr>
            <w:tcW w:w="1540" w:type="dxa"/>
            <w:vAlign w:val="bottom"/>
            <w:tcBorders>
              <w:right w:val="single" w:sz="8" w:color="auto"/>
            </w:tcBorders>
            <w:vMerge w:val="continue"/>
          </w:tcPr>
          <w:p>
            <w:pPr>
              <w:spacing w:after="0"/>
              <w:rPr>
                <w:sz w:val="13"/>
                <w:szCs w:val="13"/>
                <w:color w:val="auto"/>
              </w:rPr>
            </w:pPr>
          </w:p>
        </w:tc>
        <w:tc>
          <w:tcPr>
            <w:tcW w:w="1420" w:type="dxa"/>
            <w:vAlign w:val="bottom"/>
            <w:tcBorders>
              <w:right w:val="single" w:sz="8" w:color="auto"/>
            </w:tcBorders>
            <w:vMerge w:val="continue"/>
          </w:tcPr>
          <w:p>
            <w:pPr>
              <w:spacing w:after="0"/>
              <w:rPr>
                <w:sz w:val="13"/>
                <w:szCs w:val="13"/>
                <w:color w:val="auto"/>
              </w:rPr>
            </w:pPr>
          </w:p>
        </w:tc>
        <w:tc>
          <w:tcPr>
            <w:tcW w:w="1400" w:type="dxa"/>
            <w:vAlign w:val="bottom"/>
            <w:tcBorders>
              <w:right w:val="single" w:sz="8" w:color="auto"/>
            </w:tcBorders>
            <w:vMerge w:val="continue"/>
          </w:tcPr>
          <w:p>
            <w:pPr>
              <w:spacing w:after="0"/>
              <w:rPr>
                <w:sz w:val="13"/>
                <w:szCs w:val="13"/>
                <w:color w:val="auto"/>
              </w:rPr>
            </w:pPr>
          </w:p>
        </w:tc>
        <w:tc>
          <w:tcPr>
            <w:tcW w:w="1420" w:type="dxa"/>
            <w:vAlign w:val="bottom"/>
            <w:tcBorders>
              <w:right w:val="single" w:sz="8" w:color="auto"/>
            </w:tcBorders>
          </w:tcPr>
          <w:p>
            <w:pPr>
              <w:spacing w:after="0"/>
              <w:rPr>
                <w:sz w:val="13"/>
                <w:szCs w:val="13"/>
                <w:color w:val="auto"/>
              </w:rPr>
            </w:pPr>
          </w:p>
        </w:tc>
        <w:tc>
          <w:tcPr>
            <w:tcW w:w="0" w:type="dxa"/>
            <w:vAlign w:val="bottom"/>
          </w:tcPr>
          <w:p>
            <w:pPr>
              <w:spacing w:after="0"/>
              <w:rPr>
                <w:sz w:val="1"/>
                <w:szCs w:val="1"/>
                <w:color w:val="auto"/>
              </w:rPr>
            </w:pPr>
          </w:p>
        </w:tc>
      </w:tr>
      <w:tr>
        <w:trPr>
          <w:trHeight w:val="217"/>
        </w:trPr>
        <w:tc>
          <w:tcPr>
            <w:tcW w:w="2500" w:type="dxa"/>
            <w:vAlign w:val="bottom"/>
            <w:tcBorders>
              <w:left w:val="single" w:sz="8" w:color="auto"/>
              <w:bottom w:val="single" w:sz="8" w:color="auto"/>
              <w:right w:val="single" w:sz="8" w:color="auto"/>
            </w:tcBorders>
          </w:tcPr>
          <w:p>
            <w:pPr>
              <w:spacing w:after="0"/>
              <w:rPr>
                <w:sz w:val="18"/>
                <w:szCs w:val="18"/>
                <w:color w:val="auto"/>
              </w:rPr>
            </w:pPr>
          </w:p>
        </w:tc>
        <w:tc>
          <w:tcPr>
            <w:tcW w:w="1540" w:type="dxa"/>
            <w:vAlign w:val="bottom"/>
            <w:tcBorders>
              <w:bottom w:val="single" w:sz="8" w:color="auto"/>
              <w:right w:val="single" w:sz="8" w:color="auto"/>
            </w:tcBorders>
          </w:tcPr>
          <w:p>
            <w:pPr>
              <w:spacing w:after="0"/>
              <w:rPr>
                <w:sz w:val="18"/>
                <w:szCs w:val="18"/>
                <w:color w:val="auto"/>
              </w:rPr>
            </w:pPr>
          </w:p>
        </w:tc>
        <w:tc>
          <w:tcPr>
            <w:tcW w:w="1420" w:type="dxa"/>
            <w:vAlign w:val="bottom"/>
            <w:tcBorders>
              <w:bottom w:val="single" w:sz="8" w:color="auto"/>
              <w:right w:val="single" w:sz="8" w:color="auto"/>
            </w:tcBorders>
          </w:tcPr>
          <w:p>
            <w:pPr>
              <w:spacing w:after="0"/>
              <w:rPr>
                <w:sz w:val="18"/>
                <w:szCs w:val="18"/>
                <w:color w:val="auto"/>
              </w:rPr>
            </w:pPr>
          </w:p>
        </w:tc>
        <w:tc>
          <w:tcPr>
            <w:tcW w:w="1400" w:type="dxa"/>
            <w:vAlign w:val="bottom"/>
            <w:tcBorders>
              <w:bottom w:val="single" w:sz="8" w:color="auto"/>
              <w:right w:val="single" w:sz="8" w:color="auto"/>
            </w:tcBorders>
          </w:tcPr>
          <w:p>
            <w:pPr>
              <w:spacing w:after="0"/>
              <w:rPr>
                <w:sz w:val="18"/>
                <w:szCs w:val="18"/>
                <w:color w:val="auto"/>
              </w:rPr>
            </w:pPr>
          </w:p>
        </w:tc>
        <w:tc>
          <w:tcPr>
            <w:tcW w:w="1420" w:type="dxa"/>
            <w:vAlign w:val="bottom"/>
            <w:tcBorders>
              <w:bottom w:val="single" w:sz="8" w:color="auto"/>
              <w:right w:val="single" w:sz="8" w:color="auto"/>
            </w:tcBorders>
          </w:tcPr>
          <w:p>
            <w:pPr>
              <w:spacing w:after="0"/>
              <w:rPr>
                <w:sz w:val="18"/>
                <w:szCs w:val="18"/>
                <w:color w:val="auto"/>
              </w:rPr>
            </w:pPr>
          </w:p>
        </w:tc>
        <w:tc>
          <w:tcPr>
            <w:tcW w:w="0" w:type="dxa"/>
            <w:vAlign w:val="bottom"/>
          </w:tcPr>
          <w:p>
            <w:pPr>
              <w:spacing w:after="0"/>
              <w:rPr>
                <w:sz w:val="1"/>
                <w:szCs w:val="1"/>
                <w:color w:val="auto"/>
              </w:rPr>
            </w:pPr>
          </w:p>
        </w:tc>
      </w:tr>
    </w:tbl>
    <w:p>
      <w:pPr>
        <w:spacing w:after="0" w:line="222" w:lineRule="exact"/>
        <w:rPr>
          <w:sz w:val="20"/>
          <w:szCs w:val="20"/>
          <w:color w:val="auto"/>
        </w:rPr>
      </w:pPr>
    </w:p>
    <w:p>
      <w:pPr>
        <w:jc w:val="both"/>
        <w:ind w:left="260" w:firstLine="710"/>
        <w:spacing w:after="0" w:line="238" w:lineRule="auto"/>
        <w:rPr>
          <w:sz w:val="20"/>
          <w:szCs w:val="20"/>
          <w:color w:val="auto"/>
        </w:rPr>
      </w:pPr>
      <w:r>
        <w:rPr>
          <w:rFonts w:ascii="Times New Roman" w:cs="Times New Roman" w:eastAsia="Times New Roman" w:hAnsi="Times New Roman"/>
          <w:sz w:val="22"/>
          <w:szCs w:val="22"/>
          <w:color w:val="auto"/>
        </w:rPr>
        <w:t>Очевидно, что в выбранный срок, коррекция азотемических нарушений препаратом Глутатион в рекомендуемых терапевтических дозировках у больных ХБП III стадии диабетической этиологии, является безопасной. При этом Глутатион оказал значимое влияние на показатели мочевины и креатинина. Для подтверждения правильности нашего утверждения требуются дальнейшие, более длительные исследования с большей когортой больных.</w:t>
      </w:r>
    </w:p>
    <w:p>
      <w:pPr>
        <w:spacing w:after="0" w:line="4" w:lineRule="exact"/>
        <w:rPr>
          <w:sz w:val="20"/>
          <w:szCs w:val="20"/>
          <w:color w:val="auto"/>
        </w:rPr>
      </w:pPr>
    </w:p>
    <w:p>
      <w:pPr>
        <w:jc w:val="both"/>
        <w:ind w:left="260" w:firstLine="711"/>
        <w:spacing w:after="0" w:line="244" w:lineRule="auto"/>
        <w:rPr>
          <w:sz w:val="20"/>
          <w:szCs w:val="20"/>
          <w:color w:val="auto"/>
        </w:rPr>
      </w:pPr>
      <w:r>
        <w:rPr>
          <w:rFonts w:ascii="Times New Roman" w:cs="Times New Roman" w:eastAsia="Times New Roman" w:hAnsi="Times New Roman"/>
          <w:sz w:val="22"/>
          <w:szCs w:val="22"/>
          <w:b w:val="1"/>
          <w:bCs w:val="1"/>
          <w:color w:val="auto"/>
        </w:rPr>
        <w:t xml:space="preserve">Обсуждение. </w:t>
      </w:r>
      <w:r>
        <w:rPr>
          <w:rFonts w:ascii="Times New Roman" w:cs="Times New Roman" w:eastAsia="Times New Roman" w:hAnsi="Times New Roman"/>
          <w:sz w:val="22"/>
          <w:szCs w:val="22"/>
          <w:color w:val="auto"/>
        </w:rPr>
        <w:t>Конец ХХ и начало ХХI веков принесло немало открытий в отношении</w:t>
      </w:r>
      <w:r>
        <w:rPr>
          <w:rFonts w:ascii="Times New Roman" w:cs="Times New Roman" w:eastAsia="Times New Roman" w:hAnsi="Times New Roman"/>
          <w:sz w:val="22"/>
          <w:szCs w:val="22"/>
          <w:b w:val="1"/>
          <w:bCs w:val="1"/>
          <w:color w:val="auto"/>
        </w:rPr>
        <w:t xml:space="preserve"> </w:t>
      </w:r>
      <w:r>
        <w:rPr>
          <w:rFonts w:ascii="Times New Roman" w:cs="Times New Roman" w:eastAsia="Times New Roman" w:hAnsi="Times New Roman"/>
          <w:sz w:val="22"/>
          <w:szCs w:val="22"/>
          <w:color w:val="auto"/>
        </w:rPr>
        <w:t>особенностей течения и тактики лечения хронической болезни почек [2]. Была выявлена многофакторная ее природа, включающая нарушение белкового, водно-электролитного, минерального обмена и другие нарушения, выявляемые при лабораторных исследованиях [8]. Безусловно, при лечении хронической болезни почек необходимо учитывать многофакторную ее природу. Тем не менее, важнейшим проявлением ХБП, влекущим к смертельным осложнениям, остается уремическая интоксикация [4, 5]. Проведенное исследование показало, что дополнительное назначение в курс лечения препарата Глутатион повышает эффективность лечения. Назначение препарата Глутатион, относящегося к группе антиоксидантной, у больных III стадии ХБП, в указанные сроки оказалось безопасным, при этом его влияние оказалось большим на такие показатели как мочевина и креатинин.</w:t>
      </w:r>
    </w:p>
    <w:p>
      <w:pPr>
        <w:spacing w:after="0" w:line="205" w:lineRule="exact"/>
        <w:rPr>
          <w:sz w:val="20"/>
          <w:szCs w:val="20"/>
          <w:color w:val="auto"/>
        </w:rPr>
      </w:pPr>
    </w:p>
    <w:p>
      <w:pPr>
        <w:ind w:left="980"/>
        <w:spacing w:after="0"/>
        <w:rPr>
          <w:sz w:val="20"/>
          <w:szCs w:val="20"/>
          <w:color w:val="auto"/>
        </w:rPr>
      </w:pPr>
      <w:r>
        <w:rPr>
          <w:rFonts w:ascii="Times New Roman" w:cs="Times New Roman" w:eastAsia="Times New Roman" w:hAnsi="Times New Roman"/>
          <w:sz w:val="22"/>
          <w:szCs w:val="22"/>
          <w:b w:val="1"/>
          <w:bCs w:val="1"/>
          <w:color w:val="auto"/>
        </w:rPr>
        <w:t>ВЫВОДЫ</w:t>
      </w:r>
    </w:p>
    <w:p>
      <w:pPr>
        <w:jc w:val="both"/>
        <w:ind w:left="260" w:firstLine="710"/>
        <w:spacing w:after="0"/>
        <w:tabs>
          <w:tab w:leader="none" w:pos="1676" w:val="left"/>
        </w:tabs>
        <w:numPr>
          <w:ilvl w:val="0"/>
          <w:numId w:val="3"/>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b w:val="1"/>
          <w:bCs w:val="1"/>
          <w:color w:val="auto"/>
        </w:rPr>
        <w:t xml:space="preserve">Препарат «Глутион» </w:t>
      </w:r>
      <w:r>
        <w:rPr>
          <w:rFonts w:ascii="Times New Roman" w:cs="Times New Roman" w:eastAsia="Times New Roman" w:hAnsi="Times New Roman"/>
          <w:sz w:val="22"/>
          <w:szCs w:val="22"/>
          <w:color w:val="auto"/>
        </w:rPr>
        <w:t>обладает выраженным антиоксидантным и</w:t>
      </w:r>
      <w:r>
        <w:rPr>
          <w:rFonts w:ascii="Times New Roman" w:cs="Times New Roman" w:eastAsia="Times New Roman" w:hAnsi="Times New Roman"/>
          <w:sz w:val="22"/>
          <w:szCs w:val="22"/>
          <w:b w:val="1"/>
          <w:bCs w:val="1"/>
          <w:color w:val="auto"/>
        </w:rPr>
        <w:t xml:space="preserve"> </w:t>
      </w:r>
      <w:r>
        <w:rPr>
          <w:rFonts w:ascii="Times New Roman" w:cs="Times New Roman" w:eastAsia="Times New Roman" w:hAnsi="Times New Roman"/>
          <w:sz w:val="22"/>
          <w:szCs w:val="22"/>
          <w:color w:val="auto"/>
        </w:rPr>
        <w:t>детоксикационным свойствами, по эффективности и по переносимости не уступает другим антиоксидантным препаратам, а также хорошо переноситься больными. Побочных реакций не было.</w:t>
      </w:r>
    </w:p>
    <w:p>
      <w:pPr>
        <w:spacing w:after="0" w:line="4" w:lineRule="exact"/>
        <w:rPr>
          <w:rFonts w:ascii="Times New Roman" w:cs="Times New Roman" w:eastAsia="Times New Roman" w:hAnsi="Times New Roman"/>
          <w:sz w:val="22"/>
          <w:szCs w:val="22"/>
          <w:color w:val="auto"/>
        </w:rPr>
      </w:pPr>
    </w:p>
    <w:p>
      <w:pPr>
        <w:jc w:val="both"/>
        <w:ind w:left="260" w:firstLine="710"/>
        <w:spacing w:after="0" w:line="259" w:lineRule="auto"/>
        <w:tabs>
          <w:tab w:leader="none" w:pos="1676" w:val="left"/>
        </w:tabs>
        <w:numPr>
          <w:ilvl w:val="0"/>
          <w:numId w:val="3"/>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Антиоксидант Глутатион при месячном курсе лечения привел к достоверному снижению уровня мочевины и креатинина, тем самым устраняя проявления эндотоксемии у больных хронической болезни почек III стадии диабетической этиологии.</w:t>
      </w:r>
    </w:p>
    <w:p>
      <w:pPr>
        <w:spacing w:after="0" w:line="194" w:lineRule="exact"/>
        <w:rPr>
          <w:sz w:val="20"/>
          <w:szCs w:val="20"/>
          <w:color w:val="auto"/>
        </w:rPr>
      </w:pPr>
    </w:p>
    <w:p>
      <w:pPr>
        <w:ind w:left="980"/>
        <w:spacing w:after="0"/>
        <w:rPr>
          <w:sz w:val="20"/>
          <w:szCs w:val="20"/>
          <w:color w:val="auto"/>
        </w:rPr>
      </w:pPr>
      <w:r>
        <w:rPr>
          <w:rFonts w:ascii="Times New Roman" w:cs="Times New Roman" w:eastAsia="Times New Roman" w:hAnsi="Times New Roman"/>
          <w:sz w:val="22"/>
          <w:szCs w:val="22"/>
          <w:b w:val="1"/>
          <w:bCs w:val="1"/>
          <w:color w:val="auto"/>
        </w:rPr>
        <w:t>ЛИТЕРАТУРА:</w:t>
      </w:r>
    </w:p>
    <w:p>
      <w:pPr>
        <w:spacing w:after="0" w:line="60" w:lineRule="exact"/>
        <w:rPr>
          <w:sz w:val="20"/>
          <w:szCs w:val="20"/>
          <w:color w:val="auto"/>
        </w:rPr>
      </w:pPr>
    </w:p>
    <w:p>
      <w:pPr>
        <w:jc w:val="both"/>
        <w:ind w:left="260" w:firstLine="710"/>
        <w:spacing w:after="0" w:line="231" w:lineRule="auto"/>
        <w:tabs>
          <w:tab w:leader="none" w:pos="1676" w:val="left"/>
        </w:tabs>
        <w:numPr>
          <w:ilvl w:val="0"/>
          <w:numId w:val="4"/>
        </w:numPr>
        <w:rPr>
          <w:rFonts w:ascii="Times New Roman" w:cs="Times New Roman" w:eastAsia="Times New Roman" w:hAnsi="Times New Roman"/>
          <w:sz w:val="28"/>
          <w:szCs w:val="28"/>
          <w:color w:val="auto"/>
        </w:rPr>
      </w:pPr>
      <w:r>
        <w:rPr>
          <w:rFonts w:ascii="Times New Roman" w:cs="Times New Roman" w:eastAsia="Times New Roman" w:hAnsi="Times New Roman"/>
          <w:sz w:val="22"/>
          <w:szCs w:val="22"/>
          <w:color w:val="auto"/>
        </w:rPr>
        <w:t>Добронравов В.А., Смирнов А.В., Драгунов С.В., и др.: Эпидемиология хронической болезни почек в северо-западном регионе России: на пути к созданию регистра// Терапевтический архив. –2004. –№ 9. –с.57-62.</w:t>
      </w:r>
    </w:p>
    <w:p>
      <w:pPr>
        <w:sectPr>
          <w:pgSz w:w="11900" w:h="16838" w:orient="portrait"/>
          <w:cols w:equalWidth="0" w:num="1">
            <w:col w:w="9620"/>
          </w:cols>
          <w:pgMar w:left="1440" w:top="1099" w:right="844" w:bottom="1038" w:gutter="0" w:footer="0" w:header="0"/>
        </w:sectPr>
      </w:pPr>
    </w:p>
    <w:bookmarkStart w:id="3" w:name="page4"/>
    <w:bookmarkEnd w:id="3"/>
    <w:p>
      <w:pPr>
        <w:jc w:val="both"/>
        <w:ind w:left="260" w:firstLine="710"/>
        <w:spacing w:after="0" w:line="231" w:lineRule="auto"/>
        <w:tabs>
          <w:tab w:leader="none" w:pos="1676" w:val="left"/>
        </w:tabs>
        <w:numPr>
          <w:ilvl w:val="0"/>
          <w:numId w:val="5"/>
        </w:numPr>
        <w:rPr>
          <w:rFonts w:ascii="Times New Roman" w:cs="Times New Roman" w:eastAsia="Times New Roman" w:hAnsi="Times New Roman"/>
          <w:sz w:val="28"/>
          <w:szCs w:val="28"/>
          <w:color w:val="auto"/>
        </w:rPr>
      </w:pPr>
      <w:r>
        <w:rPr>
          <w:rFonts w:ascii="Times New Roman" w:cs="Times New Roman" w:eastAsia="Times New Roman" w:hAnsi="Times New Roman"/>
          <w:sz w:val="22"/>
          <w:szCs w:val="22"/>
          <w:color w:val="auto"/>
        </w:rPr>
        <w:t>Козловская Л. В., Милованов Ю. С., Фомин В. В., Милованова Л. Ю. Кардиоренальный анемический синдром: клиническое значение и принципы терапии// Терапевтический архив. –2005. –№ 6. –с.82-87</w:t>
      </w:r>
    </w:p>
    <w:p>
      <w:pPr>
        <w:spacing w:after="0" w:line="19" w:lineRule="exact"/>
        <w:rPr>
          <w:rFonts w:ascii="Times New Roman" w:cs="Times New Roman" w:eastAsia="Times New Roman" w:hAnsi="Times New Roman"/>
          <w:sz w:val="28"/>
          <w:szCs w:val="28"/>
          <w:color w:val="auto"/>
        </w:rPr>
      </w:pPr>
    </w:p>
    <w:p>
      <w:pPr>
        <w:jc w:val="both"/>
        <w:ind w:left="260" w:firstLine="710"/>
        <w:spacing w:after="0" w:line="210" w:lineRule="auto"/>
        <w:tabs>
          <w:tab w:leader="none" w:pos="1676" w:val="left"/>
        </w:tabs>
        <w:numPr>
          <w:ilvl w:val="0"/>
          <w:numId w:val="5"/>
        </w:numPr>
        <w:rPr>
          <w:rFonts w:ascii="Times New Roman" w:cs="Times New Roman" w:eastAsia="Times New Roman" w:hAnsi="Times New Roman"/>
          <w:sz w:val="28"/>
          <w:szCs w:val="28"/>
          <w:color w:val="auto"/>
        </w:rPr>
      </w:pPr>
      <w:r>
        <w:rPr>
          <w:rFonts w:ascii="Times New Roman" w:cs="Times New Roman" w:eastAsia="Times New Roman" w:hAnsi="Times New Roman"/>
          <w:sz w:val="22"/>
          <w:szCs w:val="22"/>
          <w:color w:val="auto"/>
        </w:rPr>
        <w:t>Рациональная фармакотерапия в нефрологии// Руководство для практикующих врачей под общей редакцией Мухина Н.А., Козловской Л.В., Шилова Е.М.//. –М., Издательство. –</w:t>
      </w:r>
    </w:p>
    <w:p>
      <w:pPr>
        <w:ind w:left="260"/>
        <w:spacing w:after="0"/>
        <w:rPr>
          <w:rFonts w:ascii="Times New Roman" w:cs="Times New Roman" w:eastAsia="Times New Roman" w:hAnsi="Times New Roman"/>
          <w:sz w:val="28"/>
          <w:szCs w:val="28"/>
          <w:color w:val="auto"/>
        </w:rPr>
      </w:pPr>
      <w:r>
        <w:rPr>
          <w:rFonts w:ascii="Times New Roman" w:cs="Times New Roman" w:eastAsia="Times New Roman" w:hAnsi="Times New Roman"/>
          <w:sz w:val="22"/>
          <w:szCs w:val="22"/>
          <w:color w:val="auto"/>
        </w:rPr>
        <w:t>.«Литтера».–2006.</w:t>
      </w:r>
    </w:p>
    <w:p>
      <w:pPr>
        <w:spacing w:after="0" w:line="59" w:lineRule="exact"/>
        <w:rPr>
          <w:rFonts w:ascii="Times New Roman" w:cs="Times New Roman" w:eastAsia="Times New Roman" w:hAnsi="Times New Roman"/>
          <w:sz w:val="28"/>
          <w:szCs w:val="28"/>
          <w:color w:val="auto"/>
        </w:rPr>
      </w:pPr>
    </w:p>
    <w:p>
      <w:pPr>
        <w:jc w:val="both"/>
        <w:ind w:left="260" w:firstLine="710"/>
        <w:spacing w:after="0" w:line="210" w:lineRule="auto"/>
        <w:tabs>
          <w:tab w:leader="none" w:pos="1676" w:val="left"/>
        </w:tabs>
        <w:numPr>
          <w:ilvl w:val="0"/>
          <w:numId w:val="5"/>
        </w:numPr>
        <w:rPr>
          <w:rFonts w:ascii="Times New Roman" w:cs="Times New Roman" w:eastAsia="Times New Roman" w:hAnsi="Times New Roman"/>
          <w:sz w:val="28"/>
          <w:szCs w:val="28"/>
          <w:color w:val="auto"/>
        </w:rPr>
      </w:pPr>
      <w:r>
        <w:rPr>
          <w:rFonts w:ascii="Times New Roman" w:cs="Times New Roman" w:eastAsia="Times New Roman" w:hAnsi="Times New Roman"/>
          <w:sz w:val="22"/>
          <w:szCs w:val="22"/>
          <w:color w:val="auto"/>
        </w:rPr>
        <w:t>Сигал В.Е. Состояние заместительной почечной терапии в Республике Татарстан: достижения и проблемы // Медико-фармацевтический вестник Татарстана. — 2006. — № 31 (119)</w:t>
      </w:r>
    </w:p>
    <w:p>
      <w:pPr>
        <w:ind w:left="260"/>
        <w:spacing w:after="0"/>
        <w:rPr>
          <w:rFonts w:ascii="Times New Roman" w:cs="Times New Roman" w:eastAsia="Times New Roman" w:hAnsi="Times New Roman"/>
          <w:sz w:val="28"/>
          <w:szCs w:val="28"/>
          <w:color w:val="auto"/>
        </w:rPr>
      </w:pPr>
      <w:r>
        <w:rPr>
          <w:rFonts w:ascii="Times New Roman" w:cs="Times New Roman" w:eastAsia="Times New Roman" w:hAnsi="Times New Roman"/>
          <w:sz w:val="22"/>
          <w:szCs w:val="22"/>
          <w:color w:val="auto"/>
        </w:rPr>
        <w:t>16.08.2006... — С 6.</w:t>
      </w:r>
    </w:p>
    <w:p>
      <w:pPr>
        <w:spacing w:after="0" w:line="59" w:lineRule="exact"/>
        <w:rPr>
          <w:rFonts w:ascii="Times New Roman" w:cs="Times New Roman" w:eastAsia="Times New Roman" w:hAnsi="Times New Roman"/>
          <w:sz w:val="28"/>
          <w:szCs w:val="28"/>
          <w:color w:val="auto"/>
        </w:rPr>
      </w:pPr>
    </w:p>
    <w:p>
      <w:pPr>
        <w:jc w:val="both"/>
        <w:ind w:left="260" w:right="20" w:firstLine="710"/>
        <w:spacing w:after="0" w:line="231" w:lineRule="auto"/>
        <w:tabs>
          <w:tab w:leader="none" w:pos="1676" w:val="left"/>
        </w:tabs>
        <w:numPr>
          <w:ilvl w:val="0"/>
          <w:numId w:val="5"/>
        </w:numPr>
        <w:rPr>
          <w:rFonts w:ascii="Times New Roman" w:cs="Times New Roman" w:eastAsia="Times New Roman" w:hAnsi="Times New Roman"/>
          <w:sz w:val="28"/>
          <w:szCs w:val="28"/>
          <w:color w:val="auto"/>
        </w:rPr>
      </w:pPr>
      <w:r>
        <w:rPr>
          <w:rFonts w:ascii="Times New Roman" w:cs="Times New Roman" w:eastAsia="Times New Roman" w:hAnsi="Times New Roman"/>
          <w:sz w:val="22"/>
          <w:szCs w:val="22"/>
          <w:color w:val="auto"/>
        </w:rPr>
        <w:t>Сигитова О.Н. и соавт. Анализ заболеваемости хронической почечной недостаточностью в Республике Татарстан / Сигитова О.Н., Надеева Р.А., Закирова В.А., Архипов Е.В., Щербакова А. Г.// Каз.мед.ж. — Т. LХХХIХ. — № 4. — 2008. — С.553-557.</w:t>
      </w:r>
    </w:p>
    <w:p>
      <w:pPr>
        <w:spacing w:after="0" w:line="14" w:lineRule="exact"/>
        <w:rPr>
          <w:rFonts w:ascii="Times New Roman" w:cs="Times New Roman" w:eastAsia="Times New Roman" w:hAnsi="Times New Roman"/>
          <w:sz w:val="28"/>
          <w:szCs w:val="28"/>
          <w:color w:val="auto"/>
        </w:rPr>
      </w:pPr>
    </w:p>
    <w:p>
      <w:pPr>
        <w:jc w:val="both"/>
        <w:ind w:left="260" w:firstLine="710"/>
        <w:spacing w:after="0" w:line="231" w:lineRule="auto"/>
        <w:tabs>
          <w:tab w:leader="none" w:pos="1676" w:val="left"/>
        </w:tabs>
        <w:numPr>
          <w:ilvl w:val="0"/>
          <w:numId w:val="5"/>
        </w:numPr>
        <w:rPr>
          <w:rFonts w:ascii="Times New Roman" w:cs="Times New Roman" w:eastAsia="Times New Roman" w:hAnsi="Times New Roman"/>
          <w:sz w:val="28"/>
          <w:szCs w:val="28"/>
          <w:color w:val="auto"/>
        </w:rPr>
      </w:pPr>
      <w:r>
        <w:rPr>
          <w:rFonts w:ascii="Times New Roman" w:cs="Times New Roman" w:eastAsia="Times New Roman" w:hAnsi="Times New Roman"/>
          <w:sz w:val="22"/>
          <w:szCs w:val="22"/>
          <w:color w:val="auto"/>
        </w:rPr>
        <w:t>Смирнов А.В., Добронравов В.А., Каюков И.Г. и др. Эпидемиология и социально-экономические аспекты хронической болезни почек. // Нефрология. — 2006. — Т10. — №1. — С.7-13.</w:t>
      </w:r>
    </w:p>
    <w:p>
      <w:pPr>
        <w:spacing w:after="0" w:line="2" w:lineRule="exact"/>
        <w:rPr>
          <w:rFonts w:ascii="Times New Roman" w:cs="Times New Roman" w:eastAsia="Times New Roman" w:hAnsi="Times New Roman"/>
          <w:sz w:val="28"/>
          <w:szCs w:val="28"/>
          <w:color w:val="auto"/>
        </w:rPr>
      </w:pPr>
    </w:p>
    <w:p>
      <w:pPr>
        <w:ind w:left="1680" w:hanging="710"/>
        <w:spacing w:after="0" w:line="201" w:lineRule="auto"/>
        <w:tabs>
          <w:tab w:leader="none" w:pos="1680" w:val="left"/>
        </w:tabs>
        <w:numPr>
          <w:ilvl w:val="0"/>
          <w:numId w:val="5"/>
        </w:numPr>
        <w:rPr>
          <w:rFonts w:ascii="Times New Roman" w:cs="Times New Roman" w:eastAsia="Times New Roman" w:hAnsi="Times New Roman"/>
          <w:sz w:val="28"/>
          <w:szCs w:val="28"/>
          <w:color w:val="auto"/>
        </w:rPr>
      </w:pPr>
      <w:r>
        <w:rPr>
          <w:rFonts w:ascii="Times New Roman" w:cs="Times New Roman" w:eastAsia="Times New Roman" w:hAnsi="Times New Roman"/>
          <w:sz w:val="22"/>
          <w:szCs w:val="22"/>
          <w:color w:val="auto"/>
        </w:rPr>
        <w:t>Смирнов А.В., Добронравов В.А., Каюков И.Г., Есаян А.М. Хроническая болезнь</w:t>
      </w:r>
    </w:p>
    <w:p>
      <w:pPr>
        <w:spacing w:after="0" w:line="1" w:lineRule="exact"/>
        <w:rPr>
          <w:rFonts w:ascii="Times New Roman" w:cs="Times New Roman" w:eastAsia="Times New Roman" w:hAnsi="Times New Roman"/>
          <w:sz w:val="28"/>
          <w:szCs w:val="28"/>
          <w:color w:val="auto"/>
        </w:rPr>
      </w:pPr>
    </w:p>
    <w:p>
      <w:pPr>
        <w:ind w:left="260"/>
        <w:spacing w:after="0"/>
        <w:rPr>
          <w:rFonts w:ascii="Times New Roman" w:cs="Times New Roman" w:eastAsia="Times New Roman" w:hAnsi="Times New Roman"/>
          <w:sz w:val="28"/>
          <w:szCs w:val="28"/>
          <w:color w:val="auto"/>
        </w:rPr>
      </w:pPr>
      <w:r>
        <w:rPr>
          <w:rFonts w:ascii="Times New Roman" w:cs="Times New Roman" w:eastAsia="Times New Roman" w:hAnsi="Times New Roman"/>
          <w:sz w:val="22"/>
          <w:szCs w:val="22"/>
          <w:color w:val="auto"/>
        </w:rPr>
        <w:t>почек: дальнейшее развитие концепции и классификации.//Нефрология. –2007. –№ 4. –с.7-18.</w:t>
      </w:r>
    </w:p>
    <w:p>
      <w:pPr>
        <w:spacing w:after="0" w:line="54" w:lineRule="exact"/>
        <w:rPr>
          <w:rFonts w:ascii="Times New Roman" w:cs="Times New Roman" w:eastAsia="Times New Roman" w:hAnsi="Times New Roman"/>
          <w:sz w:val="28"/>
          <w:szCs w:val="28"/>
          <w:color w:val="auto"/>
        </w:rPr>
      </w:pPr>
    </w:p>
    <w:p>
      <w:pPr>
        <w:jc w:val="both"/>
        <w:ind w:left="260" w:right="20" w:firstLine="710"/>
        <w:spacing w:after="0" w:line="231" w:lineRule="auto"/>
        <w:tabs>
          <w:tab w:leader="none" w:pos="1676" w:val="left"/>
        </w:tabs>
        <w:numPr>
          <w:ilvl w:val="0"/>
          <w:numId w:val="5"/>
        </w:numPr>
        <w:rPr>
          <w:rFonts w:ascii="Times New Roman" w:cs="Times New Roman" w:eastAsia="Times New Roman" w:hAnsi="Times New Roman"/>
          <w:sz w:val="28"/>
          <w:szCs w:val="28"/>
          <w:color w:val="auto"/>
        </w:rPr>
      </w:pPr>
      <w:r>
        <w:rPr>
          <w:rFonts w:ascii="Times New Roman" w:cs="Times New Roman" w:eastAsia="Times New Roman" w:hAnsi="Times New Roman"/>
          <w:sz w:val="22"/>
          <w:szCs w:val="22"/>
          <w:color w:val="auto"/>
        </w:rPr>
        <w:t>Томилина Н.А., Бикбов Б.Т.: Эпидемиология хронической почечной недостаточности и новые подходы к классификации и оценке тяжести хронических прогрессирующих заболеваний почек// Терапевтический архив. –2005. –№ 6. –с.87-92</w:t>
      </w:r>
    </w:p>
    <w:p>
      <w:pPr>
        <w:spacing w:after="0" w:line="2" w:lineRule="exact"/>
        <w:rPr>
          <w:rFonts w:ascii="Times New Roman" w:cs="Times New Roman" w:eastAsia="Times New Roman" w:hAnsi="Times New Roman"/>
          <w:sz w:val="28"/>
          <w:szCs w:val="28"/>
          <w:color w:val="auto"/>
        </w:rPr>
      </w:pPr>
    </w:p>
    <w:p>
      <w:pPr>
        <w:ind w:left="1720" w:hanging="750"/>
        <w:spacing w:after="0" w:line="198" w:lineRule="auto"/>
        <w:tabs>
          <w:tab w:leader="none" w:pos="1720" w:val="left"/>
        </w:tabs>
        <w:numPr>
          <w:ilvl w:val="0"/>
          <w:numId w:val="5"/>
        </w:numPr>
        <w:rPr>
          <w:rFonts w:ascii="Times New Roman" w:cs="Times New Roman" w:eastAsia="Times New Roman" w:hAnsi="Times New Roman"/>
          <w:sz w:val="28"/>
          <w:szCs w:val="28"/>
          <w:color w:val="auto"/>
        </w:rPr>
      </w:pPr>
      <w:r>
        <w:rPr>
          <w:rFonts w:ascii="Times New Roman" w:cs="Times New Roman" w:eastAsia="Times New Roman" w:hAnsi="Times New Roman"/>
          <w:sz w:val="22"/>
          <w:szCs w:val="22"/>
          <w:color w:val="auto"/>
        </w:rPr>
        <w:t>K/DOQI: Клинические практические рекомендации по Хроническому заболеванию</w:t>
      </w:r>
    </w:p>
    <w:p>
      <w:pPr>
        <w:ind w:left="260"/>
        <w:spacing w:after="0"/>
        <w:tabs>
          <w:tab w:leader="none" w:pos="1240" w:val="left"/>
          <w:tab w:leader="none" w:pos="2380" w:val="left"/>
          <w:tab w:leader="none" w:pos="4240" w:val="left"/>
          <w:tab w:leader="none" w:pos="4760" w:val="left"/>
          <w:tab w:leader="none" w:pos="6660" w:val="left"/>
          <w:tab w:leader="none" w:pos="7180" w:val="left"/>
          <w:tab w:leader="none" w:pos="8920" w:val="left"/>
        </w:tabs>
        <w:rPr>
          <w:sz w:val="20"/>
          <w:szCs w:val="20"/>
          <w:color w:val="auto"/>
        </w:rPr>
      </w:pPr>
      <w:r>
        <w:rPr>
          <w:rFonts w:ascii="Times New Roman" w:cs="Times New Roman" w:eastAsia="Times New Roman" w:hAnsi="Times New Roman"/>
          <w:sz w:val="22"/>
          <w:szCs w:val="22"/>
          <w:color w:val="auto"/>
        </w:rPr>
        <w:t>почек:</w:t>
      </w:r>
      <w:r>
        <w:rPr>
          <w:sz w:val="20"/>
          <w:szCs w:val="20"/>
          <w:color w:val="auto"/>
        </w:rPr>
        <w:tab/>
      </w:r>
      <w:r>
        <w:rPr>
          <w:rFonts w:ascii="Times New Roman" w:cs="Times New Roman" w:eastAsia="Times New Roman" w:hAnsi="Times New Roman"/>
          <w:sz w:val="22"/>
          <w:szCs w:val="22"/>
          <w:color w:val="auto"/>
        </w:rPr>
        <w:t>Оценка,</w:t>
      </w:r>
      <w:r>
        <w:rPr>
          <w:sz w:val="20"/>
          <w:szCs w:val="20"/>
          <w:color w:val="auto"/>
        </w:rPr>
        <w:tab/>
      </w:r>
      <w:r>
        <w:rPr>
          <w:rFonts w:ascii="Times New Roman" w:cs="Times New Roman" w:eastAsia="Times New Roman" w:hAnsi="Times New Roman"/>
          <w:sz w:val="22"/>
          <w:szCs w:val="22"/>
          <w:color w:val="auto"/>
        </w:rPr>
        <w:t>Классификация</w:t>
      </w:r>
      <w:r>
        <w:rPr>
          <w:sz w:val="20"/>
          <w:szCs w:val="20"/>
          <w:color w:val="auto"/>
        </w:rPr>
        <w:tab/>
      </w:r>
      <w:r>
        <w:rPr>
          <w:rFonts w:ascii="Times New Roman" w:cs="Times New Roman" w:eastAsia="Times New Roman" w:hAnsi="Times New Roman"/>
          <w:sz w:val="22"/>
          <w:szCs w:val="22"/>
          <w:color w:val="auto"/>
        </w:rPr>
        <w:t>и</w:t>
      </w:r>
      <w:r>
        <w:rPr>
          <w:sz w:val="20"/>
          <w:szCs w:val="20"/>
          <w:color w:val="auto"/>
        </w:rPr>
        <w:tab/>
      </w:r>
      <w:r>
        <w:rPr>
          <w:rFonts w:ascii="Times New Roman" w:cs="Times New Roman" w:eastAsia="Times New Roman" w:hAnsi="Times New Roman"/>
          <w:sz w:val="22"/>
          <w:szCs w:val="22"/>
          <w:color w:val="auto"/>
        </w:rPr>
        <w:t>Стратификация</w:t>
      </w:r>
      <w:r>
        <w:rPr>
          <w:sz w:val="20"/>
          <w:szCs w:val="20"/>
          <w:color w:val="auto"/>
        </w:rPr>
        <w:tab/>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2"/>
          <w:szCs w:val="22"/>
          <w:color w:val="auto"/>
        </w:rPr>
        <w:t>[Электронный</w:t>
      </w:r>
      <w:r>
        <w:rPr>
          <w:sz w:val="20"/>
          <w:szCs w:val="20"/>
          <w:color w:val="auto"/>
        </w:rPr>
        <w:tab/>
      </w:r>
      <w:r>
        <w:rPr>
          <w:rFonts w:ascii="Times New Roman" w:cs="Times New Roman" w:eastAsia="Times New Roman" w:hAnsi="Times New Roman"/>
          <w:sz w:val="22"/>
          <w:szCs w:val="22"/>
          <w:color w:val="auto"/>
        </w:rPr>
        <w:t>ресурс,</w:t>
      </w:r>
    </w:p>
    <w:p>
      <w:pPr>
        <w:spacing w:after="0" w:line="1" w:lineRule="exact"/>
        <w:rPr>
          <w:sz w:val="20"/>
          <w:szCs w:val="20"/>
          <w:color w:val="auto"/>
        </w:rPr>
      </w:pPr>
    </w:p>
    <w:p>
      <w:pPr>
        <w:ind w:left="260"/>
        <w:spacing w:after="0"/>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 xml:space="preserve">2002]: </w:t>
      </w:r>
      <w:hyperlink r:id="rId8">
        <w:r>
          <w:rPr>
            <w:rFonts w:ascii="Times New Roman" w:cs="Times New Roman" w:eastAsia="Times New Roman" w:hAnsi="Times New Roman"/>
            <w:sz w:val="22"/>
            <w:szCs w:val="22"/>
            <w:u w:val="single" w:color="auto"/>
            <w:color w:val="auto"/>
          </w:rPr>
          <w:t>http://www.dialysis.ru/standard/doqi-ckd/g7.htm.</w:t>
        </w:r>
      </w:hyperlink>
    </w:p>
    <w:p>
      <w:pPr>
        <w:spacing w:after="0" w:line="60" w:lineRule="exact"/>
        <w:rPr>
          <w:sz w:val="20"/>
          <w:szCs w:val="20"/>
          <w:color w:val="auto"/>
        </w:rPr>
      </w:pPr>
    </w:p>
    <w:p>
      <w:pPr>
        <w:ind w:left="260" w:firstLine="710"/>
        <w:spacing w:after="0" w:line="227" w:lineRule="auto"/>
        <w:tabs>
          <w:tab w:leader="none" w:pos="1676" w:val="left"/>
        </w:tabs>
        <w:numPr>
          <w:ilvl w:val="0"/>
          <w:numId w:val="6"/>
        </w:numPr>
        <w:rPr>
          <w:rFonts w:ascii="Times New Roman" w:cs="Times New Roman" w:eastAsia="Times New Roman" w:hAnsi="Times New Roman"/>
          <w:sz w:val="28"/>
          <w:szCs w:val="28"/>
          <w:color w:val="auto"/>
        </w:rPr>
      </w:pPr>
      <w:r>
        <w:rPr>
          <w:rFonts w:ascii="Times New Roman" w:cs="Times New Roman" w:eastAsia="Times New Roman" w:hAnsi="Times New Roman"/>
          <w:sz w:val="22"/>
          <w:szCs w:val="22"/>
          <w:color w:val="auto"/>
        </w:rPr>
        <w:t>Lameire N, Eknoyan G, et al. A new initiative in nephrology: 'Kidney Disease: Improving Global Outcomes.//Contrib Nephrol. –2005.–Vol.149. –P.90 –99</w:t>
      </w:r>
    </w:p>
    <w:p>
      <w:pPr>
        <w:spacing w:after="0" w:line="17" w:lineRule="exact"/>
        <w:rPr>
          <w:rFonts w:ascii="Times New Roman" w:cs="Times New Roman" w:eastAsia="Times New Roman" w:hAnsi="Times New Roman"/>
          <w:sz w:val="28"/>
          <w:szCs w:val="28"/>
          <w:color w:val="auto"/>
        </w:rPr>
      </w:pPr>
    </w:p>
    <w:p>
      <w:pPr>
        <w:ind w:left="260" w:firstLine="710"/>
        <w:spacing w:after="0" w:line="227" w:lineRule="auto"/>
        <w:tabs>
          <w:tab w:leader="none" w:pos="1676" w:val="left"/>
        </w:tabs>
        <w:numPr>
          <w:ilvl w:val="0"/>
          <w:numId w:val="6"/>
        </w:numPr>
        <w:rPr>
          <w:rFonts w:ascii="Times New Roman" w:cs="Times New Roman" w:eastAsia="Times New Roman" w:hAnsi="Times New Roman"/>
          <w:sz w:val="28"/>
          <w:szCs w:val="28"/>
          <w:color w:val="auto"/>
        </w:rPr>
      </w:pPr>
      <w:r>
        <w:rPr>
          <w:rFonts w:ascii="Times New Roman" w:cs="Times New Roman" w:eastAsia="Times New Roman" w:hAnsi="Times New Roman"/>
          <w:sz w:val="22"/>
          <w:szCs w:val="22"/>
          <w:color w:val="auto"/>
        </w:rPr>
        <w:t>Tanaka H. et al. Metabolic syndrome and chronic kidney disease in Okinawa, Japan // Kidney Int. — 2006. — Vol. 69 (2). — P.369-374.</w:t>
      </w:r>
    </w:p>
    <w:p>
      <w:pPr>
        <w:spacing w:after="0" w:line="17" w:lineRule="exact"/>
        <w:rPr>
          <w:rFonts w:ascii="Times New Roman" w:cs="Times New Roman" w:eastAsia="Times New Roman" w:hAnsi="Times New Roman"/>
          <w:sz w:val="28"/>
          <w:szCs w:val="28"/>
          <w:color w:val="auto"/>
        </w:rPr>
      </w:pPr>
    </w:p>
    <w:p>
      <w:pPr>
        <w:jc w:val="both"/>
        <w:ind w:left="260" w:firstLine="710"/>
        <w:spacing w:after="0" w:line="231" w:lineRule="auto"/>
        <w:tabs>
          <w:tab w:leader="none" w:pos="1676" w:val="left"/>
        </w:tabs>
        <w:numPr>
          <w:ilvl w:val="0"/>
          <w:numId w:val="6"/>
        </w:numPr>
        <w:rPr>
          <w:rFonts w:ascii="Times New Roman" w:cs="Times New Roman" w:eastAsia="Times New Roman" w:hAnsi="Times New Roman"/>
          <w:sz w:val="22"/>
          <w:szCs w:val="22"/>
          <w:color w:val="auto"/>
        </w:rPr>
      </w:pPr>
      <w:hyperlink r:id="rId9">
        <w:r>
          <w:rPr>
            <w:rFonts w:ascii="Times New Roman" w:cs="Times New Roman" w:eastAsia="Times New Roman" w:hAnsi="Times New Roman"/>
            <w:sz w:val="22"/>
            <w:szCs w:val="22"/>
            <w:u w:val="single" w:color="auto"/>
            <w:color w:val="auto"/>
          </w:rPr>
          <w:t>Vavilova T.P</w:t>
        </w:r>
      </w:hyperlink>
      <w:r>
        <w:rPr>
          <w:rFonts w:ascii="Times New Roman" w:cs="Times New Roman" w:eastAsia="Times New Roman" w:hAnsi="Times New Roman"/>
          <w:sz w:val="22"/>
          <w:szCs w:val="22"/>
          <w:color w:val="auto"/>
        </w:rPr>
        <w:t xml:space="preserve">., </w:t>
      </w:r>
      <w:hyperlink r:id="rId10">
        <w:r>
          <w:rPr>
            <w:rFonts w:ascii="Times New Roman" w:cs="Times New Roman" w:eastAsia="Times New Roman" w:hAnsi="Times New Roman"/>
            <w:sz w:val="22"/>
            <w:szCs w:val="22"/>
            <w:u w:val="single" w:color="auto"/>
            <w:color w:val="auto"/>
          </w:rPr>
          <w:t>Geva O.N</w:t>
        </w:r>
      </w:hyperlink>
      <w:r>
        <w:rPr>
          <w:rFonts w:ascii="Times New Roman" w:cs="Times New Roman" w:eastAsia="Times New Roman" w:hAnsi="Times New Roman"/>
          <w:sz w:val="22"/>
          <w:szCs w:val="22"/>
          <w:color w:val="auto"/>
        </w:rPr>
        <w:t xml:space="preserve">., </w:t>
      </w:r>
      <w:hyperlink r:id="rId11">
        <w:r>
          <w:rPr>
            <w:rFonts w:ascii="Times New Roman" w:cs="Times New Roman" w:eastAsia="Times New Roman" w:hAnsi="Times New Roman"/>
            <w:sz w:val="22"/>
            <w:szCs w:val="22"/>
            <w:u w:val="single" w:color="auto"/>
            <w:color w:val="auto"/>
          </w:rPr>
          <w:t>Pushkina A.V</w:t>
        </w:r>
      </w:hyperlink>
      <w:r>
        <w:rPr>
          <w:rFonts w:ascii="Times New Roman" w:cs="Times New Roman" w:eastAsia="Times New Roman" w:hAnsi="Times New Roman"/>
          <w:sz w:val="22"/>
          <w:szCs w:val="22"/>
          <w:color w:val="auto"/>
        </w:rPr>
        <w:t xml:space="preserve">., </w:t>
      </w:r>
      <w:hyperlink r:id="rId12">
        <w:r>
          <w:rPr>
            <w:rFonts w:ascii="Times New Roman" w:cs="Times New Roman" w:eastAsia="Times New Roman" w:hAnsi="Times New Roman"/>
            <w:sz w:val="22"/>
            <w:szCs w:val="22"/>
            <w:u w:val="single" w:color="auto"/>
            <w:color w:val="auto"/>
          </w:rPr>
          <w:t>Tkachev G.A</w:t>
        </w:r>
      </w:hyperlink>
      <w:r>
        <w:rPr>
          <w:rFonts w:ascii="Times New Roman" w:cs="Times New Roman" w:eastAsia="Times New Roman" w:hAnsi="Times New Roman"/>
          <w:sz w:val="22"/>
          <w:szCs w:val="22"/>
          <w:color w:val="auto"/>
        </w:rPr>
        <w:t xml:space="preserve">., </w:t>
      </w:r>
      <w:hyperlink r:id="rId13">
        <w:r>
          <w:rPr>
            <w:rFonts w:ascii="Times New Roman" w:cs="Times New Roman" w:eastAsia="Times New Roman" w:hAnsi="Times New Roman"/>
            <w:sz w:val="22"/>
            <w:szCs w:val="22"/>
            <w:u w:val="single" w:color="auto"/>
            <w:color w:val="auto"/>
          </w:rPr>
          <w:t>Koretskaia N.A</w:t>
        </w:r>
      </w:hyperlink>
      <w:r>
        <w:rPr>
          <w:rFonts w:ascii="Times New Roman" w:cs="Times New Roman" w:eastAsia="Times New Roman" w:hAnsi="Times New Roman"/>
          <w:sz w:val="22"/>
          <w:szCs w:val="22"/>
          <w:color w:val="auto"/>
        </w:rPr>
        <w:t>.: Diagnostic and prognostic value of antioxidant enzyme assay in erythrocytes of patients with end stage renal disease treated with hemodialysis//</w:t>
      </w:r>
      <w:hyperlink r:id="rId14">
        <w:r>
          <w:rPr>
            <w:rFonts w:ascii="Times New Roman" w:cs="Times New Roman" w:eastAsia="Times New Roman" w:hAnsi="Times New Roman"/>
            <w:sz w:val="22"/>
            <w:szCs w:val="22"/>
            <w:u w:val="single" w:color="auto"/>
            <w:color w:val="auto"/>
          </w:rPr>
          <w:t xml:space="preserve">Biomed Khim. </w:t>
        </w:r>
      </w:hyperlink>
      <w:r>
        <w:rPr>
          <w:rFonts w:ascii="Times New Roman" w:cs="Times New Roman" w:eastAsia="Times New Roman" w:hAnsi="Times New Roman"/>
          <w:sz w:val="22"/>
          <w:szCs w:val="22"/>
          <w:color w:val="auto"/>
        </w:rPr>
        <w:t>–2006. –Mar-Apr. –52(2). –P219-22.</w:t>
      </w:r>
    </w:p>
    <w:p>
      <w:pPr>
        <w:spacing w:after="0" w:line="212" w:lineRule="exact"/>
        <w:rPr>
          <w:rFonts w:ascii="Times New Roman" w:cs="Times New Roman" w:eastAsia="Times New Roman" w:hAnsi="Times New Roman"/>
          <w:sz w:val="22"/>
          <w:szCs w:val="22"/>
          <w:color w:val="auto"/>
        </w:rPr>
      </w:pPr>
    </w:p>
    <w:p>
      <w:pPr>
        <w:ind w:left="960"/>
        <w:spacing w:after="0"/>
        <w:rPr>
          <w:sz w:val="20"/>
          <w:szCs w:val="20"/>
          <w:color w:val="auto"/>
        </w:rPr>
      </w:pPr>
      <w:r>
        <w:rPr>
          <w:rFonts w:ascii="Times New Roman" w:cs="Times New Roman" w:eastAsia="Times New Roman" w:hAnsi="Times New Roman"/>
          <w:sz w:val="22"/>
          <w:szCs w:val="22"/>
          <w:b w:val="1"/>
          <w:bCs w:val="1"/>
          <w:color w:val="auto"/>
        </w:rPr>
        <w:t>Сведение об авторов:</w:t>
      </w:r>
    </w:p>
    <w:p>
      <w:pPr>
        <w:jc w:val="both"/>
        <w:ind w:left="260" w:firstLine="710"/>
        <w:spacing w:after="0" w:line="239" w:lineRule="auto"/>
        <w:tabs>
          <w:tab w:leader="none" w:pos="1676" w:val="left"/>
        </w:tabs>
        <w:numPr>
          <w:ilvl w:val="0"/>
          <w:numId w:val="7"/>
        </w:numPr>
        <w:rPr>
          <w:rFonts w:ascii="Times New Roman" w:cs="Times New Roman" w:eastAsia="Times New Roman" w:hAnsi="Times New Roman"/>
          <w:sz w:val="22"/>
          <w:szCs w:val="22"/>
          <w:i w:val="1"/>
          <w:iCs w:val="1"/>
          <w:color w:val="auto"/>
        </w:rPr>
      </w:pPr>
      <w:r>
        <w:rPr>
          <w:rFonts w:ascii="Times New Roman" w:cs="Times New Roman" w:eastAsia="Times New Roman" w:hAnsi="Times New Roman"/>
          <w:sz w:val="22"/>
          <w:szCs w:val="22"/>
          <w:i w:val="1"/>
          <w:iCs w:val="1"/>
          <w:color w:val="auto"/>
        </w:rPr>
        <w:t xml:space="preserve">Шарипова Нилуфар Салохиддиновна </w:t>
      </w:r>
      <w:r>
        <w:rPr>
          <w:rFonts w:ascii="Times New Roman" w:cs="Times New Roman" w:eastAsia="Times New Roman" w:hAnsi="Times New Roman"/>
          <w:sz w:val="22"/>
          <w:szCs w:val="22"/>
          <w:color w:val="auto"/>
        </w:rPr>
        <w:t>студентка магистратуры</w:t>
      </w:r>
      <w:r>
        <w:rPr>
          <w:rFonts w:ascii="Times New Roman" w:cs="Times New Roman" w:eastAsia="Times New Roman" w:hAnsi="Times New Roman"/>
          <w:sz w:val="22"/>
          <w:szCs w:val="22"/>
          <w:i w:val="1"/>
          <w:iCs w:val="1"/>
          <w:color w:val="auto"/>
        </w:rPr>
        <w:t xml:space="preserve"> </w:t>
      </w:r>
      <w:r>
        <w:rPr>
          <w:rFonts w:ascii="Times New Roman" w:cs="Times New Roman" w:eastAsia="Times New Roman" w:hAnsi="Times New Roman"/>
          <w:sz w:val="22"/>
          <w:szCs w:val="22"/>
          <w:color w:val="auto"/>
        </w:rPr>
        <w:t>III</w:t>
      </w:r>
      <w:r>
        <w:rPr>
          <w:rFonts w:ascii="Times New Roman" w:cs="Times New Roman" w:eastAsia="Times New Roman" w:hAnsi="Times New Roman"/>
          <w:sz w:val="22"/>
          <w:szCs w:val="22"/>
          <w:i w:val="1"/>
          <w:iCs w:val="1"/>
          <w:color w:val="auto"/>
        </w:rPr>
        <w:t xml:space="preserve"> </w:t>
      </w:r>
      <w:r>
        <w:rPr>
          <w:rFonts w:ascii="Times New Roman" w:cs="Times New Roman" w:eastAsia="Times New Roman" w:hAnsi="Times New Roman"/>
          <w:sz w:val="22"/>
          <w:szCs w:val="22"/>
          <w:color w:val="auto"/>
        </w:rPr>
        <w:t>года обучения по</w:t>
      </w:r>
      <w:r>
        <w:rPr>
          <w:rFonts w:ascii="Times New Roman" w:cs="Times New Roman" w:eastAsia="Times New Roman" w:hAnsi="Times New Roman"/>
          <w:sz w:val="22"/>
          <w:szCs w:val="22"/>
          <w:i w:val="1"/>
          <w:iCs w:val="1"/>
          <w:color w:val="auto"/>
        </w:rPr>
        <w:t xml:space="preserve"> </w:t>
      </w:r>
      <w:r>
        <w:rPr>
          <w:rFonts w:ascii="Times New Roman" w:cs="Times New Roman" w:eastAsia="Times New Roman" w:hAnsi="Times New Roman"/>
          <w:sz w:val="22"/>
          <w:szCs w:val="22"/>
          <w:color w:val="auto"/>
        </w:rPr>
        <w:t>специальности 5А-510-103 «Терапия-Внутренние болезни» кафедры факультетской и госпитальной терапии медико-педагогического факультета ТМА.</w:t>
      </w:r>
    </w:p>
    <w:p>
      <w:pPr>
        <w:spacing w:after="0" w:line="2" w:lineRule="exact"/>
        <w:rPr>
          <w:rFonts w:ascii="Times New Roman" w:cs="Times New Roman" w:eastAsia="Times New Roman" w:hAnsi="Times New Roman"/>
          <w:sz w:val="22"/>
          <w:szCs w:val="22"/>
          <w:i w:val="1"/>
          <w:iCs w:val="1"/>
          <w:color w:val="auto"/>
        </w:rPr>
      </w:pPr>
    </w:p>
    <w:p>
      <w:pPr>
        <w:ind w:left="260" w:firstLine="710"/>
        <w:spacing w:after="0" w:line="281" w:lineRule="auto"/>
        <w:tabs>
          <w:tab w:leader="none" w:pos="1676" w:val="left"/>
        </w:tabs>
        <w:numPr>
          <w:ilvl w:val="0"/>
          <w:numId w:val="7"/>
        </w:numPr>
        <w:rPr>
          <w:rFonts w:ascii="Times New Roman" w:cs="Times New Roman" w:eastAsia="Times New Roman" w:hAnsi="Times New Roman"/>
          <w:sz w:val="22"/>
          <w:szCs w:val="22"/>
          <w:i w:val="1"/>
          <w:iCs w:val="1"/>
          <w:color w:val="auto"/>
        </w:rPr>
      </w:pPr>
      <w:r>
        <w:rPr>
          <w:rFonts w:ascii="Times New Roman" w:cs="Times New Roman" w:eastAsia="Times New Roman" w:hAnsi="Times New Roman"/>
          <w:sz w:val="22"/>
          <w:szCs w:val="22"/>
          <w:i w:val="1"/>
          <w:iCs w:val="1"/>
          <w:color w:val="auto"/>
        </w:rPr>
        <w:t xml:space="preserve">Жаббаров Азим Атаханович </w:t>
      </w:r>
      <w:r>
        <w:rPr>
          <w:rFonts w:ascii="Times New Roman" w:cs="Times New Roman" w:eastAsia="Times New Roman" w:hAnsi="Times New Roman"/>
          <w:sz w:val="22"/>
          <w:szCs w:val="22"/>
          <w:color w:val="auto"/>
        </w:rPr>
        <w:t>к.м.н., доцент кафедры факультетской и госпитальной</w:t>
      </w:r>
      <w:r>
        <w:rPr>
          <w:rFonts w:ascii="Times New Roman" w:cs="Times New Roman" w:eastAsia="Times New Roman" w:hAnsi="Times New Roman"/>
          <w:sz w:val="22"/>
          <w:szCs w:val="22"/>
          <w:i w:val="1"/>
          <w:iCs w:val="1"/>
          <w:color w:val="auto"/>
        </w:rPr>
        <w:t xml:space="preserve"> </w:t>
      </w:r>
      <w:r>
        <w:rPr>
          <w:rFonts w:ascii="Times New Roman" w:cs="Times New Roman" w:eastAsia="Times New Roman" w:hAnsi="Times New Roman"/>
          <w:sz w:val="22"/>
          <w:szCs w:val="22"/>
          <w:color w:val="auto"/>
        </w:rPr>
        <w:t>терапии медико-педагогического факультета ТМА.</w:t>
      </w:r>
    </w:p>
    <w:p>
      <w:pPr>
        <w:spacing w:after="0" w:line="166" w:lineRule="exact"/>
        <w:rPr>
          <w:rFonts w:ascii="Times New Roman" w:cs="Times New Roman" w:eastAsia="Times New Roman" w:hAnsi="Times New Roman"/>
          <w:sz w:val="22"/>
          <w:szCs w:val="22"/>
          <w:color w:val="auto"/>
        </w:rPr>
      </w:pPr>
    </w:p>
    <w:p>
      <w:pPr>
        <w:ind w:left="960"/>
        <w:spacing w:after="0"/>
        <w:rPr>
          <w:sz w:val="20"/>
          <w:szCs w:val="20"/>
          <w:color w:val="auto"/>
        </w:rPr>
      </w:pPr>
      <w:r>
        <w:rPr>
          <w:rFonts w:ascii="Times New Roman" w:cs="Times New Roman" w:eastAsia="Times New Roman" w:hAnsi="Times New Roman"/>
          <w:sz w:val="22"/>
          <w:szCs w:val="22"/>
          <w:color w:val="auto"/>
        </w:rPr>
        <w:t>Анкета: Шарипова Нилуфар Салохиддиновна 14/01/1991г.р. Адрес: город Ташкент район</w:t>
      </w:r>
    </w:p>
    <w:p>
      <w:pPr>
        <w:spacing w:after="0" w:line="1" w:lineRule="exact"/>
        <w:rPr>
          <w:rFonts w:ascii="Times New Roman" w:cs="Times New Roman" w:eastAsia="Times New Roman" w:hAnsi="Times New Roman"/>
          <w:sz w:val="22"/>
          <w:szCs w:val="22"/>
          <w:color w:val="auto"/>
        </w:rPr>
      </w:pPr>
    </w:p>
    <w:p>
      <w:pPr>
        <w:ind w:left="260"/>
        <w:spacing w:after="0"/>
        <w:rPr>
          <w:sz w:val="20"/>
          <w:szCs w:val="20"/>
          <w:color w:val="auto"/>
        </w:rPr>
      </w:pPr>
      <w:r>
        <w:rPr>
          <w:rFonts w:ascii="Times New Roman" w:cs="Times New Roman" w:eastAsia="Times New Roman" w:hAnsi="Times New Roman"/>
          <w:sz w:val="22"/>
          <w:szCs w:val="22"/>
          <w:color w:val="auto"/>
        </w:rPr>
        <w:t>Яшнабадский, 2/66, сот: +99890-941-06-29.</w:t>
      </w:r>
    </w:p>
    <w:sectPr>
      <w:pgSz w:w="11900" w:h="16838" w:orient="portrait"/>
      <w:cols w:equalWidth="0" w:num="1">
        <w:col w:w="9620"/>
      </w:cols>
      <w:pgMar w:left="1440" w:top="1157" w:right="844" w:bottom="1440" w:gutter="0" w:footer="0" w:header="0"/>
    </w:sectPr>
  </w:body>
</w:document>
</file>

<file path=word/fontTable.xml><?xml version="1.0" encoding="utf-8"?>
<w:font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http://schemas.openxmlformats.org/wordprocessingml/2006/main">
  <w:abstractNum w:abstractNumId="0">
    <w:nsid w:val="625558EC"/>
    <w:multiLevelType w:val="hybridMultilevel"/>
    <w:lvl w:ilvl="0">
      <w:lvlJc w:val="left"/>
      <w:lvlText w:val="и"/>
      <w:numFmt w:val="bullet"/>
      <w:start w:val="1"/>
    </w:lvl>
  </w:abstractNum>
  <w:abstractNum w:abstractNumId="1">
    <w:nsid w:val="238E1F29"/>
    <w:multiLevelType w:val="hybridMultilevel"/>
    <w:lvl w:ilvl="0">
      <w:lvlJc w:val="left"/>
      <w:lvlText w:val="с"/>
      <w:numFmt w:val="bullet"/>
      <w:start w:val="1"/>
    </w:lvl>
  </w:abstractNum>
  <w:abstractNum w:abstractNumId="2">
    <w:nsid w:val="46E87CCD"/>
    <w:multiLevelType w:val="hybridMultilevel"/>
    <w:lvl w:ilvl="0">
      <w:lvlJc w:val="left"/>
      <w:lvlText w:val="%1."/>
      <w:numFmt w:val="decimal"/>
      <w:start w:val="1"/>
    </w:lvl>
  </w:abstractNum>
  <w:abstractNum w:abstractNumId="3">
    <w:nsid w:val="3D1B58BA"/>
    <w:multiLevelType w:val="hybridMultilevel"/>
    <w:lvl w:ilvl="0">
      <w:lvlJc w:val="left"/>
      <w:lvlText w:val="%1."/>
      <w:numFmt w:val="decimal"/>
      <w:start w:val="1"/>
    </w:lvl>
  </w:abstractNum>
  <w:abstractNum w:abstractNumId="4">
    <w:nsid w:val="507ED7AB"/>
    <w:multiLevelType w:val="hybridMultilevel"/>
    <w:lvl w:ilvl="0">
      <w:lvlJc w:val="left"/>
      <w:lvlText w:val="%1."/>
      <w:numFmt w:val="decimal"/>
      <w:start w:val="2"/>
    </w:lvl>
  </w:abstractNum>
  <w:abstractNum w:abstractNumId="5">
    <w:nsid w:val="2EB141F2"/>
    <w:multiLevelType w:val="hybridMultilevel"/>
    <w:lvl w:ilvl="0">
      <w:lvlJc w:val="left"/>
      <w:lvlText w:val="%1."/>
      <w:numFmt w:val="decimal"/>
      <w:start w:val="10"/>
    </w:lvl>
  </w:abstractNum>
  <w:abstractNum w:abstractNumId="6">
    <w:nsid w:val="41B71EFB"/>
    <w:multiLevelType w:val="hybridMultilevel"/>
    <w:lvl w:ilvl="0">
      <w:lvlJc w:val="left"/>
      <w:lvlText w:val="%1."/>
      <w:numFmt w:val="decimal"/>
      <w:start w:val="1"/>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w="http://schemas.openxmlformats.org/wordprocessingml/2006/main">
  <w:docDefaults>
    <w:rPrDefault>
      <w:rPr>
        <w:rFonts w:eastAsiaTheme="minorEastAsia"/>
        <w:sz w:val="22"/>
        <w:szCs w:val="22"/>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Layout w:type="fixed"/>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numbering" Target="numbering.xml"/><Relationship Id="rId8" Type="http://schemas.openxmlformats.org/officeDocument/2006/relationships/hyperlink" Target="http://www.dialysis.ru/standard/doqi-ckd/g7.htm" TargetMode="External"/><Relationship Id="rId9" Type="http://schemas.openxmlformats.org/officeDocument/2006/relationships/hyperlink" Target="http://www.ncbi.nlm.nih.gov/entrez/query.fcgi?db=pubmed&amp;cmd=Search&amp;itool=pubmed_Abstract&amp;term=%22Vavilova+TP%22%5BAuthor%5D" TargetMode="External"/><Relationship Id="rId10" Type="http://schemas.openxmlformats.org/officeDocument/2006/relationships/hyperlink" Target="http://www.ncbi.nlm.nih.gov/entrez/query.fcgi?db=pubmed&amp;cmd=Search&amp;itool=pubmed_Abstract&amp;term=%22Geva+ON%22%5BAuthor%5D" TargetMode="External"/><Relationship Id="rId11" Type="http://schemas.openxmlformats.org/officeDocument/2006/relationships/hyperlink" Target="http://www.ncbi.nlm.nih.gov/entrez/query.fcgi?db=pubmed&amp;cmd=Search&amp;itool=pubmed_Abstract&amp;term=%22Pushkina+AV%22%5BAuthor%5D" TargetMode="External"/><Relationship Id="rId12" Type="http://schemas.openxmlformats.org/officeDocument/2006/relationships/hyperlink" Target="http://www.ncbi.nlm.nih.gov/entrez/query.fcgi?db=pubmed&amp;cmd=Search&amp;itool=pubmed_Abstract&amp;term=%22Tkachev+GA%22%5BAuthor%5D" TargetMode="External"/><Relationship Id="rId13" Type="http://schemas.openxmlformats.org/officeDocument/2006/relationships/hyperlink" Target="http://www.ncbi.nlm.nih.gov/entrez/query.fcgi?db=pubmed&amp;cmd=Search&amp;itool=pubmed_Abstract&amp;term=%22Koretskaia+NA%22%5BAuthor%5D" TargetMode="External"/><Relationship Id="rId14" Type="http://schemas.openxmlformats.org/officeDocument/2006/relationships/hyperlink" Target="javascript:AL_get(this,%20'jour',%20'Biomed%20Khim.');" TargetMode="External"/></Relationships>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3</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2018-08-26T06:20:22Z</dcterms:created>
  <dcterms:modified xsi:type="dcterms:W3CDTF">2018-08-26T06:20:22Z</dcterms:modified>
</cp:coreProperties>
</file>