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ind w:left="4300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8"/>
          <w:szCs w:val="18"/>
          <w:b w:val="1"/>
          <w:bCs w:val="1"/>
          <w:color w:val="FFFFFF"/>
        </w:rPr>
        <w:t>Передовая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2733040</wp:posOffset>
                </wp:positionH>
                <wp:positionV relativeFrom="paragraph">
                  <wp:posOffset>-106680</wp:posOffset>
                </wp:positionV>
                <wp:extent cx="816610" cy="112395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610" cy="1123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" o:spid="_x0000_s1026" style="position:absolute;margin-left:215.2pt;margin-top:-8.3999pt;width:64.3pt;height:8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pacing w:after="0" w:line="53" w:lineRule="exact"/>
        <w:rPr>
          <w:sz w:val="24"/>
          <w:szCs w:val="24"/>
          <w:color w:val="auto"/>
        </w:rPr>
      </w:pPr>
    </w:p>
    <w:p>
      <w:pPr>
        <w:ind w:right="1500"/>
        <w:spacing w:after="0" w:line="256" w:lineRule="auto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38"/>
          <w:szCs w:val="38"/>
          <w:b w:val="1"/>
          <w:bCs w:val="1"/>
          <w:color w:val="auto"/>
        </w:rPr>
        <w:t>Свободнорадикальные механизмы повреждения при болезнях органов дыхания</w:t>
      </w:r>
    </w:p>
    <w:p>
      <w:pPr>
        <w:ind w:left="720"/>
        <w:spacing w:after="0" w:line="293" w:lineRule="exact"/>
        <w:rPr>
          <w:sz w:val="20"/>
          <w:szCs w:val="20"/>
          <w:color w:val="auto"/>
        </w:rPr>
      </w:pPr>
      <w:r>
        <w:rPr>
          <w:rFonts w:ascii="Arial Unicode MS" w:cs="Arial Unicode MS" w:eastAsia="Arial Unicode MS" w:hAnsi="Arial Unicode MS"/>
          <w:sz w:val="22"/>
          <w:szCs w:val="22"/>
          <w:b w:val="1"/>
          <w:bCs w:val="1"/>
          <w:i w:val="1"/>
          <w:iCs w:val="1"/>
          <w:color w:val="auto"/>
        </w:rPr>
        <w:t xml:space="preserve">Автор: </w:t>
      </w:r>
      <w:r>
        <w:rPr>
          <w:rFonts w:ascii="Arial Unicode MS" w:cs="Arial Unicode MS" w:eastAsia="Arial Unicode MS" w:hAnsi="Arial Unicode MS"/>
          <w:sz w:val="22"/>
          <w:szCs w:val="22"/>
          <w:i w:val="1"/>
          <w:iCs w:val="1"/>
          <w:color w:val="auto"/>
        </w:rPr>
        <w:t>С.К.Соодаева</w:t>
      </w:r>
    </w:p>
    <w:p>
      <w:pPr>
        <w:spacing w:after="0" w:line="1" w:lineRule="exact"/>
        <w:rPr>
          <w:sz w:val="24"/>
          <w:szCs w:val="24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1"/>
          <w:szCs w:val="21"/>
          <w:color w:val="auto"/>
        </w:rPr>
        <w:t>ФГУ "НИИ пульмонологии" ФМБА России: 105077, Москва, ул. 11-Парковая, 32, корп. 4</w:t>
      </w:r>
    </w:p>
    <w:p>
      <w:pPr>
        <w:spacing w:after="0" w:line="234" w:lineRule="exact"/>
        <w:rPr>
          <w:sz w:val="24"/>
          <w:szCs w:val="24"/>
          <w:color w:val="auto"/>
        </w:rPr>
      </w:pP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i w:val="1"/>
          <w:iCs w:val="1"/>
          <w:color w:val="auto"/>
        </w:rPr>
        <w:t>Author: S.K.Soodaeva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38"/>
          <w:szCs w:val="38"/>
          <w:b w:val="1"/>
          <w:bCs w:val="1"/>
          <w:color w:val="auto"/>
        </w:rPr>
        <w:t>Free radical mechanisms of injury in respiratory disease</w:t>
      </w:r>
    </w:p>
    <w:p>
      <w:pPr>
        <w:spacing w:after="0" w:line="283" w:lineRule="exact"/>
        <w:rPr>
          <w:sz w:val="24"/>
          <w:szCs w:val="24"/>
          <w:color w:val="auto"/>
        </w:rPr>
      </w:pPr>
    </w:p>
    <w:p>
      <w:pPr>
        <w:jc w:val="both"/>
        <w:ind w:left="2540" w:right="20"/>
        <w:spacing w:after="0" w:line="24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b w:val="1"/>
          <w:bCs w:val="1"/>
          <w:color w:val="auto"/>
        </w:rPr>
        <w:t xml:space="preserve">Key words: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free radicals, reactive oxygen and nitrous species, nitric oxide metabolites, exhaled breath condensate,</w:t>
      </w:r>
      <w:r>
        <w:rPr>
          <w:rFonts w:ascii="Times New Roman" w:cs="Times New Roman" w:eastAsia="Times New Roman" w:hAnsi="Times New Roman"/>
          <w:sz w:val="16"/>
          <w:szCs w:val="16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chronic obstructive pulmonary disease, antioxidant therapy.</w:t>
      </w:r>
    </w:p>
    <w:p>
      <w:pPr>
        <w:jc w:val="both"/>
        <w:ind w:left="2540" w:right="20"/>
        <w:spacing w:after="0" w:line="26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b w:val="1"/>
          <w:bCs w:val="1"/>
          <w:color w:val="auto"/>
        </w:rPr>
        <w:t xml:space="preserve">Ключевые слова: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свободнорадикальные процессы,</w:t>
      </w:r>
      <w:r>
        <w:rPr>
          <w:rFonts w:ascii="Times New Roman" w:cs="Times New Roman" w:eastAsia="Times New Roman" w:hAnsi="Times New Roman"/>
          <w:sz w:val="16"/>
          <w:szCs w:val="16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активные формы кислорода и азота,</w:t>
      </w:r>
      <w:r>
        <w:rPr>
          <w:rFonts w:ascii="Times New Roman" w:cs="Times New Roman" w:eastAsia="Times New Roman" w:hAnsi="Times New Roman"/>
          <w:sz w:val="16"/>
          <w:szCs w:val="16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метаболиты оксида</w:t>
      </w:r>
      <w:r>
        <w:rPr>
          <w:rFonts w:ascii="Times New Roman" w:cs="Times New Roman" w:eastAsia="Times New Roman" w:hAnsi="Times New Roman"/>
          <w:sz w:val="16"/>
          <w:szCs w:val="16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азота, конденсат выдыхаемого воздуха, хроническая обструктивная болезнь легких, антиоксидантная терапи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4" w:lineRule="exact"/>
        <w:rPr>
          <w:sz w:val="24"/>
          <w:szCs w:val="24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Свободнорадикальное окисление и генерация активных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этому "высокая окислительная способность кислорода,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форм  кислорода  (АФК)  —  процессы,  свойственные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необходимая для его функционирования в дыхательной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метаболизму   любых   живых   организмов.   АФК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системе, из добра превращается в зло, если принять во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образуются  в  ходе  нормального  аэробного  дыхания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внимание   возможность   "паразитных"   химических</w:t>
            </w:r>
          </w:p>
        </w:tc>
      </w:tr>
      <w:tr>
        <w:trPr>
          <w:trHeight w:val="230"/>
        </w:trPr>
        <w:tc>
          <w:tcPr>
            <w:tcW w:w="1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митохондрий,</w:t>
            </w:r>
          </w:p>
        </w:tc>
        <w:tc>
          <w:tcPr>
            <w:tcW w:w="1160" w:type="dxa"/>
            <w:vAlign w:val="bottom"/>
          </w:tcPr>
          <w:p>
            <w:pPr>
              <w:ind w:left="4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при</w:t>
            </w:r>
          </w:p>
        </w:tc>
        <w:tc>
          <w:tcPr>
            <w:tcW w:w="1500" w:type="dxa"/>
            <w:vAlign w:val="bottom"/>
          </w:tcPr>
          <w:p>
            <w:pPr>
              <w:jc w:val="right"/>
              <w:ind w:right="7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"дыхательном</w:t>
            </w:r>
          </w:p>
        </w:tc>
        <w:tc>
          <w:tcPr>
            <w:tcW w:w="10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взрыве"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реакций  окисления  кислородом  различных  веществ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фагоцитирующих  клеток,  в  процессе  метаболизма</w:t>
            </w:r>
          </w:p>
        </w:tc>
        <w:tc>
          <w:tcPr>
            <w:tcW w:w="202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живой клетки" [1].</w:t>
            </w:r>
          </w:p>
        </w:tc>
        <w:tc>
          <w:tcPr>
            <w:tcW w:w="9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28"/>
        </w:trPr>
        <w:tc>
          <w:tcPr>
            <w:tcW w:w="4940" w:type="dxa"/>
            <w:vAlign w:val="bottom"/>
            <w:gridSpan w:val="4"/>
          </w:tcPr>
          <w:p>
            <w:pPr>
              <w:spacing w:after="0" w:line="22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арахидоновой кислоты, аутоокисления катехоламинов и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jc w:val="right"/>
              <w:spacing w:after="0" w:line="22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Образование АФК — тонкий процесс, регулируемый</w:t>
            </w:r>
          </w:p>
        </w:tc>
      </w:tr>
      <w:tr>
        <w:trPr>
          <w:trHeight w:val="230"/>
        </w:trPr>
        <w:tc>
          <w:tcPr>
            <w:tcW w:w="1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т. д. [1].</w:t>
            </w: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5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организмом.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Живые системы располагают глубоко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В норме АФК необходимы для реализации многих</w:t>
            </w:r>
          </w:p>
        </w:tc>
        <w:tc>
          <w:tcPr>
            <w:tcW w:w="202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эшелонированной</w:t>
            </w:r>
          </w:p>
        </w:tc>
        <w:tc>
          <w:tcPr>
            <w:tcW w:w="960" w:type="dxa"/>
            <w:vAlign w:val="bottom"/>
          </w:tcPr>
          <w:p>
            <w:pPr>
              <w:ind w:left="1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  <w:w w:val="98"/>
              </w:rPr>
              <w:t>системой</w:t>
            </w:r>
          </w:p>
        </w:tc>
        <w:tc>
          <w:tcPr>
            <w:tcW w:w="19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антиоксидантной</w:t>
            </w:r>
          </w:p>
        </w:tc>
      </w:tr>
      <w:tr>
        <w:trPr>
          <w:trHeight w:val="230"/>
        </w:trPr>
        <w:tc>
          <w:tcPr>
            <w:tcW w:w="1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важнейших</w:t>
            </w:r>
          </w:p>
        </w:tc>
        <w:tc>
          <w:tcPr>
            <w:tcW w:w="374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физиологических   и   метаболических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  <w:w w:val="99"/>
              </w:rPr>
              <w:t>защиты (АОЗ), которая поддерживает концентрацию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процессов  в  организме,  таких  как  регуляция  вну-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 xml:space="preserve">АФК  на  стационарном  безопасном  уровне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[1].</w:t>
            </w:r>
          </w:p>
        </w:tc>
      </w:tr>
      <w:tr>
        <w:trPr>
          <w:trHeight w:val="226"/>
        </w:trPr>
        <w:tc>
          <w:tcPr>
            <w:tcW w:w="4940" w:type="dxa"/>
            <w:vAlign w:val="bottom"/>
            <w:gridSpan w:val="4"/>
          </w:tcPr>
          <w:p>
            <w:pPr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триклеточных процессов, обмен веществ, аккумуляция и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Функциональная недостаточность АОЗ ведет к про-</w:t>
            </w:r>
          </w:p>
        </w:tc>
      </w:tr>
      <w:tr>
        <w:trPr>
          <w:trHeight w:val="233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биотрансформация энергии, ферментативный катализ,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  <w:w w:val="99"/>
              </w:rPr>
              <w:t>рыву лавины АФК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9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  <w:w w:val="99"/>
              </w:rPr>
              <w:t xml:space="preserve">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9"/>
              </w:rPr>
              <w:t>что вызывает нарушение защитных</w:t>
            </w:r>
          </w:p>
        </w:tc>
      </w:tr>
      <w:tr>
        <w:trPr>
          <w:trHeight w:val="228"/>
        </w:trPr>
        <w:tc>
          <w:tcPr>
            <w:tcW w:w="4940" w:type="dxa"/>
            <w:vAlign w:val="bottom"/>
            <w:gridSpan w:val="4"/>
          </w:tcPr>
          <w:p>
            <w:pPr>
              <w:spacing w:after="0" w:line="22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передача  информации,  экспрессия  генов,  деление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 w:line="22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  регуляторных  функций,  процессов  биоэнергетики,</w:t>
            </w:r>
          </w:p>
        </w:tc>
      </w:tr>
      <w:tr>
        <w:trPr>
          <w:trHeight w:val="233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клеток, иммунный и адаптивный ответы и т. д. [2]. АФК,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пролиферации клеток, а также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индукции апоптоза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</w:p>
        </w:tc>
      </w:tr>
      <w:tr>
        <w:trPr>
          <w:trHeight w:val="228"/>
        </w:trPr>
        <w:tc>
          <w:tcPr>
            <w:tcW w:w="4940" w:type="dxa"/>
            <w:vAlign w:val="bottom"/>
            <w:gridSpan w:val="4"/>
          </w:tcPr>
          <w:p>
            <w:pPr>
              <w:spacing w:after="0" w:line="22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генерируемые фагоцитами, имеют ключевое значение в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 w:line="22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Кроме   того,   высокотоксичные   АФК   вызывают</w:t>
            </w:r>
          </w:p>
        </w:tc>
      </w:tr>
      <w:tr>
        <w:trPr>
          <w:trHeight w:val="233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защите организма от чужеродных объектов, оказывая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канцерогенные и мутагенные эффекты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микробицидное действие [3]. Таким образом, генерация</w:t>
            </w:r>
          </w:p>
        </w:tc>
        <w:tc>
          <w:tcPr>
            <w:tcW w:w="1460" w:type="dxa"/>
            <w:vAlign w:val="bottom"/>
          </w:tcPr>
          <w:p>
            <w:pPr>
              <w:ind w:left="4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Чрезмерная</w:t>
            </w:r>
          </w:p>
        </w:tc>
        <w:tc>
          <w:tcPr>
            <w:tcW w:w="1520" w:type="dxa"/>
            <w:vAlign w:val="bottom"/>
            <w:gridSpan w:val="2"/>
          </w:tcPr>
          <w:p>
            <w:pPr>
              <w:ind w:left="3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активация</w:t>
            </w:r>
          </w:p>
        </w:tc>
        <w:tc>
          <w:tcPr>
            <w:tcW w:w="19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свободнорадикального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АФК является важным защитным механизмом, лежащим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окисления  является  типовым  патологическим  про-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в основе неспецифического иммунитета. Также АФК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цессом,  встречающимся  при  самых  различных  по-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принимают   участие   в   реакциях   детоксикации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вреждающих воздействиях на организм и заболеваниях.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ксенобиотиков,   биосинтеза   биологически   важных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Избыточная продукция АФК, особенно в сочетании</w:t>
            </w:r>
          </w:p>
        </w:tc>
      </w:tr>
      <w:tr>
        <w:trPr>
          <w:trHeight w:val="230"/>
        </w:trPr>
        <w:tc>
          <w:tcPr>
            <w:tcW w:w="1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молекул и др.</w:t>
            </w:r>
          </w:p>
        </w:tc>
        <w:tc>
          <w:tcPr>
            <w:tcW w:w="11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5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  <w:tc>
          <w:tcPr>
            <w:tcW w:w="202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с  недостаточностью</w:t>
            </w:r>
          </w:p>
        </w:tc>
        <w:tc>
          <w:tcPr>
            <w:tcW w:w="29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компенсаторных  возможностей</w:t>
            </w:r>
          </w:p>
        </w:tc>
      </w:tr>
      <w:tr>
        <w:trPr>
          <w:trHeight w:val="226"/>
        </w:trPr>
        <w:tc>
          <w:tcPr>
            <w:tcW w:w="4940" w:type="dxa"/>
            <w:vAlign w:val="bottom"/>
            <w:gridSpan w:val="4"/>
          </w:tcPr>
          <w:p>
            <w:pPr>
              <w:jc w:val="right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Общеизвестно,  что  АФК  являются  химически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 w:line="226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систем антиоксидантной защиты, способна приводить к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высокоактивными  частицами,  легко  вступающими  в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развитию   новых   и   /   или   усугублению   уже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реакции с самыми разнообразными классами веществ.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существующих патологических изменений в организме.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Поэтому многие биологически значимые компоненты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Следовательно, повреждающее действие АФК является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живых тканей — липиды, белки, нуклеиновые кислоты,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значимым  фактором  развития  и  прогрессирования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углеводы — могут легко подвергаться окислительной</w:t>
            </w:r>
          </w:p>
        </w:tc>
        <w:tc>
          <w:tcPr>
            <w:tcW w:w="2980" w:type="dxa"/>
            <w:vAlign w:val="bottom"/>
            <w:gridSpan w:val="3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различных заболеваний.</w:t>
            </w:r>
          </w:p>
        </w:tc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</w:p>
        </w:tc>
      </w:tr>
      <w:tr>
        <w:trPr>
          <w:trHeight w:val="227"/>
        </w:trPr>
        <w:tc>
          <w:tcPr>
            <w:tcW w:w="4940" w:type="dxa"/>
            <w:vAlign w:val="bottom"/>
            <w:gridSpan w:val="4"/>
          </w:tcPr>
          <w:p>
            <w:pPr>
              <w:spacing w:after="0" w:line="22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модификации.   Показано,   что   в   силу   высокой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jc w:val="right"/>
              <w:spacing w:after="0" w:line="228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Дисбаланс в системе "оксиданты—антиоксиданты",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реакционной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способности  АФК могут необратимо</w:t>
            </w:r>
          </w:p>
        </w:tc>
        <w:tc>
          <w:tcPr>
            <w:tcW w:w="1460" w:type="dxa"/>
            <w:vAlign w:val="bottom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обусловленый</w:t>
            </w:r>
          </w:p>
        </w:tc>
        <w:tc>
          <w:tcPr>
            <w:tcW w:w="3500" w:type="dxa"/>
            <w:vAlign w:val="bottom"/>
            <w:gridSpan w:val="3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чрезмерным  повышением  продукции</w:t>
            </w:r>
          </w:p>
        </w:tc>
      </w:tr>
      <w:tr>
        <w:trPr>
          <w:trHeight w:val="231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повреждать такие биологически важные молекулы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АФК и / или снижением активности АОЗ, способствует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как  ДНК,  РНК,  белки,  липиды,  что  приводит  к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 xml:space="preserve">развитию  оксидативного  стресса 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(ОС)  [1,  2].</w:t>
            </w:r>
          </w:p>
        </w:tc>
      </w:tr>
      <w:tr>
        <w:trPr>
          <w:trHeight w:val="229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нарушению   структуры   и   функции   биомембран,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Необходимо отметить, что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на сегодняшний день ОС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разрушению различных клеток и тканей,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в том числе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  <w:w w:val="99"/>
              </w:rPr>
              <w:t>следует рассматривать как неспецифический патоло-</w:t>
            </w:r>
          </w:p>
        </w:tc>
      </w:tr>
      <w:tr>
        <w:trPr>
          <w:trHeight w:val="227"/>
        </w:trPr>
        <w:tc>
          <w:tcPr>
            <w:tcW w:w="2360" w:type="dxa"/>
            <w:vAlign w:val="bottom"/>
            <w:gridSpan w:val="2"/>
          </w:tcPr>
          <w:p>
            <w:pPr>
              <w:spacing w:after="0" w:line="22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альвеолярную ткань [2].</w:t>
            </w:r>
          </w:p>
        </w:tc>
        <w:tc>
          <w:tcPr>
            <w:tcW w:w="15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108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 w:line="227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гический  процесс, сопровождающий  практически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Таким образом, с одной стороны, кислород является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любое заболевание. Наиболее значимую роль ОС иг-</w:t>
            </w:r>
          </w:p>
        </w:tc>
      </w:tr>
      <w:tr>
        <w:trPr>
          <w:trHeight w:val="230"/>
        </w:trPr>
        <w:tc>
          <w:tcPr>
            <w:tcW w:w="120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основным</w:t>
            </w:r>
          </w:p>
        </w:tc>
        <w:tc>
          <w:tcPr>
            <w:tcW w:w="1160" w:type="dxa"/>
            <w:vAlign w:val="bottom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участником</w:t>
            </w:r>
          </w:p>
        </w:tc>
        <w:tc>
          <w:tcPr>
            <w:tcW w:w="1500" w:type="dxa"/>
            <w:vAlign w:val="bottom"/>
          </w:tcPr>
          <w:p>
            <w:pPr>
              <w:jc w:val="right"/>
              <w:ind w:right="79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метаболизма</w:t>
            </w:r>
          </w:p>
        </w:tc>
        <w:tc>
          <w:tcPr>
            <w:tcW w:w="1080" w:type="dxa"/>
            <w:vAlign w:val="bottom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аэробных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рает  в  молекулярных  механизмах  патогенеза</w:t>
            </w:r>
          </w:p>
        </w:tc>
      </w:tr>
      <w:tr>
        <w:trPr>
          <w:trHeight w:val="230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организмов,  источником  метаболической  энергии.  С</w:t>
            </w:r>
          </w:p>
        </w:tc>
        <w:tc>
          <w:tcPr>
            <w:tcW w:w="4960" w:type="dxa"/>
            <w:vAlign w:val="bottom"/>
            <w:gridSpan w:val="4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заболеваний  легких,  что  связано  с  анатомо-</w:t>
            </w:r>
          </w:p>
        </w:tc>
      </w:tr>
      <w:tr>
        <w:trPr>
          <w:trHeight w:val="279"/>
        </w:trPr>
        <w:tc>
          <w:tcPr>
            <w:tcW w:w="4940" w:type="dxa"/>
            <w:vAlign w:val="bottom"/>
            <w:gridSpan w:val="4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другой стороны, кислород — источник АФК. По</w:t>
            </w:r>
          </w:p>
        </w:tc>
        <w:tc>
          <w:tcPr>
            <w:tcW w:w="2020" w:type="dxa"/>
            <w:vAlign w:val="bottom"/>
            <w:gridSpan w:val="2"/>
          </w:tcPr>
          <w:p>
            <w:pPr>
              <w:ind w:left="1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b w:val="1"/>
                <w:bCs w:val="1"/>
                <w:color w:val="auto"/>
              </w:rPr>
              <w:t>физиологическими</w:t>
            </w:r>
          </w:p>
        </w:tc>
        <w:tc>
          <w:tcPr>
            <w:tcW w:w="9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8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ectPr>
          <w:pgSz w:w="11900" w:h="16838" w:orient="portrait"/>
          <w:cols w:equalWidth="0" w:num="1">
            <w:col w:w="9900"/>
          </w:cols>
          <w:pgMar w:left="1000" w:top="753" w:right="999" w:bottom="421" w:gutter="0" w:footer="0" w:header="0"/>
        </w:sect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25" w:lineRule="exact"/>
        <w:rPr>
          <w:sz w:val="24"/>
          <w:szCs w:val="24"/>
          <w:color w:val="auto"/>
        </w:rPr>
      </w:pPr>
    </w:p>
    <w:p>
      <w:pPr>
        <w:ind w:left="40"/>
        <w:spacing w:after="0"/>
        <w:tabs>
          <w:tab w:leader="none" w:pos="9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b w:val="1"/>
          <w:bCs w:val="1"/>
          <w:color w:val="auto"/>
        </w:rPr>
        <w:t>http://www.pulmonology.ru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5</w:t>
      </w:r>
    </w:p>
    <w:p>
      <w:pPr>
        <w:sectPr>
          <w:pgSz w:w="11900" w:h="16838" w:orient="portrait"/>
          <w:cols w:equalWidth="0" w:num="1">
            <w:col w:w="9900"/>
          </w:cols>
          <w:pgMar w:left="1000" w:top="753" w:right="999" w:bottom="421" w:gutter="0" w:footer="0" w:header="0"/>
          <w:type w:val="continuous"/>
        </w:sectPr>
      </w:pPr>
    </w:p>
    <w:bookmarkStart w:id="1" w:name="page2"/>
    <w:bookmarkEnd w:id="1"/>
    <w:tbl>
      <w:tblPr>
        <w:tblLayout w:type="fixed"/>
        <w:tblInd w:w="5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44"/>
        </w:trPr>
        <w:tc>
          <w:tcPr>
            <w:tcW w:w="800" w:type="dxa"/>
            <w:vAlign w:val="bottom"/>
          </w:tcPr>
          <w:p>
            <w:pPr>
              <w:spacing w:after="0"/>
              <w:rPr>
                <w:sz w:val="21"/>
                <w:szCs w:val="21"/>
                <w:color w:val="auto"/>
              </w:rPr>
            </w:pPr>
          </w:p>
        </w:tc>
        <w:tc>
          <w:tcPr>
            <w:tcW w:w="8560" w:type="dxa"/>
            <w:vAlign w:val="bottom"/>
            <w:gridSpan w:val="2"/>
          </w:tcPr>
          <w:p>
            <w:pPr>
              <w:ind w:left="2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  <w:i w:val="1"/>
                <w:iCs w:val="1"/>
                <w:color w:val="auto"/>
              </w:rPr>
              <w:t xml:space="preserve">Соодаева С.К. </w:t>
            </w:r>
            <w:r>
              <w:rPr>
                <w:rFonts w:ascii="Times New Roman" w:cs="Times New Roman" w:eastAsia="Times New Roman" w:hAnsi="Times New Roman"/>
                <w:sz w:val="18"/>
                <w:szCs w:val="18"/>
                <w:color w:val="auto"/>
              </w:rPr>
              <w:t>Свободнорадикальные механизмы повреждения при болезнях органов</w:t>
            </w:r>
          </w:p>
        </w:tc>
      </w:tr>
      <w:tr>
        <w:trPr>
          <w:trHeight w:val="271"/>
        </w:trPr>
        <w:tc>
          <w:tcPr>
            <w:tcW w:w="800" w:type="dxa"/>
            <w:vAlign w:val="bottom"/>
          </w:tcPr>
          <w:p>
            <w:pPr>
              <w:spacing w:after="0" w:line="188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 Unicode MS" w:cs="Arial Unicode MS" w:eastAsia="Arial Unicode MS" w:hAnsi="Arial Unicode MS"/>
                <w:sz w:val="14"/>
                <w:szCs w:val="14"/>
                <w:color w:val="auto"/>
              </w:rPr>
              <w:t>Экзогенные</w:t>
            </w:r>
          </w:p>
        </w:tc>
        <w:tc>
          <w:tcPr>
            <w:tcW w:w="3320" w:type="dxa"/>
            <w:vAlign w:val="bottom"/>
          </w:tcPr>
          <w:p>
            <w:pPr>
              <w:ind w:left="2100"/>
              <w:spacing w:after="0" w:line="188" w:lineRule="exact"/>
              <w:rPr>
                <w:sz w:val="20"/>
                <w:szCs w:val="20"/>
                <w:color w:val="auto"/>
              </w:rPr>
            </w:pPr>
            <w:r>
              <w:rPr>
                <w:rFonts w:ascii="Arial Unicode MS" w:cs="Arial Unicode MS" w:eastAsia="Arial Unicode MS" w:hAnsi="Arial Unicode MS"/>
                <w:sz w:val="14"/>
                <w:szCs w:val="14"/>
                <w:color w:val="auto"/>
              </w:rPr>
              <w:t>Эндогенные</w:t>
            </w:r>
          </w:p>
        </w:tc>
        <w:tc>
          <w:tcPr>
            <w:tcW w:w="5240" w:type="dxa"/>
            <w:vAlign w:val="bottom"/>
          </w:tcPr>
          <w:p>
            <w:pPr>
              <w:ind w:left="40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глутатионпероксидазы и др., а также гена NO- синтазы.</w:t>
            </w:r>
          </w:p>
        </w:tc>
      </w:tr>
      <w:tr>
        <w:trPr>
          <w:trHeight w:val="228"/>
        </w:trPr>
        <w:tc>
          <w:tcPr>
            <w:tcW w:w="80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3320" w:type="dxa"/>
            <w:vAlign w:val="bottom"/>
          </w:tcPr>
          <w:p>
            <w:pPr>
              <w:spacing w:after="0"/>
              <w:rPr>
                <w:sz w:val="19"/>
                <w:szCs w:val="19"/>
                <w:color w:val="auto"/>
              </w:rPr>
            </w:pPr>
          </w:p>
        </w:tc>
        <w:tc>
          <w:tcPr>
            <w:tcW w:w="5240" w:type="dxa"/>
            <w:vAlign w:val="bottom"/>
          </w:tcPr>
          <w:p>
            <w:pPr>
              <w:ind w:left="720"/>
              <w:spacing w:after="0" w:line="229" w:lineRule="exact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К основным типам реактивных молекул, генери-</w:t>
            </w:r>
          </w:p>
        </w:tc>
      </w:tr>
    </w:tbl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84455</wp:posOffset>
            </wp:positionH>
            <wp:positionV relativeFrom="paragraph">
              <wp:posOffset>-71120</wp:posOffset>
            </wp:positionV>
            <wp:extent cx="2030095" cy="142049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420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jc w:val="both"/>
        <w:ind w:left="5040"/>
        <w:spacing w:after="0" w:line="250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руемых в клетках, относят АФК, активные формы азота (АФА) и их производные. К АФК относятся супероксид-анион радикал (О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Corbel" w:cs="Corbel" w:eastAsia="Corbel" w:hAnsi="Corbel"/>
          <w:sz w:val="8"/>
          <w:szCs w:val="8"/>
          <w:color w:val="auto"/>
        </w:rPr>
        <w:t>-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), гидроксильный радикал (ОН'), перокс ильный радикал (НО</w:t>
      </w:r>
      <w:r>
        <w:rPr>
          <w:rFonts w:ascii="Corbel" w:cs="Corbel" w:eastAsia="Corbel" w:hAnsi="Corbel"/>
          <w:sz w:val="12"/>
          <w:szCs w:val="12"/>
          <w:color w:val="auto"/>
        </w:rPr>
        <w:t>2'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) и алко- ксильный радикал (RO'). В процессе цепных реак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84455</wp:posOffset>
            </wp:positionH>
            <wp:positionV relativeFrom="paragraph">
              <wp:posOffset>621665</wp:posOffset>
            </wp:positionV>
            <wp:extent cx="1029970" cy="41465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414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left="3260"/>
        <w:spacing w:after="0"/>
        <w:rPr>
          <w:sz w:val="20"/>
          <w:szCs w:val="20"/>
          <w:color w:val="auto"/>
        </w:rPr>
      </w:pPr>
      <w:r>
        <w:rPr>
          <w:rFonts w:ascii="Corbel" w:cs="Corbel" w:eastAsia="Corbel" w:hAnsi="Corbel"/>
          <w:sz w:val="12"/>
          <w:szCs w:val="12"/>
          <w:color w:val="auto"/>
        </w:rPr>
        <w:t>Ффагоцитирующие клетки</w:t>
      </w:r>
    </w:p>
    <w:p>
      <w:pPr>
        <w:spacing w:after="0" w:line="36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rbel" w:cs="Corbel" w:eastAsia="Corbel" w:hAnsi="Corbel"/>
          <w:sz w:val="12"/>
          <w:szCs w:val="12"/>
          <w:color w:val="auto"/>
        </w:rPr>
        <w:t>(макрофаги, нейтрофилы, эозинофилы) Митохондриальное, микросомальное окисление</w:t>
      </w:r>
    </w:p>
    <w:p>
      <w:pPr>
        <w:spacing w:after="0" w:line="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rbel" w:cs="Corbel" w:eastAsia="Corbel" w:hAnsi="Corbel"/>
          <w:sz w:val="12"/>
          <w:szCs w:val="12"/>
          <w:color w:val="auto"/>
        </w:rPr>
        <w:t>Мутации генов (P</w:t>
      </w:r>
      <w:r>
        <w:rPr>
          <w:rFonts w:ascii="Times New Roman" w:cs="Times New Roman" w:eastAsia="Times New Roman" w:hAnsi="Times New Roman"/>
          <w:sz w:val="13"/>
          <w:szCs w:val="13"/>
          <w:color w:val="auto"/>
        </w:rPr>
        <w:t>450</w:t>
      </w:r>
      <w:r>
        <w:rPr>
          <w:rFonts w:ascii="Corbel" w:cs="Corbel" w:eastAsia="Corbel" w:hAnsi="Corbel"/>
          <w:sz w:val="12"/>
          <w:szCs w:val="12"/>
          <w:color w:val="auto"/>
        </w:rPr>
        <w:t>, AOC, eNOS) Метаболиты арахидоновой кислоты Ксантинокидаза</w:t>
      </w:r>
    </w:p>
    <w:p>
      <w:pPr>
        <w:spacing w:after="0" w:line="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rbel" w:cs="Corbel" w:eastAsia="Corbel" w:hAnsi="Corbel"/>
          <w:sz w:val="12"/>
          <w:szCs w:val="12"/>
          <w:color w:val="auto"/>
        </w:rPr>
        <w:t>Токсический эффект лекарств</w:t>
      </w:r>
    </w:p>
    <w:p>
      <w:pPr>
        <w:spacing w:after="0" w:line="334" w:lineRule="exact"/>
        <w:rPr>
          <w:sz w:val="20"/>
          <w:szCs w:val="20"/>
          <w:color w:val="auto"/>
        </w:rPr>
      </w:pPr>
    </w:p>
    <w:p>
      <w:pPr>
        <w:ind w:left="20"/>
        <w:spacing w:after="0"/>
        <w:rPr>
          <w:sz w:val="20"/>
          <w:szCs w:val="20"/>
          <w:color w:val="auto"/>
        </w:rPr>
      </w:pPr>
      <w:r>
        <w:rPr>
          <w:rFonts w:ascii="Corbel" w:cs="Corbel" w:eastAsia="Corbel" w:hAnsi="Corbel"/>
          <w:sz w:val="12"/>
          <w:szCs w:val="12"/>
          <w:color w:val="auto"/>
        </w:rPr>
        <w:t>Избыток НЖК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0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Рис. 1. Факторы активации оксидативного и нитрозивного стресса в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респираторном тракте</w:t>
      </w:r>
    </w:p>
    <w:p>
      <w:pPr>
        <w:spacing w:after="0" w:line="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особенностями органов дыхания, а также экзо- и</w:t>
      </w:r>
    </w:p>
    <w:p>
      <w:pPr>
        <w:spacing w:after="0"/>
        <w:tabs>
          <w:tab w:leader="none" w:pos="258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эндогенными  факторами</w:t>
        <w:tab/>
        <w:t>активации  свободнора-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дикальных процессов (СРП) в респираторных путях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(рис. 1).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jc w:val="both"/>
        <w:ind w:right="5040" w:firstLine="320"/>
        <w:spacing w:after="0"/>
        <w:tabs>
          <w:tab w:leader="none" w:pos="528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точки зрения возможности протекания процессов свободнорадикального окисления, респираторная система занимает особое место [4—6]. В легких непосредственно осуществляется контакт тканей с кислородом — инициатором и участником окисления, который проникает через мембраны альвеол.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Легочная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ткань богата ненасыщенными жирными кислотами, являющимися субстратом перекисного окисления липидов (ПОЛ). Альвеолярные макрофаги и другие фагоцитирующие клетки при воспалении, действии частиц пыли, поллютантов различной природы, активируются и вырабатывают АФК, ини-</w:t>
      </w:r>
    </w:p>
    <w:p>
      <w:pPr>
        <w:jc w:val="both"/>
        <w:ind w:right="5060"/>
        <w:spacing w:after="0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циирующие ПОЛ.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Особенность функционирования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легких состоит в постоянном прямом воздействии кислородной среды на элементы легочной ткани при наличии субстрата и инициаторов окисления [4—6].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ind w:right="5040" w:firstLine="322"/>
        <w:spacing w:after="0" w:line="239" w:lineRule="auto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Интенсификации СРП способствуют также воз-действие экологически неблагоприятных факторов окружающей среды (табачный дым, радиационное и ультрафиолетовое излучение, загрязнение воздуха выбросами транспорта и промышленных предприятий), ксенобиотики (лекарства, анестетики, промышленные растворители, пестициды и др.), инфекционные агенты (вирусы, бактерии и паразиты), чрезмерная физическая нагрузка, стрессы и т. д. [4—6]. Большое значение придается митохондриальному и микросомальному</w:t>
      </w:r>
    </w:p>
    <w:p>
      <w:pPr>
        <w:spacing w:after="0" w:line="9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ind w:right="5040"/>
        <w:spacing w:after="0" w:line="247" w:lineRule="auto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окислению, ксантиноксидазе, метаболизму арахидоновой кислоты, мутации генов ферментов микросомальной монооксигеназной системы — цитохрома P450 1А1, 1А2, 1А6, 2Е1, микросо- мальной эпоксидгидролазы, антиоксидантной системы — экстрацеллюлярной супероксиддисмутазы (СОД), глутатион-Б-трансферазы, глутаматтрансфе- разы,</w:t>
      </w:r>
    </w:p>
    <w:p>
      <w:pPr>
        <w:sectPr>
          <w:pgSz w:w="11900" w:h="16838" w:orient="portrait"/>
          <w:cols w:equalWidth="0" w:num="1">
            <w:col w:w="9900"/>
          </w:cols>
          <w:pgMar w:left="1000" w:top="775" w:right="999" w:bottom="521" w:gutter="0" w:footer="0" w:header="0"/>
        </w:sectPr>
      </w:pPr>
    </w:p>
    <w:p>
      <w:pPr>
        <w:spacing w:after="0" w:line="181" w:lineRule="exact"/>
        <w:rPr>
          <w:sz w:val="20"/>
          <w:szCs w:val="20"/>
          <w:color w:val="auto"/>
        </w:rPr>
      </w:pPr>
    </w:p>
    <w:p>
      <w:pPr>
        <w:ind w:left="60"/>
        <w:spacing w:after="0" w:line="184" w:lineRule="exact"/>
        <w:tabs>
          <w:tab w:leader="none" w:pos="86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6</w:t>
      </w:r>
      <w:r>
        <w:rPr>
          <w:sz w:val="20"/>
          <w:szCs w:val="20"/>
          <w:color w:val="auto"/>
        </w:rPr>
        <w:tab/>
      </w:r>
      <w:r>
        <w:rPr>
          <w:rFonts w:ascii="Arial Unicode MS" w:cs="Arial Unicode MS" w:eastAsia="Arial Unicode MS" w:hAnsi="Arial Unicode MS"/>
          <w:sz w:val="10"/>
          <w:szCs w:val="10"/>
          <w:b w:val="1"/>
          <w:bCs w:val="1"/>
          <w:color w:val="auto"/>
        </w:rPr>
        <w:t>Пульмонология 1’2012</w:t>
      </w:r>
    </w:p>
    <w:p>
      <w:pPr>
        <w:sectPr>
          <w:pgSz w:w="11900" w:h="16838" w:orient="portrait"/>
          <w:cols w:equalWidth="0" w:num="1">
            <w:col w:w="9900"/>
          </w:cols>
          <w:pgMar w:left="1000" w:top="775" w:right="999" w:bottom="521" w:gutter="0" w:footer="0" w:header="0"/>
          <w:type w:val="continuous"/>
        </w:sectPr>
      </w:pPr>
    </w:p>
    <w:bookmarkStart w:id="2" w:name="page3"/>
    <w:bookmarkEnd w:id="2"/>
    <w:p>
      <w:pPr>
        <w:ind w:left="4300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7"/>
          <w:szCs w:val="17"/>
          <w:b w:val="1"/>
          <w:bCs w:val="1"/>
          <w:color w:val="FFFFFF"/>
        </w:rPr>
        <w:t>Передовая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2733040</wp:posOffset>
                </wp:positionH>
                <wp:positionV relativeFrom="paragraph">
                  <wp:posOffset>-99695</wp:posOffset>
                </wp:positionV>
                <wp:extent cx="816610" cy="112395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610" cy="1123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" o:spid="_x0000_s1029" style="position:absolute;margin-left:215.2pt;margin-top:-7.8499pt;width:64.3pt;height:8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</w:r>
    </w:p>
    <w:p>
      <w:pPr>
        <w:spacing w:after="0" w:line="8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ций образуются производные АФК, каковыми являются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пероксид водорода (Н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) и липопероксиды (ROOH). К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АФА относятся оксид азота (NO) и пе- роксинитрит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(ONOO) [2].</w:t>
      </w: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Образование АФК является следствием неполного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(1-, 2-, 3-электронного) восстановления молекулярного</w:t>
      </w:r>
    </w:p>
    <w:p>
      <w:pPr>
        <w:spacing w:after="0"/>
        <w:tabs>
          <w:tab w:leader="none" w:pos="1280" w:val="left"/>
          <w:tab w:leader="none" w:pos="2280" w:val="left"/>
          <w:tab w:leader="none" w:pos="34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кислорода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вместо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полного,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4-электронного,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приводящего к образованию воды. Процесс полного</w:t>
      </w:r>
    </w:p>
    <w:p>
      <w:pPr>
        <w:spacing w:after="0"/>
        <w:tabs>
          <w:tab w:leader="none" w:pos="1500" w:val="left"/>
          <w:tab w:leader="none" w:pos="2540" w:val="left"/>
          <w:tab w:leader="none" w:pos="2920" w:val="left"/>
          <w:tab w:leader="none" w:pos="3440" w:val="left"/>
          <w:tab w:leader="none" w:pos="43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восстановления</w:t>
        <w:tab/>
        <w:t>кислорода</w:t>
        <w:tab/>
        <w:t>до</w:t>
        <w:tab/>
        <w:t>Н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</w:t>
        <w:tab/>
        <w:t>является</w:t>
        <w:tab/>
        <w:t>более</w:t>
      </w:r>
    </w:p>
    <w:p>
      <w:pPr>
        <w:spacing w:after="0"/>
        <w:tabs>
          <w:tab w:leader="none" w:pos="1720" w:val="left"/>
          <w:tab w:leader="none" w:pos="2180" w:val="left"/>
          <w:tab w:leader="none" w:pos="31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энергозависимым,</w:t>
        <w:tab/>
        <w:t>чем</w:t>
        <w:tab/>
        <w:t>процессы</w:t>
        <w:tab/>
        <w:t>неполного  восста-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новления.</w:t>
      </w: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Молекула  кислорода  может  быть  восстановлена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последовательно 4 электронами по следующей схеме:</w:t>
      </w:r>
    </w:p>
    <w:p>
      <w:pPr>
        <w:ind w:left="340"/>
        <w:spacing w:after="0" w:line="19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+ е «■ О</w:t>
      </w:r>
      <w:r>
        <w:rPr>
          <w:rFonts w:ascii="Corbel" w:cs="Corbel" w:eastAsia="Corbel" w:hAnsi="Corbel"/>
          <w:sz w:val="12"/>
          <w:szCs w:val="12"/>
          <w:color w:val="auto"/>
        </w:rPr>
        <w:t>-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+ е «■ О</w:t>
      </w:r>
      <w:r>
        <w:rPr>
          <w:rFonts w:ascii="Times New Roman" w:cs="Times New Roman" w:eastAsia="Times New Roman" w:hAnsi="Times New Roman"/>
          <w:sz w:val="13"/>
          <w:szCs w:val="13"/>
          <w:color w:val="auto"/>
        </w:rPr>
        <w:t>2</w:t>
      </w:r>
      <w:r>
        <w:rPr>
          <w:rFonts w:ascii="Corbel" w:cs="Corbel" w:eastAsia="Corbel" w:hAnsi="Corbel"/>
          <w:sz w:val="8"/>
          <w:szCs w:val="8"/>
          <w:color w:val="auto"/>
        </w:rPr>
        <w:t>-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+ е «■ [О</w:t>
      </w:r>
      <w:r>
        <w:rPr>
          <w:rFonts w:ascii="Corbel" w:cs="Corbel" w:eastAsia="Corbel" w:hAnsi="Corbel"/>
          <w:sz w:val="8"/>
          <w:szCs w:val="8"/>
          <w:color w:val="auto"/>
        </w:rPr>
        <w:t>-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+ О</w:t>
      </w:r>
      <w:r>
        <w:rPr>
          <w:rFonts w:ascii="Times New Roman" w:cs="Times New Roman" w:eastAsia="Times New Roman" w:hAnsi="Times New Roman"/>
          <w:sz w:val="9"/>
          <w:szCs w:val="9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] + е «■ 2О</w:t>
      </w:r>
      <w:r>
        <w:rPr>
          <w:rFonts w:ascii="Corbel" w:cs="Corbel" w:eastAsia="Corbel" w:hAnsi="Corbel"/>
          <w:sz w:val="8"/>
          <w:szCs w:val="8"/>
          <w:color w:val="auto"/>
        </w:rPr>
        <w:t>2-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Н</w:t>
      </w:r>
      <w:r>
        <w:rPr>
          <w:rFonts w:ascii="Corbel" w:cs="Corbel" w:eastAsia="Corbel" w:hAnsi="Corbel"/>
          <w:sz w:val="12"/>
          <w:szCs w:val="12"/>
          <w:color w:val="auto"/>
        </w:rPr>
        <w:t>+</w:t>
      </w:r>
      <w:r>
        <w:rPr>
          <w:rFonts w:ascii="Corbel" w:cs="Corbel" w:eastAsia="Corbel" w:hAnsi="Corbel"/>
          <w:sz w:val="27"/>
          <w:szCs w:val="27"/>
          <w:color w:val="auto"/>
        </w:rPr>
        <w:t>Н</w:t>
      </w:r>
    </w:p>
    <w:p>
      <w:pPr>
        <w:ind w:left="1260"/>
        <w:spacing w:after="0" w:line="225" w:lineRule="auto"/>
        <w:tabs>
          <w:tab w:leader="none" w:pos="378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2Н</w:t>
      </w:r>
      <w:r>
        <w:rPr>
          <w:rFonts w:ascii="Corbel" w:cs="Corbel" w:eastAsia="Corbel" w:hAnsi="Corbel"/>
          <w:sz w:val="12"/>
          <w:szCs w:val="12"/>
          <w:color w:val="auto"/>
        </w:rPr>
        <w:t>+</w:t>
      </w:r>
      <w:r>
        <w:rPr>
          <w:rFonts w:ascii="Corbel" w:cs="Corbel" w:eastAsia="Corbel" w:hAnsi="Corbel"/>
          <w:sz w:val="27"/>
          <w:szCs w:val="27"/>
          <w:color w:val="auto"/>
        </w:rPr>
        <w:t>Н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3Н</w:t>
      </w:r>
      <w:r>
        <w:rPr>
          <w:rFonts w:ascii="Corbel" w:cs="Corbel" w:eastAsia="Corbel" w:hAnsi="Corbel"/>
          <w:sz w:val="12"/>
          <w:szCs w:val="12"/>
          <w:color w:val="auto"/>
        </w:rPr>
        <w:t>+</w:t>
      </w:r>
      <w:r>
        <w:rPr>
          <w:rFonts w:ascii="Corbel" w:cs="Corbel" w:eastAsia="Corbel" w:hAnsi="Corbel"/>
          <w:sz w:val="27"/>
          <w:szCs w:val="27"/>
          <w:color w:val="auto"/>
        </w:rPr>
        <w:t>Н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4Н</w:t>
      </w:r>
      <w:r>
        <w:rPr>
          <w:rFonts w:ascii="Corbel" w:cs="Corbel" w:eastAsia="Corbel" w:hAnsi="Corbel"/>
          <w:sz w:val="12"/>
          <w:szCs w:val="12"/>
          <w:color w:val="auto"/>
        </w:rPr>
        <w:t>+</w:t>
      </w:r>
      <w:r>
        <w:rPr>
          <w:rFonts w:ascii="Corbel" w:cs="Corbel" w:eastAsia="Corbel" w:hAnsi="Corbel"/>
          <w:sz w:val="27"/>
          <w:szCs w:val="27"/>
          <w:color w:val="auto"/>
        </w:rPr>
        <w:t>Н</w:t>
      </w:r>
    </w:p>
    <w:p>
      <w:pPr>
        <w:ind w:left="580"/>
        <w:spacing w:after="0" w:line="231" w:lineRule="auto"/>
        <w:tabs>
          <w:tab w:leader="none" w:pos="1240" w:val="left"/>
          <w:tab w:leader="none" w:pos="2160" w:val="left"/>
          <w:tab w:leader="none" w:pos="378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НО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'</w:t>
        <w:tab/>
        <w:t>Н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НО' + Н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</w:t>
      </w:r>
      <w:r>
        <w:rPr>
          <w:sz w:val="20"/>
          <w:szCs w:val="20"/>
          <w:color w:val="auto"/>
        </w:rPr>
        <w:tab/>
      </w:r>
      <w:r>
        <w:rPr>
          <w:rFonts w:ascii="Corbel" w:cs="Corbel" w:eastAsia="Corbel" w:hAnsi="Corbel"/>
          <w:sz w:val="20"/>
          <w:szCs w:val="20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</w:t>
      </w:r>
    </w:p>
    <w:p>
      <w:pPr>
        <w:ind w:left="340"/>
        <w:spacing w:after="0" w:line="23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На этой схеме в общем виде приведены пути об-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1060" w:val="left"/>
          <w:tab w:leader="none" w:pos="1780" w:val="left"/>
          <w:tab w:leader="none" w:pos="2120" w:val="left"/>
          <w:tab w:leader="none" w:pos="32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разования</w:t>
        <w:tab/>
        <w:t>АФК.</w:t>
        <w:tab/>
        <w:t>В</w:t>
        <w:tab/>
        <w:t>результате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одноэлектронного</w:t>
      </w:r>
    </w:p>
    <w:p>
      <w:pPr>
        <w:spacing w:after="0"/>
        <w:tabs>
          <w:tab w:leader="none" w:pos="1540" w:val="left"/>
          <w:tab w:leader="none" w:pos="2620" w:val="left"/>
          <w:tab w:leader="none" w:pos="37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восстановления</w:t>
        <w:tab/>
        <w:t>молекулы</w:t>
        <w:tab/>
        <w:t>кислорода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посредством</w:t>
      </w:r>
    </w:p>
    <w:p>
      <w:pPr>
        <w:spacing w:after="0"/>
        <w:tabs>
          <w:tab w:leader="none" w:pos="1100" w:val="left"/>
          <w:tab w:leader="none" w:pos="1980" w:val="left"/>
          <w:tab w:leader="none" w:pos="388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различных</w:t>
        <w:tab/>
        <w:t>оксидаз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(НАДФН-оксидазы,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ксантинок-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сидазы, цитохром-Р-450 оксидазы и др.) происходит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генерация  О-,  дисмутация  которого приводит к об-</w:t>
      </w:r>
    </w:p>
    <w:p>
      <w:pPr>
        <w:spacing w:after="0"/>
        <w:tabs>
          <w:tab w:leader="none" w:pos="1100" w:val="left"/>
          <w:tab w:leader="none" w:pos="2200" w:val="left"/>
          <w:tab w:leader="none" w:pos="3200" w:val="left"/>
          <w:tab w:leader="none" w:pos="400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разованию</w:t>
        <w:tab/>
        <w:t>пероксида</w:t>
        <w:tab/>
        <w:t>водорода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(H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O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).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Пероксид</w:t>
      </w:r>
    </w:p>
    <w:p>
      <w:pPr>
        <w:spacing w:after="0"/>
        <w:tabs>
          <w:tab w:leader="none" w:pos="980" w:val="left"/>
          <w:tab w:leader="none" w:pos="1920" w:val="left"/>
          <w:tab w:leader="none" w:pos="31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водорода</w:t>
        <w:tab/>
        <w:t>является</w:t>
        <w:tab/>
        <w:t>источником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высокореакционно-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способных НО</w:t>
      </w:r>
      <w:r>
        <w:rPr>
          <w:rFonts w:ascii="Corbel" w:cs="Corbel" w:eastAsia="Corbel" w:hAnsi="Corbel"/>
          <w:sz w:val="12"/>
          <w:szCs w:val="12"/>
          <w:color w:val="auto"/>
        </w:rPr>
        <w:t>'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, которые генерируются в присутствии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ионов  железа  в  реакции  Фентона  [2].  Кроме  того,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гидроксильные радикалы образуются из гипохлорита, а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также в реакциях пероксинитрита, который является</w:t>
      </w:r>
    </w:p>
    <w:p>
      <w:pPr>
        <w:spacing w:after="0"/>
        <w:tabs>
          <w:tab w:leader="none" w:pos="1060" w:val="left"/>
          <w:tab w:leader="none" w:pos="1940" w:val="left"/>
          <w:tab w:leader="none" w:pos="3460" w:val="left"/>
          <w:tab w:leader="none" w:pos="4120" w:val="left"/>
          <w:tab w:leader="none" w:pos="47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продуктом</w:t>
        <w:tab/>
        <w:t>реакции</w:t>
        <w:tab/>
        <w:t>взаимодействия</w:t>
        <w:tab/>
        <w:t>окида</w:t>
        <w:tab/>
        <w:t>азота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с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супероксидом (рис. 2).</w:t>
      </w: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Воспалительные клетки в легких выделяют О-, из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которых посредством СОД или спонтанно, образуются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</w:t>
      </w:r>
      <w:r>
        <w:rPr>
          <w:rFonts w:ascii="Corbel" w:cs="Corbel" w:eastAsia="Corbel" w:hAnsi="Corbel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(рис. 2). Эти АФК могут сами по себе принимать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участие в модификации макромолекул. Кроме того, из</w:t>
      </w:r>
    </w:p>
    <w:p>
      <w:pPr>
        <w:spacing w:after="0"/>
        <w:tabs>
          <w:tab w:leader="none" w:pos="460" w:val="left"/>
          <w:tab w:leader="none" w:pos="1600" w:val="left"/>
          <w:tab w:leader="none" w:pos="2240" w:val="left"/>
          <w:tab w:leader="none" w:pos="3120" w:val="left"/>
          <w:tab w:leader="none" w:pos="42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них</w:t>
        <w:tab/>
        <w:t>образуются</w:t>
        <w:tab/>
        <w:t>более</w:t>
        <w:tab/>
        <w:t>сильные</w:t>
        <w:tab/>
        <w:t>окислители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-  НО,</w:t>
      </w:r>
    </w:p>
    <w:p>
      <w:pPr>
        <w:spacing w:after="0"/>
        <w:tabs>
          <w:tab w:leader="none" w:pos="1180" w:val="left"/>
          <w:tab w:leader="none" w:pos="1500" w:val="left"/>
          <w:tab w:leader="none" w:pos="3080" w:val="left"/>
          <w:tab w:leader="none" w:pos="400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гипохлорит</w:t>
        <w:tab/>
        <w:t>и</w:t>
        <w:tab/>
        <w:t>пероксинитрит,</w:t>
        <w:tab/>
        <w:t>которые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способны</w:t>
      </w:r>
    </w:p>
    <w:p>
      <w:pPr>
        <w:spacing w:after="0"/>
        <w:tabs>
          <w:tab w:leader="none" w:pos="1160" w:val="left"/>
          <w:tab w:leader="none" w:pos="1880" w:val="left"/>
          <w:tab w:leader="none" w:pos="2760" w:val="left"/>
          <w:tab w:leader="none" w:pos="40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повреждать</w:t>
        <w:tab/>
        <w:t>белки,</w:t>
        <w:tab/>
        <w:t>липиды,</w:t>
        <w:tab/>
        <w:t>нуклеиновые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кислоты.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Окислительная модификация белков вызывает у них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появление антигенных свойств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,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а окисление липидов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1280" w:val="left"/>
          <w:tab w:leader="none" w:pos="1900" w:val="left"/>
          <w:tab w:leader="none" w:pos="33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приводит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появлению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хематтрактантов,</w:t>
      </w:r>
    </w:p>
    <w:p>
      <w:pPr>
        <w:spacing w:after="0"/>
        <w:tabs>
          <w:tab w:leader="none" w:pos="1540" w:val="left"/>
          <w:tab w:leader="none" w:pos="2600" w:val="left"/>
          <w:tab w:leader="none" w:pos="3680" w:val="left"/>
          <w:tab w:leader="none" w:pos="3940" w:val="left"/>
          <w:tab w:leader="none" w:pos="462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увеличивающих</w:t>
        <w:tab/>
        <w:t>миграцию</w:t>
        <w:tab/>
        <w:t>фагоцитов</w:t>
        <w:tab/>
        <w:t>к</w:t>
        <w:tab/>
        <w:t>месту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их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1260" w:val="left"/>
          <w:tab w:leader="none" w:pos="1980" w:val="left"/>
          <w:tab w:leader="none" w:pos="2900" w:val="left"/>
          <w:tab w:leader="none" w:pos="39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образования.</w:t>
        <w:tab/>
        <w:t>Таким</w:t>
        <w:tab/>
        <w:t>образом,</w:t>
        <w:tab/>
        <w:t>активация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фагоцитов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обладает  свойством  лавинообразно  самопроизвольно</w:t>
      </w:r>
    </w:p>
    <w:p>
      <w:pPr>
        <w:spacing w:after="0"/>
        <w:tabs>
          <w:tab w:leader="none" w:pos="1100" w:val="left"/>
          <w:tab w:leader="none" w:pos="1420" w:val="left"/>
          <w:tab w:leader="none" w:pos="1760" w:val="left"/>
          <w:tab w:leader="none" w:pos="2540" w:val="left"/>
          <w:tab w:leader="none" w:pos="390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нарастать,</w:t>
        <w:tab/>
        <w:t>и</w:t>
        <w:tab/>
        <w:t>в</w:t>
        <w:tab/>
        <w:t>очагах</w:t>
        <w:tab/>
        <w:t>повреждения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образуется</w:t>
      </w:r>
    </w:p>
    <w:p>
      <w:pPr>
        <w:spacing w:after="0"/>
        <w:tabs>
          <w:tab w:leader="none" w:pos="1740" w:val="left"/>
          <w:tab w:leader="none" w:pos="24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"порочный  круг".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Схема</w:t>
        <w:tab/>
        <w:t>формирования  "порочного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круга" ОС в респираторном тракте (РТ) представлена на</w: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рис. 3.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13970</wp:posOffset>
            </wp:positionH>
            <wp:positionV relativeFrom="paragraph">
              <wp:posOffset>17145</wp:posOffset>
            </wp:positionV>
            <wp:extent cx="3048000" cy="156337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563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Рис. 2. Образование АФК и АФА в легких</w:t>
      </w:r>
    </w:p>
    <w:p>
      <w:pPr>
        <w:sectPr>
          <w:pgSz w:w="11900" w:h="16838" w:orient="portrait"/>
          <w:cols w:equalWidth="0" w:num="1">
            <w:col w:w="9840"/>
          </w:cols>
          <w:pgMar w:left="1000" w:top="753" w:right="1059" w:bottom="421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40"/>
        <w:spacing w:after="0"/>
        <w:tabs>
          <w:tab w:leader="none" w:pos="972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11"/>
          <w:szCs w:val="11"/>
          <w:b w:val="1"/>
          <w:bCs w:val="1"/>
          <w:color w:val="auto"/>
        </w:rPr>
        <w:t>http://www.pulmonology.ru</w:t>
      </w:r>
      <w:r>
        <w:rPr>
          <w:sz w:val="20"/>
          <w:szCs w:val="20"/>
          <w:color w:val="auto"/>
        </w:rPr>
        <w:tab/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7</w:t>
      </w:r>
    </w:p>
    <w:p>
      <w:pPr>
        <w:sectPr>
          <w:pgSz w:w="11900" w:h="16838" w:orient="portrait"/>
          <w:cols w:equalWidth="0" w:num="1">
            <w:col w:w="9840"/>
          </w:cols>
          <w:pgMar w:left="1000" w:top="753" w:right="1059" w:bottom="421" w:gutter="0" w:footer="0" w:header="0"/>
          <w:type w:val="continuous"/>
        </w:sectPr>
      </w:pPr>
    </w:p>
    <w:bookmarkStart w:id="3" w:name="page4"/>
    <w:bookmarkEnd w:id="3"/>
    <w:p>
      <w:pPr>
        <w:ind w:left="13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auto"/>
        </w:rPr>
        <w:t xml:space="preserve">Соодаева С.К.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Свободнорадикальные механизмы повреждения при болезнях органов</w:t>
      </w:r>
    </w:p>
    <w:p>
      <w:pPr>
        <w:sectPr>
          <w:pgSz w:w="11900" w:h="16838" w:orient="portrait"/>
          <w:cols w:equalWidth="0" w:num="1">
            <w:col w:w="9900"/>
          </w:cols>
          <w:pgMar w:left="1000" w:top="775" w:right="999" w:bottom="521" w:gutter="0" w:footer="0" w:header="0"/>
        </w:sect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3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15"/>
          <w:szCs w:val="15"/>
          <w:color w:val="auto"/>
        </w:rPr>
        <w:t>легочной ткани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90170</wp:posOffset>
            </wp:positionH>
            <wp:positionV relativeFrom="paragraph">
              <wp:posOffset>-2031365</wp:posOffset>
            </wp:positionV>
            <wp:extent cx="2895600" cy="196278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Рис. 3. Формирование "порочного круга” ОС в респираторном тракте</w:t>
      </w:r>
    </w:p>
    <w:p>
      <w:pPr>
        <w:spacing w:after="0" w:line="49" w:lineRule="exact"/>
        <w:rPr>
          <w:sz w:val="20"/>
          <w:szCs w:val="20"/>
          <w:color w:val="auto"/>
        </w:rPr>
      </w:pPr>
    </w:p>
    <w:p>
      <w:pPr>
        <w:jc w:val="both"/>
        <w:ind w:right="20" w:firstLine="320"/>
        <w:spacing w:after="0" w:line="238" w:lineRule="auto"/>
        <w:tabs>
          <w:tab w:leader="none" w:pos="610" w:val="left"/>
        </w:tabs>
        <w:numPr>
          <w:ilvl w:val="0"/>
          <w:numId w:val="2"/>
        </w:numPr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настоящее время исследования, посвященные изучению механизмов прогрессирования воспаления в РТ, демонстрируют активное участие молекул оксида азота (NO) и его метаболитов в развитии многих заболеваний органов дыхания [7—11].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ind w:firstLine="322"/>
        <w:spacing w:after="0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У здорового человека молекулы NO, секретируе-мые эндотелиоцитами, вызывают дилатацию ар-терий, регулируют сосудистое сопротивление, про-цессы воспаления и реакции иммунной защиты, обладают прямым бронхорасширяющим действием за счет блокады высвобождения ацетилхолина, уси-ления активности реснитчатого эпителия и повыше-ния скорости мукоцилиарного транспорта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[9].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Эндо-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ind w:right="20"/>
        <w:spacing w:after="0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генный NO после сложного каскада превращений образует стабильные соединения — нитраты, нитриты, S-нитрозотиолы и нитротирозины (рис. 4).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ind w:firstLine="322"/>
        <w:spacing w:after="0" w:line="244" w:lineRule="auto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Оксид азота, являясь малым парамагнитным ра-дикалом, не имеющим электрического заряда, легко проходит через клеточные мембраны, хорошо рас-творяется в воде и липидах, может вступать в реакции с другими молекулами на значительном удалении от места его образования. NO оказывает как ауто-, так и паракринное действие, т. е., будучи синтезированным в каких-либо клетках, способен влиять на метаболические процессы как в клетках синтеза, так и расположенных по соседству [12].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17145</wp:posOffset>
            </wp:positionH>
            <wp:positionV relativeFrom="paragraph">
              <wp:posOffset>-6985</wp:posOffset>
            </wp:positionV>
            <wp:extent cx="3039110" cy="2294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110" cy="229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2" w:lineRule="exact"/>
        <w:rPr>
          <w:sz w:val="20"/>
          <w:szCs w:val="20"/>
          <w:color w:val="auto"/>
        </w:rPr>
      </w:pPr>
    </w:p>
    <w:p>
      <w:pPr>
        <w:ind w:right="20"/>
        <w:spacing w:after="0" w:line="25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Рис. 4. Основные пути метаболизма оксида азота и образования ак-тивных форм азота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55" w:lineRule="exact"/>
        <w:rPr>
          <w:sz w:val="20"/>
          <w:szCs w:val="20"/>
          <w:color w:val="auto"/>
        </w:rPr>
      </w:pPr>
    </w:p>
    <w:p>
      <w:pPr>
        <w:jc w:val="both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(NOS), которая присоединяет молекулярный кислород к конечному атому азота гуанидиновой группы L-аргинина [13].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firstLine="322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Эффекты АФА, проявляющиеся </w:t>
      </w:r>
      <w:r>
        <w:rPr>
          <w:rFonts w:ascii="Times New Roman" w:cs="Times New Roman" w:eastAsia="Times New Roman" w:hAnsi="Times New Roman"/>
          <w:sz w:val="20"/>
          <w:szCs w:val="20"/>
          <w:i w:val="1"/>
          <w:iCs w:val="1"/>
          <w:color w:val="auto"/>
        </w:rPr>
        <w:t>in vivo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в тканях, клетках и биомолекулах, различны. АФА способны окислять SH-группы аминокислоты цистеина в пер-вичной структуре белков, разрывать ковалентную связь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— S-S-, изменять третичную структуру протеинов и их функциональные свойства [16]. Помимо модификации белков, АФА, как и АФК, способны повреждать липиды, нуклеиновые кислоты.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 бронхолегочной ткани NO синтезируется практически</w:t>
      </w:r>
    </w:p>
    <w:p>
      <w:pPr>
        <w:jc w:val="both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всеми типами клеток: эпителиоцитами, эндотелиальными клетками легочных и бронхиальных артерий и вен, тучными клетками, нейтрофилами, макрофагами, миоцитами гладкой мускулатуры бронхов и легочных артерий и др. [17. В процессе воспаления ключевую роль в образовании АФА играют фагоцитирующие клетки. Активация их сопровождается усилением экспрессии iNOS. При этом продуцируемый NO обеспечивает цитотоксичность макрофагов, быстро проникая в инфицированные клетки и ингибируя 3</w:t>
      </w:r>
    </w:p>
    <w:p>
      <w:pPr>
        <w:spacing w:after="0" w:line="9" w:lineRule="exact"/>
        <w:rPr>
          <w:sz w:val="20"/>
          <w:szCs w:val="20"/>
          <w:color w:val="auto"/>
        </w:rPr>
      </w:pPr>
    </w:p>
    <w:p>
      <w:pPr>
        <w:jc w:val="both"/>
        <w:ind w:right="2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жизненно важных процесса: синтез аденозинтрифосфорной кислоты, цикл Кребса и синтез ДНК [18].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firstLine="325"/>
        <w:spacing w:after="0" w:line="252" w:lineRule="auto"/>
        <w:tabs>
          <w:tab w:leader="none" w:pos="557" w:val="left"/>
        </w:tabs>
        <w:numPr>
          <w:ilvl w:val="1"/>
          <w:numId w:val="3"/>
        </w:numP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 xml:space="preserve">очаге воспаления высокая концентрация NO изменяет метаболическую и секреторную активность альвеолярных макрофагов с ингибированием 5-ли-пооксигеназ и НАДФН-оксидаз </w:t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[8].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 xml:space="preserve"> В результате 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u w:val="single" w:color="auto"/>
          <w:color w:val="auto"/>
        </w:rPr>
        <w:t>по-вышается синтез медиаторов воспаления, стимули-руется активность циклооксигеназы и возрастает продукция лейкотриенов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[19].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Избыточная генерация</w:t>
      </w:r>
    </w:p>
    <w:p>
      <w:pPr>
        <w:spacing w:after="0" w:line="4" w:lineRule="exact"/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</w:pPr>
    </w:p>
    <w:p>
      <w:pPr>
        <w:jc w:val="both"/>
        <w:spacing w:after="0"/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NO ингибирует пролиферацию лимфоцитов. Механизм антипролиферативного действия NO изучен недостаточно, однако предполагается, что в его основе может лежать инактивация FeS-ферментов, отвечающих за синтез АТФ и репликацию ДНК, либо повреждение последней [20]. Как межклеточный медиатор, NO способствует эозинофильной и ней- трофильной инфильтрации в дыхательных путях.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</w:pPr>
    </w:p>
    <w:p>
      <w:pPr>
        <w:ind w:left="520" w:hanging="195"/>
        <w:spacing w:after="0"/>
        <w:tabs>
          <w:tab w:leader="none" w:pos="520" w:val="left"/>
        </w:tabs>
        <w:numPr>
          <w:ilvl w:val="1"/>
          <w:numId w:val="3"/>
        </w:numPr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1991 г. </w:t>
      </w:r>
      <w:r>
        <w:rPr>
          <w:rFonts w:ascii="Times New Roman" w:cs="Times New Roman" w:eastAsia="Times New Roman" w:hAnsi="Times New Roman"/>
          <w:sz w:val="20"/>
          <w:szCs w:val="20"/>
          <w:i w:val="1"/>
          <w:iCs w:val="1"/>
          <w:color w:val="auto"/>
        </w:rPr>
        <w:t>L.E.Gustafsson et al.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обнаружили NO в вы-</w:t>
      </w:r>
    </w:p>
    <w:p>
      <w:pPr>
        <w:spacing w:after="0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дыхаемом воздухе у животных и здоровых людей [23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>].</w:t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>В</w:t>
      </w:r>
    </w:p>
    <w:p>
      <w:pPr>
        <w:spacing w:after="0" w:line="8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spacing w:after="0" w:line="237" w:lineRule="auto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дальнейшем были выявлены изменения содержания NO в выдыхаемом воздухе при ряде бронхолегочных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spacing w:after="0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заболеваний: бронхиальной астме (БА), бронхоэктатической болезни, туберкулезе легких, осложнениях после трансплантации легких, муко-висцидозе, хронической обструктивной болезни легких (ХОБЛ)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[24—28]. NO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может быть определен в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выдыхаемом воздухе и воздухе полости носа (назальный NO) в концентрации от 1 до нескольких сотен ppb (часть на миллиард).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ind w:left="560" w:hanging="235"/>
        <w:spacing w:after="0"/>
        <w:tabs>
          <w:tab w:leader="none" w:pos="560" w:val="left"/>
        </w:tabs>
        <w:numPr>
          <w:ilvl w:val="1"/>
          <w:numId w:val="3"/>
        </w:numPr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настоящее время установлено, что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уровень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NO</w:t>
      </w:r>
    </w:p>
    <w:p>
      <w:pPr>
        <w:jc w:val="both"/>
        <w:spacing w:after="0" w:line="239" w:lineRule="auto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является маркером атопического воспаления при БА, а также может иметь важное значение в диагнос-</w:t>
      </w:r>
    </w:p>
    <w:p>
      <w:pPr>
        <w:spacing w:after="0" w:line="1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spacing w:after="0" w:line="281" w:lineRule="auto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 xml:space="preserve">тике ХОБЛ. </w:t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Увеличение содержания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NO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в выдыхаемом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воздухе зависит от наличия воспалительных процессов в РТ, которые влияют на активность NO- синтаз.</w:t>
      </w:r>
    </w:p>
    <w:p>
      <w:pPr>
        <w:spacing w:after="0" w:line="29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4860" w:space="180"/>
            <w:col w:w="4860"/>
          </w:cols>
          <w:pgMar w:left="1000" w:top="775" w:right="999" w:bottom="521" w:gutter="0" w:footer="0" w:header="0"/>
          <w:type w:val="continuous"/>
        </w:sectPr>
      </w:pPr>
    </w:p>
    <w:p>
      <w:pPr>
        <w:jc w:val="both"/>
        <w:ind w:right="5060" w:firstLine="320"/>
        <w:spacing w:after="0" w:line="270" w:lineRule="auto"/>
        <w:tabs>
          <w:tab w:leader="none" w:pos="595" w:val="left"/>
        </w:tabs>
        <w:numPr>
          <w:ilvl w:val="0"/>
          <w:numId w:val="4"/>
        </w:numPr>
        <w:rPr>
          <w:rFonts w:ascii="Times New Roman" w:cs="Times New Roman" w:eastAsia="Times New Roman" w:hAnsi="Times New Roman"/>
          <w:sz w:val="19"/>
          <w:szCs w:val="19"/>
          <w:color w:val="auto"/>
        </w:rPr>
      </w:pP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организме человека NO вырабатывается фер-ментативным путем из L-аргинина (рис. 4). Этот процесс представляет собой комплексную окислительную реакцию, катализируемую ферментом NO-синтазой</w:t>
      </w:r>
    </w:p>
    <w:p>
      <w:pPr>
        <w:sectPr>
          <w:pgSz w:w="11900" w:h="16838" w:orient="portrait"/>
          <w:cols w:equalWidth="0" w:num="1">
            <w:col w:w="9900"/>
          </w:cols>
          <w:pgMar w:left="1000" w:top="775" w:right="999" w:bottom="521" w:gutter="0" w:footer="0" w:header="0"/>
          <w:type w:val="continuous"/>
        </w:sectPr>
      </w:pPr>
    </w:p>
    <w:p>
      <w:pPr>
        <w:spacing w:after="0" w:line="83" w:lineRule="exact"/>
        <w:rPr>
          <w:sz w:val="20"/>
          <w:szCs w:val="20"/>
          <w:color w:val="auto"/>
        </w:rPr>
      </w:pPr>
    </w:p>
    <w:p>
      <w:pPr>
        <w:ind w:left="60"/>
        <w:spacing w:after="0" w:line="184" w:lineRule="exact"/>
        <w:tabs>
          <w:tab w:leader="none" w:pos="866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8</w:t>
      </w:r>
      <w:r>
        <w:rPr>
          <w:sz w:val="20"/>
          <w:szCs w:val="20"/>
          <w:color w:val="auto"/>
        </w:rPr>
        <w:tab/>
      </w:r>
      <w:r>
        <w:rPr>
          <w:rFonts w:ascii="Arial Unicode MS" w:cs="Arial Unicode MS" w:eastAsia="Arial Unicode MS" w:hAnsi="Arial Unicode MS"/>
          <w:sz w:val="10"/>
          <w:szCs w:val="10"/>
          <w:b w:val="1"/>
          <w:bCs w:val="1"/>
          <w:color w:val="auto"/>
        </w:rPr>
        <w:t>Пульмонология 1’2012</w:t>
      </w:r>
    </w:p>
    <w:p>
      <w:pPr>
        <w:sectPr>
          <w:pgSz w:w="11900" w:h="16838" w:orient="portrait"/>
          <w:cols w:equalWidth="0" w:num="1">
            <w:col w:w="9900"/>
          </w:cols>
          <w:pgMar w:left="1000" w:top="775" w:right="999" w:bottom="521" w:gutter="0" w:footer="0" w:header="0"/>
          <w:type w:val="continuous"/>
        </w:sectPr>
      </w:pPr>
    </w:p>
    <w:bookmarkStart w:id="4" w:name="page5"/>
    <w:bookmarkEnd w:id="4"/>
    <w:p>
      <w:pPr>
        <w:ind w:left="13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7"/>
          <w:szCs w:val="17"/>
          <w:i w:val="1"/>
          <w:iCs w:val="1"/>
          <w:color w:val="auto"/>
        </w:rPr>
        <w:t xml:space="preserve">Соодаева С.К. </w:t>
      </w:r>
      <w:r>
        <w:rPr>
          <w:rFonts w:ascii="Times New Roman" w:cs="Times New Roman" w:eastAsia="Times New Roman" w:hAnsi="Times New Roman"/>
          <w:sz w:val="17"/>
          <w:szCs w:val="17"/>
          <w:color w:val="auto"/>
        </w:rPr>
        <w:t>Свободнорадикальные механизмы повреждения при болезнях органов</w:t>
      </w:r>
    </w:p>
    <w:p>
      <w:pPr>
        <w:sectPr>
          <w:pgSz w:w="11900" w:h="16838" w:orient="portrait"/>
          <w:cols w:equalWidth="0" w:num="1">
            <w:col w:w="9900"/>
          </w:cols>
          <w:pgMar w:left="1000" w:top="780" w:right="999" w:bottom="521" w:gutter="0" w:footer="0" w:header="0"/>
        </w:sectPr>
      </w:pPr>
    </w:p>
    <w:p>
      <w:pPr>
        <w:spacing w:after="0" w:line="82" w:lineRule="exact"/>
        <w:rPr>
          <w:sz w:val="20"/>
          <w:szCs w:val="20"/>
          <w:color w:val="auto"/>
        </w:rPr>
      </w:pPr>
    </w:p>
    <w:p>
      <w:pPr>
        <w:jc w:val="both"/>
        <w:ind w:right="20" w:firstLine="32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Данное положение подтверждается данными о том, что при бронхоэктазах, инфекциях верхних и нижних дыхательных путей, туберкулезе может возрастать содержание NO в выдыхаемом воздухе [29, 30].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right="20" w:firstLine="322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При воспалительных изменениях эпителия РТ и нарушении его целостности NO-синтаза в основном представлена индуцибельным пулом, интенсивно экспрессирующимся в воздухоносных путях и клетках воспаления [8, 11].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firstLine="32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Доказано, что при ХОБЛ развитие нитрозивного стресса сопровождается ростом уровня NO в результате активации iNOS, увеличением концентрации нитритов / нитратов, а также повышением образования пероксинитрита, выявляемого в мокроте пациентов и усиливающего деструкцию бронхолегочной ткани [31— 33]. В исследованиях </w:t>
      </w:r>
      <w:r>
        <w:rPr>
          <w:rFonts w:ascii="Times New Roman" w:cs="Times New Roman" w:eastAsia="Times New Roman" w:hAnsi="Times New Roman"/>
          <w:sz w:val="20"/>
          <w:szCs w:val="20"/>
          <w:i w:val="1"/>
          <w:iCs w:val="1"/>
          <w:color w:val="auto"/>
        </w:rPr>
        <w:t>S.A.Kharitonov, P.J.Barnes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было зарегистрировано повышение уровня выдыхаемого NO во время обострения ХОБЛ [34].</w:t>
      </w:r>
    </w:p>
    <w:p>
      <w:pPr>
        <w:spacing w:after="0" w:line="4" w:lineRule="exact"/>
        <w:rPr>
          <w:sz w:val="20"/>
          <w:szCs w:val="20"/>
          <w:color w:val="auto"/>
        </w:rPr>
      </w:pPr>
    </w:p>
    <w:p>
      <w:pPr>
        <w:jc w:val="both"/>
        <w:ind w:firstLine="322"/>
        <w:spacing w:after="0" w:line="23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Показано, что концентрация конечных метаболитов NO в сыворотке крови (NO</w:t>
      </w:r>
      <w:r>
        <w:rPr>
          <w:rFonts w:ascii="Times New Roman" w:cs="Times New Roman" w:eastAsia="Times New Roman" w:hAnsi="Times New Roman"/>
          <w:sz w:val="12"/>
          <w:szCs w:val="12"/>
          <w:color w:val="auto"/>
        </w:rPr>
        <w:t>2</w:t>
      </w:r>
      <w:r>
        <w:rPr>
          <w:rFonts w:ascii="Times New Roman" w:cs="Times New Roman" w:eastAsia="Times New Roman" w:hAnsi="Times New Roman"/>
          <w:sz w:val="25"/>
          <w:szCs w:val="25"/>
          <w:color w:val="auto"/>
          <w:vertAlign w:val="superscript"/>
        </w:rPr>
        <w:t>-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, NO</w:t>
      </w:r>
      <w:r>
        <w:rPr>
          <w:rFonts w:ascii="Times New Roman" w:cs="Times New Roman" w:eastAsia="Times New Roman" w:hAnsi="Times New Roman"/>
          <w:sz w:val="12"/>
          <w:szCs w:val="12"/>
          <w:color w:val="auto"/>
        </w:rPr>
        <w:t>3</w:t>
      </w:r>
      <w:r>
        <w:rPr>
          <w:rFonts w:ascii="Times New Roman" w:cs="Times New Roman" w:eastAsia="Times New Roman" w:hAnsi="Times New Roman"/>
          <w:sz w:val="25"/>
          <w:szCs w:val="25"/>
          <w:color w:val="auto"/>
          <w:vertAlign w:val="superscript"/>
        </w:rPr>
        <w:t>-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, NO</w:t>
      </w:r>
      <w:r>
        <w:rPr>
          <w:rFonts w:ascii="Times New Roman" w:cs="Times New Roman" w:eastAsia="Times New Roman" w:hAnsi="Times New Roman"/>
          <w:sz w:val="12"/>
          <w:szCs w:val="12"/>
          <w:color w:val="auto"/>
        </w:rPr>
        <w:t>x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), а также уровень их спонтанной и индуцированной липополисахаридами продукции моноцитами крови в условиях культивирования клеток </w:t>
      </w:r>
      <w:r>
        <w:rPr>
          <w:rFonts w:ascii="Times New Roman" w:cs="Times New Roman" w:eastAsia="Times New Roman" w:hAnsi="Times New Roman"/>
          <w:sz w:val="20"/>
          <w:szCs w:val="20"/>
          <w:i w:val="1"/>
          <w:iCs w:val="1"/>
          <w:color w:val="auto"/>
        </w:rPr>
        <w:t>in vitro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у больных ХОБЛ в период ремиссии значительно выше, по сравнению со здоровыми некурящими лицами [35].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jc w:val="both"/>
        <w:ind w:firstLine="321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Таким образом, широкий спектр биохимических и патофизиологических эффектов NO, влияющих на процессы клеточной регуляции, его высокая биоло-гическая активность делают перспективными даль-нейшие исследования информативности данного маркера при оценке состояния пациентов ХОБЛ в различные периоды и на различных стадиях забо-левания.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jc w:val="both"/>
        <w:ind w:firstLine="321"/>
        <w:spacing w:after="0" w:line="24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Кроме того,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повышается интерес к изучению со-держания метаболитов NO для оценки тяжести тече-ния ХОБЛ и мониторинга эффективности проводи-мой терапии.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Учитывая актуальность внедрения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неивазивных методов диагностики, целесообразно оценивать изменение концентрации изучаемых ме-таболитов NO в конденсате выдыхаемого воздуха (КВВ) у больных ХОБЛ.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right="20" w:firstLine="321"/>
        <w:spacing w:after="0" w:line="237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Установлено, что уровень суммарной концентрации нитратов и нитритов (TNN) в КВВ является ин-тегральным показателем синтеза оксида азота в рес-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пираторном тракте [38].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Обнаружено также,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что этот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показатель статистически значимо повышается при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right="20"/>
        <w:spacing w:after="0" w:line="24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поллинозе и обострении БА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[7, 39].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На основе оценки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TNN в КВВ разработан метод выявления групп риска по атопии в ходе массовых скрининговых исследований среди школьников [40].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ind w:firstLine="321"/>
        <w:spacing w:after="0" w:line="244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Немногочисленные научные публикации пред-ставляют данные о повышении уровня содержания выдыхаемого NO и его метаболитов (нитратов и нит-ритов) в КВВ, у больных с обострением ХОБЛ [41— 43]. Известно, что ХОБЛ является одним из наиболее распространенных респираторных заболеваний у ликвидаторов аварии на Чернобыльской АЭС. При этом происходит нарушение оксидативного статуса, которое проявляется, в частности, изменением метаболизма оксида азота в респираторном тракте.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Коррекция этих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нарушений возможна посредством препаратов с антиоксидантными (АО) свойствами.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5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Наиболее изученным является N-ацетилцистеин (NAC)</w:t>
      </w:r>
    </w:p>
    <w:p>
      <w:pPr>
        <w:jc w:val="both"/>
        <w:ind w:firstLine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— препарат, обладающий как прямой, так и непрямой АО-активностью.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NAC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является предшественником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глутатиона, с чем связан его непрямой АО-эффект.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u w:val="single" w:color="auto"/>
          <w:color w:val="auto"/>
        </w:rPr>
        <w:t>Глутатион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–трипептид (–глутамил -цистеинил-глицин), признанный наиболее значимым из низкомолекулярных антиоксидантов, обеспечивает АО-защиту от эндогенных и экзогенных оксидантов посредством сульфгидрильной группы цистеина, а также выступает как кофермент и играет ведущую роль в функционировании ряда ферментов глутати-онового цикла — глутатионпероксидазы, глутатион-редуктазы и глутатионтрансферазы.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Глутион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способен инактивировать большинство АФК и АФА, в т. ч. их наиболее токсичные формы — пероксинитрит, гипохлорит и гидроксильные радикалы. Глутион регулирует активность многих белков, учавствует в стабилизации клеточных мембран, синтезе ДНК, пролиферации клеток, учавствует в трансмембранном переносе органических веществ и тем самым способствует регенерации поврежденных альвеол и восстановлению функции дыхания. Уровень глутатиона сокращается при постоянных перенапряжениях иммунной системы, таких как: болезни, инфекции, неблагоприятные воздействия окружающей среды. И хотя глутатион нужен для продуктивной работы иммунной системы, ослабленная иммунная система сдерживает производство глутатиона, в результате получается пагубный цикл.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spacing w:after="0" w:line="2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Глутатион играет решающую роль в работе иммунной системы и напрямую связан с воспроизводством и ростом Т-лимфоцитов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,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которые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помогают координировать реакцию организма , для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1925320</wp:posOffset>
                </wp:positionH>
                <wp:positionV relativeFrom="paragraph">
                  <wp:posOffset>-1582420</wp:posOffset>
                </wp:positionV>
                <wp:extent cx="36195" cy="1270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12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" o:spid="_x0000_s1033" style="position:absolute;margin-left:151.6pt;margin-top:-124.5999pt;width:2.85pt;height:1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000000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1684020</wp:posOffset>
                </wp:positionH>
                <wp:positionV relativeFrom="paragraph">
                  <wp:posOffset>-1160145</wp:posOffset>
                </wp:positionV>
                <wp:extent cx="79375" cy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32.6pt,-91.3499pt" to="138.85pt,-91.3499pt" o:allowincell="f" strokecolor="#000000" strokeweight="0.48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1678305</wp:posOffset>
                </wp:positionH>
                <wp:positionV relativeFrom="paragraph">
                  <wp:posOffset>-1013460</wp:posOffset>
                </wp:positionV>
                <wp:extent cx="121920" cy="0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09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132.15pt,-79.7999pt" to="141.75pt,-79.7999pt" o:allowincell="f" strokecolor="#000000" strokeweight="0.4799pt"/>
            </w:pict>
          </mc:Fallback>
        </mc:AlternateContent>
      </w:r>
    </w:p>
    <w:p>
      <w:pPr>
        <w:jc w:val="both"/>
        <w:spacing w:after="0" w:line="241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 xml:space="preserve">распознавания чужеродного агента , а также уничтожают ( Т-киллеры ) возбудителей различных заболеваний. 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Низкий уровень глутатиона в антиген-</w:t>
      </w:r>
    </w:p>
    <w:p>
      <w:pPr>
        <w:jc w:val="both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презентирующих клетках способствует нарушению образования антигена и формирует неправильный ответ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.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Поэтому глутатион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–важный фактор в регуляции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эффективности антиген-презентирования ( Short,S,Eur.</w:t>
      </w:r>
    </w:p>
    <w:p>
      <w:pPr>
        <w:jc w:val="both"/>
        <w:ind w:right="2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J.Immunol.1996,Dec,26(12):3015-3020). Следует заметить, что большинство антигенов –это белки с дисульфидными связями. Глутатион восстановленный GSH восстанавливает дисульфидныесвязи антигенов.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Высокий уровень глутатиона также способствует продукции интерферона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.</w:t>
      </w: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Основные усилия лечащего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jc w:val="both"/>
        <w:spacing w:after="0" w:line="253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 xml:space="preserve">врача при аллергических заболеваниях респираторного тракта должны быть направлены на снижение продукции IgE и увеличение синтеза IgG HlgA. т.е воздействие на иммунологическую стадию. </w:t>
      </w:r>
      <w:r>
        <w:rPr>
          <w:rFonts w:ascii="Times New Roman" w:cs="Times New Roman" w:eastAsia="Times New Roman" w:hAnsi="Times New Roman"/>
          <w:sz w:val="19"/>
          <w:szCs w:val="19"/>
          <w:b w:val="1"/>
          <w:bCs w:val="1"/>
          <w:color w:val="auto"/>
        </w:rPr>
        <w:t>Глутатион являясь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jc w:val="both"/>
        <w:spacing w:after="0" w:line="238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иммунокорректором, уменьшает продукцию IgE,способствует снижению воспалительных цитокинов, в том числе лейкотриенов и ориентирует дифференциацию наивных хелперов.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jc w:val="both"/>
        <w:spacing w:after="0" w:line="246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При недостатке глутатиона он может синтезироваться из экзогенного NAC, в молекуле которого ацетилрадикал связан с аминогруппой, что позволяет обеспечить доставку активной формы цистеина для синтеза глутатиона. Благодаря этим свойствам NAC в последнее время применяется в терапии ХОБЛ, острых респираторных вирусных инфекций, интерстициальных заболеваний легких, острого респираторного дистресс-</w:t>
      </w:r>
    </w:p>
    <w:p>
      <w:pPr>
        <w:spacing w:after="0" w:line="189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4860" w:space="180"/>
            <w:col w:w="4860"/>
          </w:cols>
          <w:pgMar w:left="1000" w:top="780" w:right="999" w:bottom="521" w:gutter="0" w:footer="0" w:header="0"/>
          <w:type w:val="continuous"/>
        </w:sectPr>
      </w:pPr>
    </w:p>
    <w:p>
      <w:pPr>
        <w:ind w:left="60"/>
        <w:spacing w:after="0" w:line="207" w:lineRule="exact"/>
        <w:tabs>
          <w:tab w:leader="none" w:pos="8640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9</w:t>
      </w:r>
      <w:r>
        <w:rPr>
          <w:sz w:val="20"/>
          <w:szCs w:val="20"/>
          <w:color w:val="auto"/>
        </w:rPr>
        <w:tab/>
      </w:r>
      <w:r>
        <w:rPr>
          <w:rFonts w:ascii="Arial Unicode MS" w:cs="Arial Unicode MS" w:eastAsia="Arial Unicode MS" w:hAnsi="Arial Unicode MS"/>
          <w:sz w:val="11"/>
          <w:szCs w:val="11"/>
          <w:b w:val="1"/>
          <w:bCs w:val="1"/>
          <w:color w:val="auto"/>
        </w:rPr>
        <w:t>Пульмонология 4’2011</w:t>
      </w:r>
    </w:p>
    <w:p>
      <w:pPr>
        <w:sectPr>
          <w:pgSz w:w="11900" w:h="16838" w:orient="portrait"/>
          <w:cols w:equalWidth="0" w:num="1">
            <w:col w:w="9900"/>
          </w:cols>
          <w:pgMar w:left="1000" w:top="780" w:right="999" w:bottom="521" w:gutter="0" w:footer="0" w:header="0"/>
          <w:type w:val="continuous"/>
        </w:sectPr>
      </w:pPr>
    </w:p>
    <w:bookmarkStart w:id="5" w:name="page6"/>
    <w:bookmarkEnd w:id="5"/>
    <w:p>
      <w:pPr>
        <w:ind w:left="134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8"/>
          <w:szCs w:val="18"/>
          <w:i w:val="1"/>
          <w:iCs w:val="1"/>
          <w:color w:val="auto"/>
        </w:rPr>
        <w:t xml:space="preserve">Соодаева С.К. </w:t>
      </w:r>
      <w:r>
        <w:rPr>
          <w:rFonts w:ascii="Times New Roman" w:cs="Times New Roman" w:eastAsia="Times New Roman" w:hAnsi="Times New Roman"/>
          <w:sz w:val="18"/>
          <w:szCs w:val="18"/>
          <w:color w:val="auto"/>
        </w:rPr>
        <w:t>Свободнорадикальные механизмы повреждения при болезнях органов</w:t>
      </w:r>
    </w:p>
    <w:p>
      <w:pPr>
        <w:sectPr>
          <w:pgSz w:w="11900" w:h="16838" w:orient="portrait"/>
          <w:cols w:equalWidth="0" w:num="1">
            <w:col w:w="9902"/>
          </w:cols>
          <w:pgMar w:left="998" w:top="775" w:right="999" w:bottom="521" w:gutter="0" w:footer="0" w:header="0"/>
        </w:sectPr>
      </w:pPr>
    </w:p>
    <w:p>
      <w:pPr>
        <w:spacing w:after="0" w:line="7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синдрома, опухолей РТ и муковисцидоза.</w:t>
      </w:r>
    </w:p>
    <w:p>
      <w:pPr>
        <w:spacing w:after="0" w:line="5" w:lineRule="exact"/>
        <w:rPr>
          <w:sz w:val="20"/>
          <w:szCs w:val="20"/>
          <w:color w:val="auto"/>
        </w:rPr>
      </w:pPr>
    </w:p>
    <w:p>
      <w:pPr>
        <w:ind w:left="32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Таким образом, суммарная концентрация стабиль-</w:t>
      </w: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ных метаболитов оксида азота в КВВ может служить</w:t>
      </w: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маркером  эффективности  действия  антиоксидантной</w:t>
      </w: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терапии, применяемой в качестве дополнения к тра-</w:t>
      </w: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диционной терапии пациентов с ХОБЛ — ликвидаторов</w:t>
      </w:r>
    </w:p>
    <w:p>
      <w:pPr>
        <w:ind w:left="2"/>
        <w:spacing w:after="0" w:line="235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аварии на Чернобыльской АЭС, а NAC способствует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коррекции нарушений метаболизма NO. Дальнейшее</w:t>
      </w: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изучение метаболизма оксида азота в КВВ у пациентов</w:t>
      </w: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ХОБЛ является перспективным</w:t>
      </w:r>
    </w:p>
    <w:p>
      <w:pPr>
        <w:jc w:val="both"/>
        <w:ind w:left="2" w:right="20"/>
        <w:spacing w:after="0" w:line="252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и, несомненно, значимым для оценки активности хронического воспаления, а также мониторирова- ния эффективности проводимой терапии [44].</w:t>
      </w:r>
    </w:p>
    <w:p>
      <w:pPr>
        <w:ind w:left="32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9"/>
          <w:szCs w:val="19"/>
          <w:color w:val="auto"/>
        </w:rPr>
        <w:t>Неинвазивные методы исследования оксидатив- ного</w:t>
      </w:r>
    </w:p>
    <w:p>
      <w:pPr>
        <w:spacing w:after="0" w:line="12" w:lineRule="exact"/>
        <w:rPr>
          <w:sz w:val="20"/>
          <w:szCs w:val="20"/>
          <w:color w:val="auto"/>
        </w:rPr>
      </w:pPr>
    </w:p>
    <w:p>
      <w:pPr>
        <w:jc w:val="both"/>
        <w:ind w:left="2" w:right="20" w:hanging="2"/>
        <w:spacing w:after="0"/>
        <w:tabs>
          <w:tab w:leader="none" w:pos="270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нитрозивного стресса позволяют оптимизировать диагностику и лечение, а также способствуют выяснению молекулярных механизмов патогенеза заболеваний легких, в т. ч. ХОБЛ. На рис. 5 представ-лены эффекты оксидативного и нитрозивного стресса в респираторном тракте при ХОБЛ [45].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20"/>
          <w:szCs w:val="20"/>
          <w:color w:val="auto"/>
        </w:rPr>
      </w:pPr>
    </w:p>
    <w:p>
      <w:pPr>
        <w:jc w:val="both"/>
        <w:ind w:left="2" w:right="20" w:firstLine="322"/>
        <w:spacing w:after="0" w:line="239" w:lineRule="auto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color w:val="auto"/>
        </w:rPr>
        <w:t>Учитывая рассмотренные выше механизмы ини-циации и особенностей развития СРП при различных болезнях легких, а также способы их коррекции, в целях эффективной патогенетической терапии необходимо определять оксидативный и нитрозивный статус пациента при каждом конкретном заболевании и</w:t>
      </w:r>
    </w:p>
    <w:p>
      <w:pPr>
        <w:jc w:val="both"/>
        <w:ind w:left="2"/>
        <w:spacing w:after="0" w:line="268" w:lineRule="auto"/>
        <w:rPr>
          <w:rFonts w:ascii="Times New Roman" w:cs="Times New Roman" w:eastAsia="Times New Roman" w:hAnsi="Times New Roman"/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0"/>
          <w:szCs w:val="20"/>
          <w:b w:val="1"/>
          <w:bCs w:val="1"/>
          <w:color w:val="auto"/>
        </w:rPr>
        <w:t>назначать антиоксидантные средства, влияющие на конкретные звенья процессов свободнорадикального окисления, а также иммунокорректоры.</w:t>
      </w:r>
    </w:p>
    <w:p>
      <w:pPr>
        <w:spacing w:after="0" w:line="66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Arial Narrow" w:cs="Arial Narrow" w:eastAsia="Arial Narrow" w:hAnsi="Arial Narrow"/>
          <w:sz w:val="22"/>
          <w:szCs w:val="22"/>
          <w:b w:val="1"/>
          <w:bCs w:val="1"/>
          <w:color w:val="auto"/>
        </w:rPr>
        <w:t>Литература</w:t>
      </w:r>
    </w:p>
    <w:p>
      <w:pPr>
        <w:spacing w:after="0" w:line="125" w:lineRule="exact"/>
        <w:rPr>
          <w:sz w:val="20"/>
          <w:szCs w:val="20"/>
          <w:color w:val="auto"/>
        </w:rPr>
      </w:pPr>
    </w:p>
    <w:p>
      <w:pPr>
        <w:ind w:left="322" w:right="20" w:hanging="182"/>
        <w:spacing w:after="0" w:line="244" w:lineRule="auto"/>
        <w:tabs>
          <w:tab w:leader="none" w:pos="322" w:val="left"/>
        </w:tabs>
        <w:numPr>
          <w:ilvl w:val="1"/>
          <w:numId w:val="7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Скулачев В.П.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Кислород и явления запрограмированной смерти.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М.: ИМБХ РАМН; 2000.</w:t>
      </w:r>
    </w:p>
    <w:p>
      <w:pPr>
        <w:ind w:left="322" w:hanging="182"/>
        <w:spacing w:after="0"/>
        <w:tabs>
          <w:tab w:leader="none" w:pos="322" w:val="left"/>
        </w:tabs>
        <w:numPr>
          <w:ilvl w:val="1"/>
          <w:numId w:val="7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Владимиров Ю.А.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Физико-химические основы патологии клетки.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ind w:left="322"/>
        <w:spacing w:after="0"/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М.: Б.и.; 2001.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ind w:left="322" w:right="20" w:hanging="182"/>
        <w:spacing w:after="0" w:line="244" w:lineRule="auto"/>
        <w:tabs>
          <w:tab w:leader="none" w:pos="322" w:val="left"/>
        </w:tabs>
        <w:numPr>
          <w:ilvl w:val="1"/>
          <w:numId w:val="7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Babior B.M.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Phagocytes and oxidative stress. Am. J. Med. 2000; 109: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33-44.</w:t>
      </w:r>
    </w:p>
    <w:p>
      <w:pPr>
        <w:jc w:val="both"/>
        <w:ind w:left="322" w:right="20" w:hanging="182"/>
        <w:spacing w:after="0" w:line="244" w:lineRule="auto"/>
        <w:tabs>
          <w:tab w:leader="none" w:pos="321" w:val="left"/>
        </w:tabs>
        <w:numPr>
          <w:ilvl w:val="1"/>
          <w:numId w:val="7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Соодаева С.К.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Оксидантные и антиоксидантные системы легких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при хронических обструктивных заболеваниях. В кн.: Хронические обструктивные болезни легких. М.: Бином; 1998. 92-110.</w:t>
      </w:r>
    </w:p>
    <w:p>
      <w:pPr>
        <w:ind w:left="322" w:right="20" w:hanging="182"/>
        <w:spacing w:after="0" w:line="241" w:lineRule="auto"/>
        <w:tabs>
          <w:tab w:leader="none" w:pos="322" w:val="left"/>
        </w:tabs>
        <w:numPr>
          <w:ilvl w:val="1"/>
          <w:numId w:val="7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Macnee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W.Oxidative stress and lung inflammation in airways disease.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Eur. J. Pharmacol. 2001; 429: 195-207.</w:t>
      </w:r>
    </w:p>
    <w:p>
      <w:pPr>
        <w:ind w:left="322" w:hanging="182"/>
        <w:spacing w:after="0"/>
        <w:tabs>
          <w:tab w:leader="none" w:pos="322" w:val="left"/>
        </w:tabs>
        <w:numPr>
          <w:ilvl w:val="1"/>
          <w:numId w:val="7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Kelly F.J.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Oxidative lung injury. In: Free radicals, nitric oxide, and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ind w:left="322"/>
        <w:spacing w:after="0"/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inflammation: molecular, biochemical, and clinical aspects. NATO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ind w:left="322"/>
        <w:spacing w:after="0"/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Science Series.: IOS Press; 2003. 237-251.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ind w:left="322" w:hanging="182"/>
        <w:spacing w:after="0"/>
        <w:tabs>
          <w:tab w:leader="none" w:pos="322" w:val="left"/>
        </w:tabs>
        <w:numPr>
          <w:ilvl w:val="1"/>
          <w:numId w:val="7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Климанов И.А., Соодаева С.К., Чучалин А.Г.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Изменения мета-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ind w:left="322" w:right="20"/>
        <w:spacing w:after="0" w:line="244" w:lineRule="auto"/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болизма оксида азота при поллинозе и бронхиальной астме. Пульмонология 2006: 4: 17-22.</w:t>
      </w:r>
    </w:p>
    <w:p>
      <w:pPr>
        <w:jc w:val="both"/>
        <w:ind w:left="322" w:right="20" w:hanging="321"/>
        <w:spacing w:after="0" w:line="244" w:lineRule="auto"/>
        <w:tabs>
          <w:tab w:leader="none" w:pos="317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Dinakar C, Malur A., Raychaudhuri B. et al.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Differential regulation of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human blood monocyte and alveolar macrophage inflammatory cytokine production by nitric oxide. Ann. Allergy Asthma Immunol. 1999; 82 (2): 217-222.</w:t>
      </w:r>
    </w:p>
    <w:p>
      <w:pPr>
        <w:ind w:left="322" w:right="20" w:hanging="321"/>
        <w:spacing w:after="0" w:line="244" w:lineRule="auto"/>
        <w:tabs>
          <w:tab w:leader="none" w:pos="322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Kharitonov S.A., Barnes P.J.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Biomarkers of some pulmonary diseases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in exhaled breath. Biomarkers 2002; 7 (1): 1-32.</w:t>
      </w:r>
    </w:p>
    <w:p>
      <w:pPr>
        <w:jc w:val="both"/>
        <w:ind w:left="322" w:hanging="321"/>
        <w:spacing w:after="0" w:line="244" w:lineRule="auto"/>
        <w:tabs>
          <w:tab w:leader="none" w:pos="322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Nabeyrat E, Jones G.E., Fenwick P.S. et al.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Mitogen-activated protein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kinases mediate peroxynitrite-induced cell death in human bronchial epithelial cells. Am. J. Physiol. Lung Cell. Mol. Physiol. 2003; 284: L1112-L1120.</w:t>
      </w:r>
    </w:p>
    <w:p>
      <w:pPr>
        <w:jc w:val="both"/>
        <w:ind w:left="322" w:right="20" w:hanging="321"/>
        <w:spacing w:after="0" w:line="244" w:lineRule="auto"/>
        <w:tabs>
          <w:tab w:leader="none" w:pos="322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Gustafsson L.E., Leone A.M., Persson M. et al.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Endogenous nitric oxide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is present in the exhaled air of rabbits, quinea pigs and humans. Biochem. Biophys. Res. Commun. 1991; 181 (12): 852-857.</w:t>
      </w:r>
    </w:p>
    <w:p>
      <w:pPr>
        <w:ind w:left="322" w:right="20" w:hanging="321"/>
        <w:spacing w:after="0" w:line="244" w:lineRule="auto"/>
        <w:tabs>
          <w:tab w:leader="none" w:pos="322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Bowler R.P., Crapo J.D.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Oxidative stress in allergic respiratory dis-eases. J. Allergy Clin. Immunol. 2002; 110: 349-356.</w:t>
      </w:r>
    </w:p>
    <w:p>
      <w:pPr>
        <w:jc w:val="both"/>
        <w:ind w:left="322" w:right="20" w:hanging="321"/>
        <w:spacing w:after="0" w:line="242" w:lineRule="auto"/>
        <w:tabs>
          <w:tab w:leader="none" w:pos="322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Folkerts G, Kloek J., Muijsers R.B.R., Nijkamp F.P.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Reactive nitrogen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and oxygen species in airway inflammation. Eur. J. Pharmacol. 2001; 429: 251-262.</w:t>
      </w:r>
    </w:p>
    <w:p>
      <w:pPr>
        <w:jc w:val="both"/>
        <w:ind w:left="322" w:right="20" w:hanging="321"/>
        <w:spacing w:after="0" w:line="281" w:lineRule="auto"/>
        <w:tabs>
          <w:tab w:leader="none" w:pos="322" w:val="left"/>
        </w:tabs>
        <w:numPr>
          <w:ilvl w:val="0"/>
          <w:numId w:val="8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Repine J.E., Bast A., Lankhorst I., Group TOSS.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Oxidative stress in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chronic obstructive pulmonary disease. Am. J. Respir. Crit. Care Med.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67" w:lineRule="exact"/>
        <w:rPr>
          <w:sz w:val="20"/>
          <w:szCs w:val="20"/>
          <w:color w:val="auto"/>
        </w:rPr>
      </w:pPr>
    </w:p>
    <w:p>
      <w:pPr>
        <w:ind w:left="317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1997; 156: 341-357.</w:t>
      </w:r>
    </w:p>
    <w:p>
      <w:pPr>
        <w:spacing w:after="0" w:line="3" w:lineRule="exact"/>
        <w:rPr>
          <w:sz w:val="20"/>
          <w:szCs w:val="20"/>
          <w:color w:val="auto"/>
        </w:rPr>
      </w:pPr>
    </w:p>
    <w:p>
      <w:pPr>
        <w:ind w:left="317" w:hanging="315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Agusti A.G.N., Noguera A., Sauleda J.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Systemic inflammation in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chronic respiratory disease. Eur. Respir. Mon. 2003; 24: 46-55.</w:t>
      </w:r>
    </w:p>
    <w:p>
      <w:pPr>
        <w:ind w:left="317" w:hanging="315"/>
        <w:spacing w:after="0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5"/>
          <w:szCs w:val="15"/>
          <w:color w:val="auto"/>
        </w:rPr>
      </w:pPr>
      <w:r>
        <w:rPr>
          <w:rFonts w:ascii="Times New Roman" w:cs="Times New Roman" w:eastAsia="Times New Roman" w:hAnsi="Times New Roman"/>
          <w:sz w:val="15"/>
          <w:szCs w:val="15"/>
          <w:i w:val="1"/>
          <w:iCs w:val="1"/>
          <w:color w:val="auto"/>
        </w:rPr>
        <w:t xml:space="preserve">Ashutosh K </w:t>
      </w:r>
      <w:r>
        <w:rPr>
          <w:rFonts w:ascii="Times New Roman" w:cs="Times New Roman" w:eastAsia="Times New Roman" w:hAnsi="Times New Roman"/>
          <w:sz w:val="15"/>
          <w:szCs w:val="15"/>
          <w:color w:val="auto"/>
        </w:rPr>
        <w:t>Nitric oxide and asthma: a review. Curr. Opin. Pulm. Med.</w:t>
      </w:r>
    </w:p>
    <w:p>
      <w:pPr>
        <w:spacing w:after="0" w:line="14" w:lineRule="exact"/>
        <w:rPr>
          <w:rFonts w:ascii="Times New Roman" w:cs="Times New Roman" w:eastAsia="Times New Roman" w:hAnsi="Times New Roman"/>
          <w:sz w:val="15"/>
          <w:szCs w:val="15"/>
          <w:color w:val="auto"/>
        </w:rPr>
      </w:pPr>
    </w:p>
    <w:p>
      <w:pPr>
        <w:ind w:left="317"/>
        <w:spacing w:after="0"/>
        <w:rPr>
          <w:rFonts w:ascii="Times New Roman" w:cs="Times New Roman" w:eastAsia="Times New Roman" w:hAnsi="Times New Roman"/>
          <w:sz w:val="15"/>
          <w:szCs w:val="15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2000; 6 (1): 21-25.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5"/>
          <w:szCs w:val="15"/>
          <w:color w:val="auto"/>
        </w:rPr>
      </w:pPr>
    </w:p>
    <w:p>
      <w:pPr>
        <w:jc w:val="both"/>
        <w:ind w:left="317" w:hanging="315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Barnes P.J., Shapiro S.D., Pauwels R.A.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Chronic obstructive pul-monary disease: molecular and cellular mechanisms. Eur. Respir. J. 2003; 22: 672-688.</w:t>
      </w:r>
    </w:p>
    <w:p>
      <w:pPr>
        <w:ind w:left="317" w:hanging="315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Siafakas N.M., Barnes P.J.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Future research in chronic obstructive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pulmonary disease. Eur. Respir. J. 2006; 28: 470-474.</w:t>
      </w:r>
    </w:p>
    <w:p>
      <w:pPr>
        <w:jc w:val="both"/>
        <w:ind w:left="317" w:hanging="315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Corradi M, Pesci A., Casana R.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Nitrate in exhaled breath condensate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of patients with different airway diseases. Nitric Oxide 2003; 8 (1): 26-30.</w:t>
      </w:r>
    </w:p>
    <w:p>
      <w:pPr>
        <w:jc w:val="both"/>
        <w:ind w:left="317" w:hanging="315"/>
        <w:spacing w:after="0" w:line="242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Carratu P., Scoditti C., Maniscalco M.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Exhaled and arterial levels of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endothelin-1 are increased and correlate with pulmonary systolic pressure in COPD with pulmonary hypertension. BMC Pulm. Med. 2008; 8 (5): 154-158.</w:t>
      </w:r>
    </w:p>
    <w:p>
      <w:pPr>
        <w:spacing w:after="0" w:line="2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jc w:val="both"/>
        <w:ind w:left="317" w:hanging="315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Kanazawa H., Shiraishi S., Hirata K., Yoshikawa J.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Imbalance between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levels of nitrogen oxides and peroxynitrite inhibitory activity in chronic obstructive pulmonary disease. Thorax 2003; 58: 106-109.</w:t>
      </w:r>
    </w:p>
    <w:p>
      <w:pPr>
        <w:ind w:left="317" w:hanging="315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Kharitonov S.A., Barnes P.J.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Exhaled biomarkers. Chest 2006; 130: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1541-1546.</w:t>
      </w:r>
    </w:p>
    <w:p>
      <w:pPr>
        <w:jc w:val="both"/>
        <w:ind w:left="317" w:hanging="315"/>
        <w:spacing w:after="0" w:line="243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Степанищева Л.А.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Хроническая обструктивная болезнь легких.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Программа реабилитации для рабочих машиностроительного предприятия. Челябинск: Изд-во ЧелГМА; 2005.</w:t>
      </w:r>
    </w:p>
    <w:p>
      <w:pPr>
        <w:jc w:val="both"/>
        <w:ind w:left="317" w:right="20" w:hanging="317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McCafferty J.B., Bradshaw T.A., Tate S. et al.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Effects of breathing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pattern and inspired air conditions on breath condensate volume, pH, nitrite, and protein concentration. Thorax 2004; 59: 694-698.</w:t>
      </w:r>
    </w:p>
    <w:p>
      <w:pPr>
        <w:ind w:left="317" w:right="20" w:hanging="317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Kelm M.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NO metabolism and breakdown. Biochim. Biophys. Acta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1999; 1411: 273-289.</w:t>
      </w:r>
    </w:p>
    <w:p>
      <w:pPr>
        <w:jc w:val="both"/>
        <w:ind w:left="317" w:hanging="316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Климанов И.А., Соодаева С.К.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Механизмы формирования кон-денсата выдыхаемого воздуха и маркеры оксидативного стресса при патологиях респираторного тракта. Пульмонология 2009; 2:</w:t>
      </w:r>
    </w:p>
    <w:p>
      <w:pPr>
        <w:ind w:left="317"/>
        <w:spacing w:after="0"/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113-119.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ind w:left="317" w:hanging="316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Климанов И.А.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Изучение метаболизма оксида азота при брон-хиальной астме: Автореф. дис. ... канд. мед. наук. М; 2006.</w:t>
      </w:r>
    </w:p>
    <w:p>
      <w:pPr>
        <w:jc w:val="both"/>
        <w:ind w:left="317" w:hanging="316"/>
        <w:spacing w:after="0" w:line="242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Запруднова Е.А., Климанов И.А., Соодаева С.К.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Новые подходы к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раннему выявлению атопических состояний у детей. Пуль-монология 2010; 5: 70-73.</w:t>
      </w:r>
    </w:p>
    <w:p>
      <w:pPr>
        <w:ind w:left="317" w:hanging="316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Celli B.R., Barnes P.J.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Exacerbations of chronic obstructive pulmonary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disease. Eur. Respir. J. 2007; 29: 1224-1238.</w:t>
      </w:r>
    </w:p>
    <w:p>
      <w:pPr>
        <w:jc w:val="both"/>
        <w:ind w:left="317" w:hanging="316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MarteusH., TornbergD.C., WeitzbergE.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Origin of nitrite and nitrate in</w:t>
      </w: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nasal and exhaled breath condensate and relation to nitric oxide formation. Thorax 2005; 60: 219-225.</w:t>
      </w:r>
    </w:p>
    <w:p>
      <w:pPr>
        <w:ind w:left="317" w:hanging="315"/>
        <w:spacing w:after="0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Постникова Л.Б., Кубышева Н.И., Миндубаев Р.З. и др.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Особен-</w:t>
      </w:r>
    </w:p>
    <w:p>
      <w:pPr>
        <w:spacing w:after="0" w:line="3" w:lineRule="exact"/>
        <w:rPr>
          <w:rFonts w:ascii="Times New Roman" w:cs="Times New Roman" w:eastAsia="Times New Roman" w:hAnsi="Times New Roman"/>
          <w:sz w:val="16"/>
          <w:szCs w:val="16"/>
          <w:color w:val="auto"/>
        </w:rPr>
      </w:pPr>
    </w:p>
    <w:p>
      <w:pPr>
        <w:jc w:val="both"/>
        <w:ind w:left="317"/>
        <w:spacing w:after="0" w:line="244" w:lineRule="auto"/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ности содержания эндотелина-1 и эндобронхиальной конце-нтрации метаболитов оксида азота при хронической обструк-тивной болезни легких. Пульмонология 2010; 3: 108-112.</w:t>
      </w:r>
    </w:p>
    <w:p>
      <w:pPr>
        <w:jc w:val="both"/>
        <w:ind w:left="317" w:hanging="315"/>
        <w:spacing w:after="0" w:line="244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Cazzola M., MacNee W. Martinez. F.J.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Outcomes for COPD phar-macological trials: from lung function to biomarkers. Eur. Respir. J. 2008; 31 (2): 416-468.</w:t>
      </w:r>
    </w:p>
    <w:p>
      <w:pPr>
        <w:jc w:val="both"/>
        <w:ind w:left="317" w:hanging="315"/>
        <w:spacing w:after="0" w:line="266" w:lineRule="auto"/>
        <w:tabs>
          <w:tab w:leader="none" w:pos="317" w:val="left"/>
        </w:tabs>
        <w:numPr>
          <w:ilvl w:val="0"/>
          <w:numId w:val="9"/>
        </w:numPr>
        <w:rPr>
          <w:rFonts w:ascii="Times New Roman" w:cs="Times New Roman" w:eastAsia="Times New Roman" w:hAnsi="Times New Roman"/>
          <w:sz w:val="16"/>
          <w:szCs w:val="16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i w:val="1"/>
          <w:iCs w:val="1"/>
          <w:color w:val="auto"/>
        </w:rPr>
        <w:t xml:space="preserve">Liu R.-M., Pravia K.A.G. </w:t>
      </w: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Oxidative stress and glutathione in TGF-beta-mediated fibrogenesis. J. Free Radic. Biol. Med. 2010; 48 (1): 1-15.</w:t>
      </w:r>
    </w:p>
    <w:p>
      <w:pPr>
        <w:spacing w:after="0" w:line="4349" w:lineRule="exact"/>
        <w:rPr>
          <w:sz w:val="20"/>
          <w:szCs w:val="20"/>
          <w:color w:val="auto"/>
        </w:rPr>
      </w:pPr>
    </w:p>
    <w:p>
      <w:pPr>
        <w:sectPr>
          <w:pgSz w:w="11900" w:h="16838" w:orient="portrait"/>
          <w:cols w:equalWidth="0" w:num="2">
            <w:col w:w="4862" w:space="183"/>
            <w:col w:w="4857"/>
          </w:cols>
          <w:pgMar w:left="998" w:top="775" w:right="999" w:bottom="521" w:gutter="0" w:footer="0" w:header="0"/>
          <w:type w:val="continuous"/>
        </w:sectPr>
      </w:pPr>
    </w:p>
    <w:p>
      <w:pPr>
        <w:ind w:left="62"/>
        <w:spacing w:after="0" w:line="184" w:lineRule="exact"/>
        <w:tabs>
          <w:tab w:leader="none" w:pos="8661" w:val="left"/>
        </w:tabs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16"/>
          <w:szCs w:val="16"/>
          <w:color w:val="auto"/>
        </w:rPr>
        <w:t>10</w:t>
      </w:r>
      <w:r>
        <w:rPr>
          <w:sz w:val="20"/>
          <w:szCs w:val="20"/>
          <w:color w:val="auto"/>
        </w:rPr>
        <w:tab/>
      </w:r>
      <w:r>
        <w:rPr>
          <w:rFonts w:ascii="Arial Unicode MS" w:cs="Arial Unicode MS" w:eastAsia="Arial Unicode MS" w:hAnsi="Arial Unicode MS"/>
          <w:sz w:val="10"/>
          <w:szCs w:val="10"/>
          <w:b w:val="1"/>
          <w:bCs w:val="1"/>
          <w:color w:val="auto"/>
        </w:rPr>
        <w:t>Пульмонология 1’2012</w:t>
      </w:r>
    </w:p>
    <w:sectPr>
      <w:pgSz w:w="11900" w:h="16838" w:orient="portrait"/>
      <w:cols w:equalWidth="0" w:num="1">
        <w:col w:w="9902"/>
      </w:cols>
      <w:pgMar w:left="998" w:top="775" w:right="999" w:bottom="521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2000009F" w:csb1="DFD70000"/>
  </w:font>
  <w:font w:name="Arial Unicode MS">
    <w:panose1 w:val="020B0604020202020204"/>
    <w:charset w:val="00"/>
    <w:family w:val="swiss"/>
    <w:pitch w:val="variable"/>
    <w:sig w:usb0="FFFFFFFF" w:usb1="E9FFFFFF" w:usb2="0000003F" w:usb3="00000000" w:csb0="603F01FF" w:csb1="FFFF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</w:fonts>
</file>

<file path=word/numbering.xml><?xml version="1.0" encoding="utf-8"?>
<w:numbering xmlns:w="http://schemas.openxmlformats.org/wordprocessingml/2006/main">
  <w:abstractNum w:abstractNumId="0">
    <w:nsid w:val="46E87CCD"/>
    <w:multiLevelType w:val="hybridMultilevel"/>
    <w:lvl w:ilvl="0">
      <w:lvlJc w:val="left"/>
      <w:lvlText w:val="С"/>
      <w:numFmt w:val="bullet"/>
      <w:start w:val="1"/>
    </w:lvl>
  </w:abstractNum>
  <w:abstractNum w:abstractNumId="1">
    <w:nsid w:val="3D1B58BA"/>
    <w:multiLevelType w:val="hybridMultilevel"/>
    <w:lvl w:ilvl="0">
      <w:lvlJc w:val="left"/>
      <w:lvlText w:val="В"/>
      <w:numFmt w:val="bullet"/>
      <w:start w:val="1"/>
    </w:lvl>
  </w:abstractNum>
  <w:abstractNum w:abstractNumId="2">
    <w:nsid w:val="507ED7AB"/>
    <w:multiLevelType w:val="hybridMultilevel"/>
    <w:lvl w:ilvl="0">
      <w:lvlJc w:val="left"/>
      <w:lvlText w:val="\emdash "/>
      <w:numFmt w:val="bullet"/>
      <w:start w:val="1"/>
    </w:lvl>
    <w:lvl w:ilvl="1">
      <w:lvlJc w:val="left"/>
      <w:lvlText w:val="В"/>
      <w:numFmt w:val="bullet"/>
      <w:start w:val="1"/>
    </w:lvl>
  </w:abstractNum>
  <w:abstractNum w:abstractNumId="3">
    <w:nsid w:val="2EB141F2"/>
    <w:multiLevelType w:val="hybridMultilevel"/>
    <w:lvl w:ilvl="0">
      <w:lvlJc w:val="left"/>
      <w:lvlText w:val="В"/>
      <w:numFmt w:val="bullet"/>
      <w:start w:val="1"/>
    </w:lvl>
  </w:abstractNum>
  <w:abstractNum w:abstractNumId="4">
    <w:nsid w:val="41B71EFB"/>
    <w:multiLevelType w:val="hybridMultilevel"/>
    <w:lvl w:ilvl="0">
      <w:lvlJc w:val="left"/>
      <w:lvlText w:val="\emdash "/>
      <w:numFmt w:val="bullet"/>
      <w:start w:val="1"/>
    </w:lvl>
  </w:abstractNum>
  <w:abstractNum w:abstractNumId="5">
    <w:nsid w:val="79E2A9E3"/>
    <w:multiLevelType w:val="hybridMultilevel"/>
    <w:lvl w:ilvl="0">
      <w:lvlJc w:val="left"/>
      <w:lvlText w:val="и"/>
      <w:numFmt w:val="bullet"/>
      <w:start w:val="1"/>
    </w:lvl>
  </w:abstractNum>
  <w:abstractNum w:abstractNumId="6">
    <w:nsid w:val="7545E146"/>
    <w:multiLevelType w:val="hybridMultilevel"/>
    <w:lvl w:ilvl="0">
      <w:lvlJc w:val="left"/>
      <w:lvlText w:val="%1"/>
      <w:numFmt w:val="decimal"/>
      <w:start w:val="1"/>
    </w:lvl>
    <w:lvl w:ilvl="1">
      <w:lvlJc w:val="left"/>
      <w:lvlText w:val="%2."/>
      <w:numFmt w:val="decimal"/>
      <w:start w:val="1"/>
    </w:lvl>
  </w:abstractNum>
  <w:abstractNum w:abstractNumId="7">
    <w:nsid w:val="515F007C"/>
    <w:multiLevelType w:val="hybridMultilevel"/>
    <w:lvl w:ilvl="0">
      <w:lvlJc w:val="left"/>
      <w:lvlText w:val="%1."/>
      <w:numFmt w:val="decimal"/>
      <w:start w:val="8"/>
    </w:lvl>
    <w:lvl w:ilvl="1">
      <w:lvlJc w:val="left"/>
      <w:lvlText w:val="%2"/>
      <w:numFmt w:val="decimal"/>
      <w:start w:val="1"/>
    </w:lvl>
  </w:abstractNum>
  <w:abstractNum w:abstractNumId="8">
    <w:nsid w:val="5BD062C2"/>
    <w:multiLevelType w:val="hybridMultilevel"/>
    <w:lvl w:ilvl="0">
      <w:lvlJc w:val="left"/>
      <w:lvlText w:val="%1."/>
      <w:numFmt w:val="decimal"/>
      <w:start w:val="15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Relationship Id="rId11" Type="http://schemas.openxmlformats.org/officeDocument/2006/relationships/image" Target="media/image4.jpeg"/><Relationship Id="rId12" Type="http://schemas.openxmlformats.org/officeDocument/2006/relationships/image" Target="media/image5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2018-08-26T06:20:26Z</dcterms:created>
  <dcterms:modified xsi:type="dcterms:W3CDTF">2018-08-26T06:20:26Z</dcterms:modified>
</cp:coreProperties>
</file>